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-530266458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9E31E4" w:rsidRPr="00DB51D7" w:rsidRDefault="009E31E4" w:rsidP="009E31E4">
          <w:pPr>
            <w:pStyle w:val="TOCHeading"/>
            <w:spacing w:before="0" w:after="120"/>
            <w:jc w:val="center"/>
            <w:rPr>
              <w:rFonts w:ascii="Segoe UI" w:hAnsi="Segoe UI" w:cs="Segoe UI"/>
              <w:sz w:val="24"/>
              <w:szCs w:val="20"/>
            </w:rPr>
          </w:pPr>
          <w:r w:rsidRPr="00DB51D7">
            <w:rPr>
              <w:rFonts w:ascii="Segoe UI" w:hAnsi="Segoe UI" w:cs="Segoe UI"/>
              <w:sz w:val="24"/>
              <w:szCs w:val="20"/>
            </w:rPr>
            <w:t>Table of Contents</w:t>
          </w:r>
        </w:p>
        <w:p w:rsidR="009E31E4" w:rsidRPr="00DB51D7" w:rsidRDefault="009E31E4">
          <w:pPr>
            <w:pStyle w:val="TOC1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Guidelines for getting the best out of the EDT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1</w:t>
          </w:r>
        </w:p>
        <w:p w:rsidR="009E31E4" w:rsidRPr="00DB51D7" w:rsidRDefault="009E31E4" w:rsidP="009E31E4">
          <w:pPr>
            <w:pStyle w:val="TOC1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01 Getting Started 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1</w:t>
          </w:r>
        </w:p>
        <w:p w:rsidR="009E31E4" w:rsidRPr="00DB51D7" w:rsidRDefault="009E31E4" w:rsidP="009E31E4">
          <w:pPr>
            <w:pStyle w:val="TOC1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02 Entering Patients in the System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bookmarkStart w:id="0" w:name="_GoBack"/>
          <w:bookmarkEnd w:id="0"/>
          <w:r w:rsidRPr="00DB51D7">
            <w:rPr>
              <w:rFonts w:ascii="Segoe UI" w:hAnsi="Segoe UI" w:cs="Segoe UI"/>
              <w:sz w:val="20"/>
              <w:szCs w:val="20"/>
            </w:rPr>
            <w:t>2</w:t>
          </w:r>
        </w:p>
        <w:p w:rsidR="009E31E4" w:rsidRPr="00DB51D7" w:rsidRDefault="009E31E4" w:rsidP="009E31E4">
          <w:pPr>
            <w:pStyle w:val="TOC1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03 Stopping patient management on the EDT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8</w:t>
          </w:r>
        </w:p>
        <w:p w:rsidR="009E31E4" w:rsidRPr="00DB51D7" w:rsidRDefault="009E31E4" w:rsidP="009E31E4">
          <w:pPr>
            <w:pStyle w:val="TOC1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04 Patient Management on the EDT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10</w:t>
          </w:r>
        </w:p>
        <w:p w:rsidR="009E31E4" w:rsidRPr="00DB51D7" w:rsidRDefault="009E31E4" w:rsidP="009E31E4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>Updating the patient’s regimen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10</w:t>
          </w:r>
        </w:p>
        <w:p w:rsidR="009E31E4" w:rsidRPr="00DB51D7" w:rsidRDefault="009E31E4" w:rsidP="009E31E4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>Updating other details of the patient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1</w:t>
          </w:r>
          <w:r w:rsidR="00125350" w:rsidRPr="00DB51D7">
            <w:rPr>
              <w:rFonts w:ascii="Segoe UI" w:hAnsi="Segoe UI" w:cs="Segoe UI"/>
              <w:sz w:val="20"/>
              <w:szCs w:val="20"/>
            </w:rPr>
            <w:t>1</w:t>
          </w:r>
        </w:p>
        <w:p w:rsidR="009E31E4" w:rsidRPr="00DB51D7" w:rsidRDefault="009E31E4" w:rsidP="009E31E4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>Transferring a patient to an outreach or an IMAI site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1</w:t>
          </w:r>
          <w:r w:rsidR="00125350" w:rsidRPr="00DB51D7">
            <w:rPr>
              <w:rFonts w:ascii="Segoe UI" w:hAnsi="Segoe UI" w:cs="Segoe UI"/>
              <w:sz w:val="20"/>
              <w:szCs w:val="20"/>
            </w:rPr>
            <w:t>1</w:t>
          </w:r>
        </w:p>
        <w:p w:rsidR="009E31E4" w:rsidRPr="00DB51D7" w:rsidRDefault="00125350" w:rsidP="009E31E4">
          <w:pPr>
            <w:pStyle w:val="TOC1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05</w:t>
          </w:r>
          <w:r w:rsidR="009E31E4"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 </w:t>
          </w: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Dispensing on the EDT</w:t>
          </w:r>
          <w:r w:rsidR="009E31E4"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 </w:t>
          </w:r>
          <w:r w:rsidR="009E31E4"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9E31E4" w:rsidRPr="00DB51D7">
            <w:rPr>
              <w:rFonts w:ascii="Segoe UI" w:hAnsi="Segoe UI" w:cs="Segoe UI"/>
              <w:b/>
              <w:bCs/>
              <w:sz w:val="20"/>
              <w:szCs w:val="20"/>
            </w:rPr>
            <w:t>1</w:t>
          </w: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2</w:t>
          </w:r>
        </w:p>
        <w:p w:rsidR="00125350" w:rsidRPr="00DB51D7" w:rsidRDefault="00125350" w:rsidP="00125350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>Dispensing to patients other than those in transit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13</w:t>
          </w:r>
        </w:p>
        <w:p w:rsidR="00125350" w:rsidRPr="00DB51D7" w:rsidRDefault="00125350" w:rsidP="00125350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 xml:space="preserve">Dispensing to in-transit 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13</w:t>
          </w:r>
        </w:p>
        <w:p w:rsidR="00125350" w:rsidRPr="00DB51D7" w:rsidRDefault="00125350" w:rsidP="00125350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>Reversing a dispensing transaction (correcting a script)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14</w:t>
          </w:r>
        </w:p>
        <w:p w:rsidR="00125350" w:rsidRPr="00DB51D7" w:rsidRDefault="00125350" w:rsidP="00125350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>Determining patients’ adherence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15</w:t>
          </w:r>
        </w:p>
        <w:p w:rsidR="009E31E4" w:rsidRPr="00DB51D7" w:rsidRDefault="00125350" w:rsidP="009E31E4">
          <w:pPr>
            <w:pStyle w:val="TOC1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06</w:t>
          </w:r>
          <w:r w:rsidR="009E31E4"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 </w:t>
          </w: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Dispensing at outreach sites</w:t>
          </w:r>
          <w:r w:rsidR="009E31E4"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 </w:t>
          </w:r>
          <w:r w:rsidR="009E31E4"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9E31E4" w:rsidRPr="00DB51D7">
            <w:rPr>
              <w:rFonts w:ascii="Segoe UI" w:hAnsi="Segoe UI" w:cs="Segoe UI"/>
              <w:b/>
              <w:bCs/>
              <w:sz w:val="20"/>
              <w:szCs w:val="20"/>
            </w:rPr>
            <w:t>1</w:t>
          </w: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7</w:t>
          </w:r>
        </w:p>
        <w:p w:rsidR="00125350" w:rsidRPr="00DB51D7" w:rsidRDefault="00125350" w:rsidP="00125350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>Using the EDT mobile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18</w:t>
          </w:r>
        </w:p>
        <w:p w:rsidR="00125350" w:rsidRPr="00DB51D7" w:rsidRDefault="00125350" w:rsidP="00125350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>Manual data transfer from outreach site PC to main site PC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18</w:t>
          </w:r>
        </w:p>
        <w:p w:rsidR="009E31E4" w:rsidRPr="00DB51D7" w:rsidRDefault="00125350" w:rsidP="009E31E4">
          <w:pPr>
            <w:pStyle w:val="TOC1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07</w:t>
          </w:r>
          <w:r w:rsidR="009E31E4"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 </w:t>
          </w: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Dispensing to IMAI site patients</w:t>
          </w:r>
          <w:r w:rsidR="009E31E4"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 </w:t>
          </w:r>
          <w:r w:rsidR="009E31E4"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="009E31E4" w:rsidRPr="00DB51D7">
            <w:rPr>
              <w:rFonts w:ascii="Segoe UI" w:hAnsi="Segoe UI" w:cs="Segoe UI"/>
              <w:b/>
              <w:bCs/>
              <w:sz w:val="20"/>
              <w:szCs w:val="20"/>
            </w:rPr>
            <w:t>1</w:t>
          </w: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>9</w:t>
          </w:r>
        </w:p>
        <w:p w:rsidR="00125350" w:rsidRPr="00DB51D7" w:rsidRDefault="00125350" w:rsidP="00125350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>Dispensing to IMAI site patients based on actual dispensing at the IMAI site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20</w:t>
          </w:r>
        </w:p>
        <w:p w:rsidR="00125350" w:rsidRPr="00DB51D7" w:rsidRDefault="00125350" w:rsidP="00125350">
          <w:pPr>
            <w:pStyle w:val="TOC2"/>
            <w:ind w:left="216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i/>
              <w:iCs/>
              <w:sz w:val="20"/>
              <w:szCs w:val="20"/>
              <w:lang w:val="en-GB"/>
            </w:rPr>
            <w:t>Dispensing in advance on the EDT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21</w:t>
          </w:r>
        </w:p>
        <w:p w:rsidR="009E31E4" w:rsidRPr="00DB51D7" w:rsidRDefault="001E7D23" w:rsidP="009E31E4">
          <w:pPr>
            <w:pStyle w:val="TOC1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08 Receiving, issuing and </w:t>
          </w:r>
          <w:r w:rsidR="00125350" w:rsidRPr="00DB51D7">
            <w:rPr>
              <w:rFonts w:ascii="Segoe UI" w:hAnsi="Segoe UI" w:cs="Segoe UI"/>
              <w:b/>
              <w:bCs/>
              <w:sz w:val="20"/>
              <w:szCs w:val="20"/>
            </w:rPr>
            <w:t>Adjusting stock in the EDT</w:t>
          </w:r>
          <w:r w:rsidR="009E31E4"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 </w:t>
          </w:r>
          <w:r w:rsidR="009E31E4"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22</w:t>
          </w:r>
        </w:p>
        <w:p w:rsidR="001E7D23" w:rsidRPr="00DB51D7" w:rsidRDefault="001E7D23" w:rsidP="001E7D23">
          <w:pPr>
            <w:pStyle w:val="TOC1"/>
            <w:rPr>
              <w:rFonts w:ascii="Segoe UI" w:hAnsi="Segoe UI" w:cs="Segoe UI"/>
              <w:b/>
              <w:bCs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09 Using the quantification module 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25</w:t>
          </w:r>
        </w:p>
        <w:p w:rsidR="00FC1CC3" w:rsidRPr="00DB51D7" w:rsidRDefault="001E7D23" w:rsidP="001E7D23">
          <w:pPr>
            <w:pStyle w:val="TOC1"/>
            <w:rPr>
              <w:rFonts w:ascii="Segoe UI" w:hAnsi="Segoe UI" w:cs="Segoe UI"/>
              <w:sz w:val="20"/>
              <w:szCs w:val="20"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08 EDT Reports 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27</w:t>
          </w:r>
        </w:p>
        <w:p w:rsidR="009E31E4" w:rsidRPr="00FC1CC3" w:rsidRDefault="00FC1CC3" w:rsidP="00FC1CC3">
          <w:pPr>
            <w:pStyle w:val="TOC1"/>
            <w:rPr>
              <w:b/>
              <w:bCs/>
            </w:rPr>
          </w:pPr>
          <w:r w:rsidRPr="00DB51D7">
            <w:rPr>
              <w:rFonts w:ascii="Segoe UI" w:hAnsi="Segoe UI" w:cs="Segoe UI"/>
              <w:b/>
              <w:bCs/>
              <w:sz w:val="20"/>
              <w:szCs w:val="20"/>
            </w:rPr>
            <w:t xml:space="preserve">Case Studies </w:t>
          </w:r>
          <w:r w:rsidRPr="00DB51D7">
            <w:rPr>
              <w:rFonts w:ascii="Segoe UI" w:hAnsi="Segoe UI" w:cs="Segoe UI"/>
              <w:sz w:val="20"/>
              <w:szCs w:val="20"/>
            </w:rPr>
            <w:ptab w:relativeTo="margin" w:alignment="right" w:leader="dot"/>
          </w:r>
          <w:r w:rsidRPr="00DB51D7">
            <w:rPr>
              <w:rFonts w:ascii="Segoe UI" w:hAnsi="Segoe UI" w:cs="Segoe UI"/>
              <w:sz w:val="20"/>
              <w:szCs w:val="20"/>
            </w:rPr>
            <w:t>2</w:t>
          </w:r>
          <w:r w:rsidR="00DB51D7" w:rsidRPr="00DB51D7">
            <w:rPr>
              <w:rFonts w:ascii="Segoe UI" w:hAnsi="Segoe UI" w:cs="Segoe UI"/>
              <w:sz w:val="20"/>
              <w:szCs w:val="20"/>
            </w:rPr>
            <w:t>8</w:t>
          </w:r>
        </w:p>
      </w:sdtContent>
    </w:sdt>
    <w:p w:rsidR="00A427A9" w:rsidRDefault="00A427A9"/>
    <w:sectPr w:rsidR="00A42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91"/>
    <w:rsid w:val="00125350"/>
    <w:rsid w:val="001E7D23"/>
    <w:rsid w:val="009E31E4"/>
    <w:rsid w:val="00A427A9"/>
    <w:rsid w:val="00DB51D7"/>
    <w:rsid w:val="00F82991"/>
    <w:rsid w:val="00F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1E4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E31E4"/>
    <w:pPr>
      <w:spacing w:after="100" w:line="276" w:lineRule="auto"/>
      <w:ind w:left="220"/>
    </w:pPr>
    <w:rPr>
      <w:rFonts w:asciiTheme="minorHAnsi" w:eastAsiaTheme="minorEastAsia" w:hAnsiTheme="minorHAnsi" w:cstheme="minorBid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31E4"/>
    <w:pPr>
      <w:spacing w:after="100" w:line="276" w:lineRule="auto"/>
    </w:pPr>
    <w:rPr>
      <w:rFonts w:asciiTheme="minorHAnsi" w:eastAsiaTheme="minorEastAsia" w:hAnsiTheme="minorHAnsi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E31E4"/>
    <w:pPr>
      <w:spacing w:after="100" w:line="276" w:lineRule="auto"/>
      <w:ind w:left="440"/>
    </w:pPr>
    <w:rPr>
      <w:rFonts w:asciiTheme="minorHAnsi" w:eastAsiaTheme="minorEastAsia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1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1E4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E31E4"/>
    <w:pPr>
      <w:spacing w:after="100" w:line="276" w:lineRule="auto"/>
      <w:ind w:left="220"/>
    </w:pPr>
    <w:rPr>
      <w:rFonts w:asciiTheme="minorHAnsi" w:eastAsiaTheme="minorEastAsia" w:hAnsiTheme="minorHAnsi" w:cstheme="minorBid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31E4"/>
    <w:pPr>
      <w:spacing w:after="100" w:line="276" w:lineRule="auto"/>
    </w:pPr>
    <w:rPr>
      <w:rFonts w:asciiTheme="minorHAnsi" w:eastAsiaTheme="minorEastAsia" w:hAnsiTheme="minorHAnsi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E31E4"/>
    <w:pPr>
      <w:spacing w:after="100" w:line="276" w:lineRule="auto"/>
      <w:ind w:left="440"/>
    </w:pPr>
    <w:rPr>
      <w:rFonts w:asciiTheme="minorHAnsi" w:eastAsiaTheme="minorEastAsia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1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174AC63F-D7AF-4652-86D2-B952582C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Victor.Sumbi</dc:creator>
  <cp:keywords/>
  <dc:description/>
  <cp:lastModifiedBy>Victor.Sumbi</cp:lastModifiedBy>
  <cp:revision>5</cp:revision>
  <dcterms:created xsi:type="dcterms:W3CDTF">2012-09-02T15:12:00Z</dcterms:created>
  <dcterms:modified xsi:type="dcterms:W3CDTF">2012-09-02T15:43:00Z</dcterms:modified>
</cp:coreProperties>
</file>