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E6B6096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0B6C7F">
        <w:t>1</w:t>
      </w:r>
      <w:r w:rsidR="00410E84" w:rsidRPr="004535BB">
        <w:t>-</w:t>
      </w:r>
      <w:r w:rsidR="00804CE1">
        <w:t>2</w:t>
      </w:r>
      <w:r w:rsidR="000444BC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ED7A28D" w14:textId="5383C572" w:rsidR="0057455F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89022730" w:history="1">
            <w:r w:rsidR="0057455F" w:rsidRPr="004C3E65">
              <w:rPr>
                <w:rStyle w:val="Hyperlink"/>
                <w:noProof/>
              </w:rPr>
              <w:t>Motivation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_Toc89022730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1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7183C805" w14:textId="603813A4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1" w:history="1">
            <w:r w:rsidR="0057455F" w:rsidRPr="004C3E65">
              <w:rPr>
                <w:rStyle w:val="Hyperlink"/>
                <w:noProof/>
              </w:rPr>
              <w:t>Pre-requisite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_Toc89022731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1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679D6EFC" w14:textId="17DC1EAC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2" w:history="1">
            <w:r w:rsidR="0057455F" w:rsidRPr="004C3E65">
              <w:rPr>
                <w:rStyle w:val="Hyperlink"/>
                <w:noProof/>
              </w:rPr>
              <w:t>Demo release particularities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_Toc89022732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2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1DB7AD77" w14:textId="1D779D3E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3" w:history="1">
            <w:r w:rsidR="0057455F" w:rsidRPr="004C3E65">
              <w:rPr>
                <w:rStyle w:val="Hyperlink"/>
                <w:noProof/>
              </w:rPr>
              <w:t>Issues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_Toc89022733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2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2A8661A2" w14:textId="76A2EF25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4" w:history="1">
            <w:r w:rsidR="0057455F" w:rsidRPr="004C3E65">
              <w:rPr>
                <w:rStyle w:val="Hyperlink"/>
                <w:noProof/>
              </w:rPr>
              <w:t>EL for ages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_Toc89022734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2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005C4E8F" w14:textId="6224C91A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5" w:history="1">
            <w:r w:rsidR="0057455F" w:rsidRPr="004C3E65">
              <w:rPr>
                <w:rStyle w:val="Hyperlink"/>
                <w:noProof/>
              </w:rPr>
              <w:t>Report configuration feature (Issue 1187)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_Toc89022735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3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703E7B18" w14:textId="70160183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6" w:history="1">
            <w:r w:rsidR="0057455F" w:rsidRPr="004C3E65">
              <w:rPr>
                <w:rStyle w:val="Hyperlink"/>
                <w:noProof/>
              </w:rPr>
              <w:t>Where to find it?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_Toc89022736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3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28053BF0" w14:textId="7E55586B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7" w:history="1">
            <w:r w:rsidR="0057455F" w:rsidRPr="004C3E65">
              <w:rPr>
                <w:rStyle w:val="Hyperlink"/>
                <w:noProof/>
              </w:rPr>
              <w:t>How does it work?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_Toc89022737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3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6BD91D8F" w14:textId="55ED5108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8" w:history="1">
            <w:r w:rsidR="0057455F" w:rsidRPr="004C3E65">
              <w:rPr>
                <w:rStyle w:val="Hyperlink"/>
                <w:noProof/>
              </w:rPr>
              <w:t>An example for a site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_Toc89022738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4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034FD9B5" w14:textId="747A0F3D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39" w:history="1">
            <w:r w:rsidR="0057455F" w:rsidRPr="004C3E65">
              <w:rPr>
                <w:rStyle w:val="Hyperlink"/>
                <w:noProof/>
              </w:rPr>
              <w:t>An example for a product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_Toc89022739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5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295FB7D1" w14:textId="3D3F4C9D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40" w:history="1">
            <w:r w:rsidR="0057455F" w:rsidRPr="004C3E65">
              <w:rPr>
                <w:rStyle w:val="Hyperlink"/>
                <w:noProof/>
              </w:rPr>
              <w:t>How to use reports?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_Toc89022740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6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581B9635" w14:textId="639A3E0F" w:rsidR="0057455F" w:rsidRDefault="00970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41" w:history="1">
            <w:r w:rsidR="0057455F" w:rsidRPr="004C3E65">
              <w:rPr>
                <w:rStyle w:val="Hyperlink"/>
                <w:noProof/>
              </w:rPr>
              <w:t>System issue on the MSH server (Issue 1194)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_Toc89022741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8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355E5276" w14:textId="5132B826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42" w:history="1">
            <w:r w:rsidR="0057455F" w:rsidRPr="004C3E65">
              <w:rPr>
                <w:rStyle w:val="Hyperlink"/>
                <w:noProof/>
              </w:rPr>
              <w:t>The issue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_Toc89022742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8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7E8E3F39" w14:textId="555A4CDC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43" w:history="1">
            <w:r w:rsidR="0057455F" w:rsidRPr="004C3E65">
              <w:rPr>
                <w:rStyle w:val="Hyperlink"/>
                <w:noProof/>
              </w:rPr>
              <w:t>The proof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_Toc89022743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8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321C5D0D" w14:textId="02B8953D" w:rsidR="0057455F" w:rsidRDefault="00970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022744" w:history="1">
            <w:r w:rsidR="0057455F" w:rsidRPr="004C3E65">
              <w:rPr>
                <w:rStyle w:val="Hyperlink"/>
                <w:noProof/>
              </w:rPr>
              <w:t>The effect</w:t>
            </w:r>
            <w:r w:rsidR="0057455F">
              <w:rPr>
                <w:noProof/>
                <w:webHidden/>
              </w:rPr>
              <w:tab/>
            </w:r>
            <w:r w:rsidR="0057455F">
              <w:rPr>
                <w:noProof/>
                <w:webHidden/>
              </w:rPr>
              <w:fldChar w:fldCharType="begin"/>
            </w:r>
            <w:r w:rsidR="0057455F">
              <w:rPr>
                <w:noProof/>
                <w:webHidden/>
              </w:rPr>
              <w:instrText xml:space="preserve"> PAGEREF _Toc89022744 \h </w:instrText>
            </w:r>
            <w:r w:rsidR="0057455F">
              <w:rPr>
                <w:noProof/>
                <w:webHidden/>
              </w:rPr>
            </w:r>
            <w:r w:rsidR="0057455F">
              <w:rPr>
                <w:noProof/>
                <w:webHidden/>
              </w:rPr>
              <w:fldChar w:fldCharType="separate"/>
            </w:r>
            <w:r w:rsidR="0057455F">
              <w:rPr>
                <w:noProof/>
                <w:webHidden/>
              </w:rPr>
              <w:t>9</w:t>
            </w:r>
            <w:r w:rsidR="0057455F">
              <w:rPr>
                <w:noProof/>
                <w:webHidden/>
              </w:rPr>
              <w:fldChar w:fldCharType="end"/>
            </w:r>
          </w:hyperlink>
        </w:p>
        <w:p w14:paraId="25824E24" w14:textId="052A9292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89022730"/>
      <w:r w:rsidRPr="004535BB">
        <w:t>Motivation</w:t>
      </w:r>
      <w:bookmarkEnd w:id="0"/>
    </w:p>
    <w:p w14:paraId="3DC43277" w14:textId="4BEA92FB" w:rsidR="00B449CA" w:rsidRDefault="001D750D" w:rsidP="00B449CA">
      <w:r w:rsidRPr="004535BB">
        <w:tab/>
      </w:r>
      <w:r w:rsidR="00B449CA" w:rsidRPr="004535BB">
        <w:t xml:space="preserve">The main </w:t>
      </w:r>
      <w:r w:rsidR="000444BC">
        <w:t>goals</w:t>
      </w:r>
      <w:r w:rsidR="00B449CA" w:rsidRPr="004535BB">
        <w:t xml:space="preserve"> of this release</w:t>
      </w:r>
      <w:r w:rsidR="006500C7">
        <w:t xml:space="preserve"> </w:t>
      </w:r>
      <w:r w:rsidR="00F95FD2">
        <w:t>are:</w:t>
      </w:r>
    </w:p>
    <w:p w14:paraId="4224BEC6" w14:textId="139CEA02" w:rsidR="00F95FD2" w:rsidRDefault="00F95FD2" w:rsidP="00A96B53">
      <w:pPr>
        <w:pStyle w:val="ListParagraph"/>
        <w:numPr>
          <w:ilvl w:val="0"/>
          <w:numId w:val="1"/>
        </w:numPr>
      </w:pPr>
      <w:r>
        <w:t>The</w:t>
      </w:r>
      <w:r w:rsidR="000444BC">
        <w:t xml:space="preserve"> finalization</w:t>
      </w:r>
      <w:r>
        <w:t xml:space="preserve"> of reports</w:t>
      </w:r>
      <w:r w:rsidR="000444BC">
        <w:t xml:space="preserve"> for all workflow</w:t>
      </w:r>
    </w:p>
    <w:p w14:paraId="05CA04D4" w14:textId="76E3CAB5" w:rsidR="000444BC" w:rsidRDefault="000444BC" w:rsidP="00A96B53">
      <w:pPr>
        <w:pStyle w:val="ListParagraph"/>
        <w:numPr>
          <w:ilvl w:val="0"/>
          <w:numId w:val="1"/>
        </w:numPr>
      </w:pPr>
      <w:r>
        <w:t xml:space="preserve">Additional EL </w:t>
      </w:r>
      <w:proofErr w:type="gramStart"/>
      <w:r w:rsidR="0089103A">
        <w:t>for person’s</w:t>
      </w:r>
      <w:proofErr w:type="gramEnd"/>
      <w:r>
        <w:t xml:space="preserve"> age</w:t>
      </w:r>
    </w:p>
    <w:p w14:paraId="52DEF603" w14:textId="7B1E8D9A" w:rsidR="000444BC" w:rsidRDefault="000444BC" w:rsidP="00A96B53">
      <w:pPr>
        <w:pStyle w:val="ListParagraph"/>
        <w:numPr>
          <w:ilvl w:val="0"/>
          <w:numId w:val="1"/>
        </w:numPr>
      </w:pPr>
      <w:r>
        <w:t>Restore installation on Nepal Demo server</w:t>
      </w:r>
    </w:p>
    <w:p w14:paraId="316295A3" w14:textId="0BDDB9BA" w:rsidR="00F95FD2" w:rsidRPr="000444BC" w:rsidRDefault="000444BC" w:rsidP="00A96B53">
      <w:pPr>
        <w:pStyle w:val="ListParagraph"/>
        <w:numPr>
          <w:ilvl w:val="0"/>
          <w:numId w:val="1"/>
        </w:numPr>
      </w:pPr>
      <w:r>
        <w:t>New installation to MSH server</w:t>
      </w:r>
    </w:p>
    <w:p w14:paraId="66B4B412" w14:textId="0B8B2842" w:rsidR="00F95FD2" w:rsidRPr="00F95FD2" w:rsidRDefault="00F95FD2" w:rsidP="00A96B53">
      <w:pPr>
        <w:pStyle w:val="ListParagraph"/>
        <w:numPr>
          <w:ilvl w:val="0"/>
          <w:numId w:val="1"/>
        </w:numPr>
        <w:rPr>
          <w:lang w:val="ru-RU"/>
        </w:rPr>
      </w:pPr>
      <w:r>
        <w:t>Bug fixing</w:t>
      </w:r>
      <w:r w:rsidR="000444BC">
        <w:t xml:space="preserve"> and documentation</w:t>
      </w:r>
    </w:p>
    <w:p w14:paraId="2E57B76E" w14:textId="77777777" w:rsidR="00FF57F6" w:rsidRPr="004535BB" w:rsidRDefault="00FF57F6" w:rsidP="00FF57F6">
      <w:pPr>
        <w:pStyle w:val="Heading1"/>
      </w:pPr>
      <w:bookmarkStart w:id="1" w:name="_Toc89022731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89022732"/>
      <w:r w:rsidRPr="004535BB">
        <w:lastRenderedPageBreak/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37097819" w14:textId="298B95FA" w:rsidR="00F95FD2" w:rsidRPr="002246BC" w:rsidRDefault="00F95FD2" w:rsidP="00FF57F6">
      <w:pPr>
        <w:keepNext/>
        <w:ind w:firstLine="720"/>
      </w:pPr>
      <w:r>
        <w:t xml:space="preserve">Because the pdx2demo server is down, the new release </w:t>
      </w:r>
      <w:r w:rsidR="0036220C">
        <w:t>is</w:t>
      </w:r>
      <w:r>
        <w:t xml:space="preserve"> available in </w:t>
      </w:r>
      <w:r w:rsidR="00C979AE">
        <w:t>p</w:t>
      </w:r>
      <w:r>
        <w:t xml:space="preserve">harmadex.irka.in.ua. We will perform </w:t>
      </w:r>
      <w:r w:rsidR="0036220C">
        <w:t xml:space="preserve">the </w:t>
      </w:r>
      <w:r>
        <w:t xml:space="preserve">pdx2demo server update </w:t>
      </w:r>
      <w:r w:rsidR="002246BC">
        <w:t>at the first opportunity.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23CC5FC0" w:rsidR="00FF57F6" w:rsidRDefault="00FF57F6" w:rsidP="00FF57F6">
      <w:pPr>
        <w:keepNext/>
      </w:pPr>
      <w:r w:rsidRPr="004535BB">
        <w:tab/>
        <w:t>The workflow implementation contains mistakes.</w:t>
      </w:r>
    </w:p>
    <w:p w14:paraId="7281FC99" w14:textId="506A4DC4" w:rsidR="00D47933" w:rsidRPr="004535BB" w:rsidRDefault="00D47933" w:rsidP="00FF57F6">
      <w:pPr>
        <w:keepNext/>
      </w:pPr>
      <w:r>
        <w:tab/>
        <w:t>Some reports may work slow. These reports are subject to optimization.</w:t>
      </w:r>
    </w:p>
    <w:p w14:paraId="52F82C21" w14:textId="0E6B2F81" w:rsidR="00FF57F6" w:rsidRDefault="00FF57F6" w:rsidP="00FF57F6">
      <w:pPr>
        <w:keepNext/>
        <w:rPr>
          <w:b/>
          <w:bCs/>
        </w:rPr>
      </w:pPr>
      <w:r w:rsidRPr="004535BB">
        <w:tab/>
      </w:r>
      <w:r w:rsidRPr="004535BB">
        <w:rPr>
          <w:b/>
          <w:bCs/>
        </w:rPr>
        <w:t>Please do not make any configurations, except labels and dictionaries as a part of the dictionaries revise job.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89022733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757"/>
        <w:gridCol w:w="2430"/>
      </w:tblGrid>
      <w:tr w:rsidR="002246BC" w:rsidRPr="004535BB" w14:paraId="4374C760" w14:textId="77777777" w:rsidTr="002246BC">
        <w:tc>
          <w:tcPr>
            <w:tcW w:w="1163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5757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2430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2246BC" w:rsidRPr="004535BB" w14:paraId="570AAC1B" w14:textId="77777777" w:rsidTr="002246BC">
        <w:tc>
          <w:tcPr>
            <w:tcW w:w="1163" w:type="dxa"/>
          </w:tcPr>
          <w:p w14:paraId="0574BB9C" w14:textId="33FFF4A9" w:rsidR="004535BB" w:rsidRPr="004535BB" w:rsidRDefault="002E2874" w:rsidP="00B449CA">
            <w:r>
              <w:t>1190</w:t>
            </w:r>
          </w:p>
        </w:tc>
        <w:tc>
          <w:tcPr>
            <w:tcW w:w="5757" w:type="dxa"/>
          </w:tcPr>
          <w:p w14:paraId="6A4E0F35" w14:textId="75B27ED4" w:rsidR="004535BB" w:rsidRPr="004535BB" w:rsidRDefault="002E2874" w:rsidP="00B449CA">
            <w:r>
              <w:t>EL for ages</w:t>
            </w:r>
          </w:p>
        </w:tc>
        <w:tc>
          <w:tcPr>
            <w:tcW w:w="2430" w:type="dxa"/>
          </w:tcPr>
          <w:p w14:paraId="4FAA65A8" w14:textId="49BCD94F" w:rsidR="004535BB" w:rsidRPr="004535BB" w:rsidRDefault="002E2874" w:rsidP="00B449CA">
            <w:r>
              <w:t>Completed for Gregorian and Nepal calendars. See below</w:t>
            </w:r>
          </w:p>
        </w:tc>
      </w:tr>
      <w:tr w:rsidR="002246BC" w:rsidRPr="004535BB" w14:paraId="42CB0FD3" w14:textId="77777777" w:rsidTr="002246BC">
        <w:tc>
          <w:tcPr>
            <w:tcW w:w="1163" w:type="dxa"/>
          </w:tcPr>
          <w:p w14:paraId="4F796BFD" w14:textId="5A26FE39" w:rsidR="004535BB" w:rsidRPr="004535BB" w:rsidRDefault="002E2874" w:rsidP="00B449CA">
            <w:r>
              <w:t>1187</w:t>
            </w:r>
          </w:p>
        </w:tc>
        <w:tc>
          <w:tcPr>
            <w:tcW w:w="5757" w:type="dxa"/>
          </w:tcPr>
          <w:p w14:paraId="00309D22" w14:textId="04BD9564" w:rsidR="004535BB" w:rsidRPr="0039488E" w:rsidRDefault="002E2874" w:rsidP="00B449CA">
            <w:r>
              <w:t>Applicant name for product report. Report configuration</w:t>
            </w:r>
          </w:p>
        </w:tc>
        <w:tc>
          <w:tcPr>
            <w:tcW w:w="2430" w:type="dxa"/>
          </w:tcPr>
          <w:p w14:paraId="6408DB1F" w14:textId="4AA808B9" w:rsidR="004535BB" w:rsidRPr="004535BB" w:rsidRDefault="002E2874" w:rsidP="00B449CA">
            <w:r>
              <w:t>Uniform configuration for any report/ See below</w:t>
            </w:r>
          </w:p>
        </w:tc>
      </w:tr>
      <w:tr w:rsidR="002246BC" w:rsidRPr="004535BB" w14:paraId="2CB6DF59" w14:textId="77777777" w:rsidTr="002246BC">
        <w:tc>
          <w:tcPr>
            <w:tcW w:w="1163" w:type="dxa"/>
          </w:tcPr>
          <w:p w14:paraId="032AF888" w14:textId="577AD8EC" w:rsidR="004535BB" w:rsidRPr="004535BB" w:rsidRDefault="003B379F" w:rsidP="00B449CA">
            <w:r>
              <w:t>1198</w:t>
            </w:r>
          </w:p>
        </w:tc>
        <w:tc>
          <w:tcPr>
            <w:tcW w:w="5757" w:type="dxa"/>
          </w:tcPr>
          <w:p w14:paraId="228D3BF2" w14:textId="183F345B" w:rsidR="004535BB" w:rsidRPr="004535BB" w:rsidRDefault="003B379F" w:rsidP="00B449CA">
            <w:r>
              <w:t>Restore pdx2demo</w:t>
            </w:r>
          </w:p>
        </w:tc>
        <w:tc>
          <w:tcPr>
            <w:tcW w:w="2430" w:type="dxa"/>
          </w:tcPr>
          <w:p w14:paraId="1F4171C9" w14:textId="0F28BC43" w:rsidR="004535BB" w:rsidRPr="00623FA6" w:rsidRDefault="003B379F" w:rsidP="00B449CA">
            <w:r>
              <w:t xml:space="preserve">It works. The software and database are the latest. </w:t>
            </w:r>
          </w:p>
        </w:tc>
      </w:tr>
      <w:tr w:rsidR="002246BC" w:rsidRPr="004535BB" w14:paraId="3884C057" w14:textId="77777777" w:rsidTr="002246BC">
        <w:tc>
          <w:tcPr>
            <w:tcW w:w="1163" w:type="dxa"/>
          </w:tcPr>
          <w:p w14:paraId="6D2DDE99" w14:textId="2F6CA489" w:rsidR="00D32022" w:rsidRPr="006500C7" w:rsidRDefault="003B379F" w:rsidP="00B449CA">
            <w:r>
              <w:t>1194</w:t>
            </w:r>
          </w:p>
        </w:tc>
        <w:tc>
          <w:tcPr>
            <w:tcW w:w="5757" w:type="dxa"/>
          </w:tcPr>
          <w:p w14:paraId="13C17870" w14:textId="003C3A51" w:rsidR="00D32022" w:rsidRPr="00D32022" w:rsidRDefault="003B379F" w:rsidP="00B449CA">
            <w:r>
              <w:t>Install demo and learning versions on MSH server</w:t>
            </w:r>
          </w:p>
        </w:tc>
        <w:tc>
          <w:tcPr>
            <w:tcW w:w="2430" w:type="dxa"/>
          </w:tcPr>
          <w:p w14:paraId="0036270D" w14:textId="074A00D5" w:rsidR="00D32022" w:rsidRPr="003B379F" w:rsidRDefault="003B379F" w:rsidP="00B449CA">
            <w:pPr>
              <w:rPr>
                <w:b/>
                <w:bCs/>
                <w:color w:val="FF0000"/>
              </w:rPr>
            </w:pPr>
            <w:r w:rsidRPr="003B379F">
              <w:rPr>
                <w:b/>
                <w:bCs/>
                <w:color w:val="FF0000"/>
              </w:rPr>
              <w:t>Failed, because of the system issue. See below</w:t>
            </w:r>
          </w:p>
        </w:tc>
      </w:tr>
      <w:tr w:rsidR="002246BC" w:rsidRPr="004535BB" w14:paraId="4B9C6CE8" w14:textId="77777777" w:rsidTr="002246BC">
        <w:tc>
          <w:tcPr>
            <w:tcW w:w="1163" w:type="dxa"/>
          </w:tcPr>
          <w:p w14:paraId="6F3076F0" w14:textId="48EE37A1" w:rsidR="006500C7" w:rsidRDefault="003B379F" w:rsidP="00B449CA">
            <w:r>
              <w:t>1188</w:t>
            </w:r>
          </w:p>
        </w:tc>
        <w:tc>
          <w:tcPr>
            <w:tcW w:w="5757" w:type="dxa"/>
          </w:tcPr>
          <w:p w14:paraId="314FC1C3" w14:textId="7FE9AC51" w:rsidR="006500C7" w:rsidRPr="003B379F" w:rsidRDefault="003B379F" w:rsidP="00B449CA">
            <w:pPr>
              <w:rPr>
                <w:lang w:val="ru-RU"/>
              </w:rPr>
            </w:pPr>
            <w:r>
              <w:t>Improved on</w:t>
            </w:r>
            <w:r w:rsidR="00C20704">
              <w:t>-</w:t>
            </w:r>
            <w:r>
              <w:t>screen behavior of tiles. Conv</w:t>
            </w:r>
            <w:r w:rsidR="00C20704">
              <w:t>e</w:t>
            </w:r>
            <w:r>
              <w:t xml:space="preserve">nient hotspot using and avoiding the </w:t>
            </w:r>
            <w:r w:rsidRPr="003B379F">
              <w:t>flutter echo</w:t>
            </w:r>
          </w:p>
        </w:tc>
        <w:tc>
          <w:tcPr>
            <w:tcW w:w="2430" w:type="dxa"/>
          </w:tcPr>
          <w:p w14:paraId="5BC910F5" w14:textId="7D25B22F" w:rsidR="006500C7" w:rsidRDefault="006500C7" w:rsidP="00B449CA"/>
        </w:tc>
      </w:tr>
      <w:tr w:rsidR="00EE533A" w:rsidRPr="004535BB" w14:paraId="40062396" w14:textId="77777777" w:rsidTr="002246BC">
        <w:tc>
          <w:tcPr>
            <w:tcW w:w="1163" w:type="dxa"/>
          </w:tcPr>
          <w:p w14:paraId="708C64E0" w14:textId="12399574" w:rsidR="00EE533A" w:rsidRDefault="003B379F" w:rsidP="00B449CA">
            <w:r>
              <w:t>1199</w:t>
            </w:r>
          </w:p>
        </w:tc>
        <w:tc>
          <w:tcPr>
            <w:tcW w:w="5757" w:type="dxa"/>
          </w:tcPr>
          <w:p w14:paraId="5506D577" w14:textId="49B0A73C" w:rsidR="00EE533A" w:rsidRDefault="003B379F" w:rsidP="00B449CA">
            <w:r>
              <w:t>Software improvement</w:t>
            </w:r>
          </w:p>
        </w:tc>
        <w:tc>
          <w:tcPr>
            <w:tcW w:w="2430" w:type="dxa"/>
          </w:tcPr>
          <w:p w14:paraId="02382C3F" w14:textId="3E550E54" w:rsidR="00EE533A" w:rsidRDefault="003B379F" w:rsidP="00B449CA">
            <w:proofErr w:type="spellStart"/>
            <w:r>
              <w:t>Nex</w:t>
            </w:r>
            <w:proofErr w:type="spellEnd"/>
            <w:r>
              <w:t xml:space="preserve"> step should be optimization. The most non-optimal procedure is the </w:t>
            </w:r>
            <w:proofErr w:type="spellStart"/>
            <w:r>
              <w:t>site_address</w:t>
            </w:r>
            <w:proofErr w:type="spellEnd"/>
            <w:r>
              <w:t xml:space="preserve">. </w:t>
            </w:r>
          </w:p>
        </w:tc>
      </w:tr>
    </w:tbl>
    <w:p w14:paraId="4B2D38CF" w14:textId="5979C6D0" w:rsidR="008137C9" w:rsidRDefault="008137C9" w:rsidP="000444BC"/>
    <w:p w14:paraId="6D90B29A" w14:textId="0DF4BC04" w:rsidR="00676680" w:rsidRDefault="00676680" w:rsidP="00FC1F9F">
      <w:pPr>
        <w:pStyle w:val="Heading1"/>
      </w:pPr>
      <w:bookmarkStart w:id="4" w:name="_Toc89022734"/>
      <w:r>
        <w:t>EL for ages</w:t>
      </w:r>
      <w:bookmarkEnd w:id="4"/>
    </w:p>
    <w:p w14:paraId="0D02051F" w14:textId="30E8A506" w:rsidR="003B143D" w:rsidRDefault="003B143D" w:rsidP="003B143D">
      <w:r>
        <w:tab/>
        <w:t xml:space="preserve">Age is calculated from the date to the current date exclusive. It means that for a person </w:t>
      </w:r>
      <w:r w:rsidR="00C20704">
        <w:t xml:space="preserve">who </w:t>
      </w:r>
      <w:r>
        <w:t xml:space="preserve">was born </w:t>
      </w:r>
      <w:r w:rsidR="00C20704">
        <w:t>on</w:t>
      </w:r>
      <w:r>
        <w:t xml:space="preserve"> 12 Apr 1962, </w:t>
      </w:r>
      <w:r w:rsidR="00C20704">
        <w:t xml:space="preserve">the </w:t>
      </w:r>
      <w:r>
        <w:t xml:space="preserve">age at 12 Apr 1982 will be 19 full years by </w:t>
      </w:r>
      <w:r w:rsidR="00C20704">
        <w:t xml:space="preserve">the </w:t>
      </w:r>
      <w:r>
        <w:t>Gregorian calendar.</w:t>
      </w:r>
    </w:p>
    <w:p w14:paraId="5DD627C5" w14:textId="680FA793" w:rsidR="003B143D" w:rsidRDefault="003B143D" w:rsidP="003B143D">
      <w:r>
        <w:tab/>
      </w:r>
      <w:r w:rsidR="002D5C47">
        <w:t>It should be noted, that full years by Nepali calendar and by Gregorian calendar may be different because of different length</w:t>
      </w:r>
      <w:r w:rsidR="00C20704">
        <w:t>s</w:t>
      </w:r>
      <w:r w:rsidR="002D5C47">
        <w:t xml:space="preserve"> of years.</w:t>
      </w:r>
    </w:p>
    <w:p w14:paraId="1D6368F9" w14:textId="24571F27" w:rsidR="002D5C47" w:rsidRDefault="002D5C47" w:rsidP="003B143D">
      <w:r>
        <w:tab/>
        <w:t>The latest examples of EL expre</w:t>
      </w:r>
      <w:r w:rsidR="00C20704">
        <w:t>s</w:t>
      </w:r>
      <w:r>
        <w:t>sions can be found here</w:t>
      </w:r>
      <w:r w:rsidR="00092250">
        <w:t xml:space="preserve"> </w:t>
      </w:r>
      <w:hyperlink r:id="rId9" w:history="1">
        <w:r w:rsidR="00092250" w:rsidRPr="00B21E55">
          <w:rPr>
            <w:rStyle w:val="Hyperlink"/>
          </w:rPr>
          <w:t>http://redmine.inka.in.ua/documents/77</w:t>
        </w:r>
      </w:hyperlink>
      <w:r w:rsidR="00092250">
        <w:t>. Below is a quote regarding age</w:t>
      </w:r>
      <w:r w:rsidR="00C20704">
        <w:t>-</w:t>
      </w:r>
      <w:r w:rsidR="00565042">
        <w:t>related</w:t>
      </w:r>
      <w:r w:rsidR="00092250">
        <w:t xml:space="preserve"> EL expressions: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2977"/>
        <w:gridCol w:w="1559"/>
        <w:gridCol w:w="3260"/>
      </w:tblGrid>
      <w:tr w:rsidR="00092250" w:rsidRPr="00092250" w14:paraId="36BEFFCC" w14:textId="77777777" w:rsidTr="00092250">
        <w:trPr>
          <w:trHeight w:val="449"/>
          <w:tblHeader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622AF9F0" w14:textId="77777777" w:rsidR="00092250" w:rsidRPr="00092250" w:rsidRDefault="00092250" w:rsidP="00092250">
            <w:r w:rsidRPr="00092250">
              <w:rPr>
                <w:b/>
                <w:bCs/>
              </w:rPr>
              <w:lastRenderedPageBreak/>
              <w:t>Data type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25C34671" w14:textId="77777777" w:rsidR="00092250" w:rsidRPr="00092250" w:rsidRDefault="00092250" w:rsidP="00092250">
            <w:r w:rsidRPr="00092250">
              <w:rPr>
                <w:b/>
                <w:bCs/>
              </w:rPr>
              <w:t>Description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4F721B8A" w14:textId="77777777" w:rsidR="00092250" w:rsidRPr="00092250" w:rsidRDefault="00092250" w:rsidP="00092250">
            <w:r w:rsidRPr="00092250">
              <w:rPr>
                <w:b/>
                <w:bCs/>
              </w:rPr>
              <w:t>Convertor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679769B4" w14:textId="77777777" w:rsidR="00092250" w:rsidRPr="00092250" w:rsidRDefault="00092250" w:rsidP="00092250">
            <w:r w:rsidRPr="00092250">
              <w:rPr>
                <w:b/>
                <w:bCs/>
              </w:rPr>
              <w:t>Returns</w:t>
            </w:r>
          </w:p>
        </w:tc>
      </w:tr>
      <w:tr w:rsidR="00092250" w:rsidRPr="00092250" w14:paraId="23B6B455" w14:textId="77777777" w:rsidTr="00092250">
        <w:trPr>
          <w:trHeight w:val="646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5B248A4E" w14:textId="77777777" w:rsidR="00092250" w:rsidRPr="00092250" w:rsidRDefault="00092250" w:rsidP="00092250">
            <w:r w:rsidRPr="00092250">
              <w:t>Age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23DAAD9A" w14:textId="77777777" w:rsidR="00092250" w:rsidRPr="00092250" w:rsidRDefault="00092250" w:rsidP="00092250">
            <w:r w:rsidRPr="00092250">
              <w:t>Full years from the current date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1742A991" w14:textId="77777777" w:rsidR="00092250" w:rsidRPr="00092250" w:rsidRDefault="00092250" w:rsidP="00092250">
            <w:r w:rsidRPr="00092250">
              <w:t>@</w:t>
            </w:r>
            <w:proofErr w:type="gramStart"/>
            <w:r w:rsidRPr="00092250">
              <w:t>years</w:t>
            </w:r>
            <w:proofErr w:type="gramEnd"/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736FD120" w14:textId="3D52D649" w:rsidR="00092250" w:rsidRPr="00092250" w:rsidRDefault="00092250" w:rsidP="00092250">
            <w:r w:rsidRPr="00092250">
              <w:t xml:space="preserve">Years using </w:t>
            </w:r>
            <w:r w:rsidR="00C20704">
              <w:t xml:space="preserve">the </w:t>
            </w:r>
            <w:r w:rsidRPr="00092250">
              <w:t>Gregorian calendar, Arabic numbers</w:t>
            </w:r>
          </w:p>
        </w:tc>
      </w:tr>
      <w:tr w:rsidR="00092250" w:rsidRPr="00092250" w14:paraId="2004CA20" w14:textId="77777777" w:rsidTr="00092250">
        <w:trPr>
          <w:trHeight w:val="646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3330F686" w14:textId="77777777" w:rsidR="00092250" w:rsidRPr="00092250" w:rsidRDefault="00092250" w:rsidP="00092250"/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786E3DC1" w14:textId="77777777" w:rsidR="00092250" w:rsidRPr="00092250" w:rsidRDefault="00092250" w:rsidP="00092250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38441577" w14:textId="77777777" w:rsidR="00092250" w:rsidRPr="00092250" w:rsidRDefault="00092250" w:rsidP="00092250">
            <w:r w:rsidRPr="00092250">
              <w:t>@yearsBS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26F855EA" w14:textId="2DF3946C" w:rsidR="00092250" w:rsidRPr="00092250" w:rsidRDefault="00092250" w:rsidP="00092250">
            <w:r w:rsidRPr="00092250">
              <w:t xml:space="preserve">Years using </w:t>
            </w:r>
            <w:r w:rsidR="00C20704">
              <w:t xml:space="preserve">the </w:t>
            </w:r>
            <w:r w:rsidRPr="00092250">
              <w:t>Gregorian calendar, Nepali numbers</w:t>
            </w:r>
          </w:p>
        </w:tc>
      </w:tr>
      <w:tr w:rsidR="00092250" w:rsidRPr="00092250" w14:paraId="095DB9B5" w14:textId="77777777" w:rsidTr="00092250">
        <w:trPr>
          <w:trHeight w:val="646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72CAF87A" w14:textId="77777777" w:rsidR="00092250" w:rsidRPr="00092250" w:rsidRDefault="00092250" w:rsidP="00092250"/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6FAB4BC4" w14:textId="77777777" w:rsidR="00092250" w:rsidRPr="00092250" w:rsidRDefault="00092250" w:rsidP="00092250"/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19868A54" w14:textId="77777777" w:rsidR="00092250" w:rsidRPr="00092250" w:rsidRDefault="00092250" w:rsidP="00092250">
            <w:r w:rsidRPr="00092250">
              <w:t>@yearBS1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46" w:type="dxa"/>
              <w:left w:w="91" w:type="dxa"/>
              <w:bottom w:w="46" w:type="dxa"/>
              <w:right w:w="91" w:type="dxa"/>
            </w:tcMar>
            <w:hideMark/>
          </w:tcPr>
          <w:p w14:paraId="59757030" w14:textId="77777777" w:rsidR="00092250" w:rsidRPr="00092250" w:rsidRDefault="00092250" w:rsidP="00092250">
            <w:r w:rsidRPr="00092250">
              <w:t>Years using Nepali calendar, Nepali numbers</w:t>
            </w:r>
          </w:p>
        </w:tc>
      </w:tr>
    </w:tbl>
    <w:p w14:paraId="53CECD02" w14:textId="77777777" w:rsidR="00092250" w:rsidRPr="002D5C47" w:rsidRDefault="00092250" w:rsidP="003B143D"/>
    <w:p w14:paraId="00DD8BBF" w14:textId="218B3F05" w:rsidR="003B143D" w:rsidRPr="003B143D" w:rsidRDefault="003B143D" w:rsidP="003B143D">
      <w:r>
        <w:tab/>
        <w:t xml:space="preserve"> </w:t>
      </w:r>
    </w:p>
    <w:p w14:paraId="07140655" w14:textId="5242F3D2" w:rsidR="00FC1F9F" w:rsidRDefault="00FC1F9F" w:rsidP="00FC1F9F">
      <w:pPr>
        <w:pStyle w:val="Heading1"/>
      </w:pPr>
      <w:bookmarkStart w:id="5" w:name="_Toc89022735"/>
      <w:r>
        <w:t>Report configuration feature (Issue 1187)</w:t>
      </w:r>
      <w:bookmarkEnd w:id="5"/>
    </w:p>
    <w:p w14:paraId="731B9299" w14:textId="7082583A" w:rsidR="00FC1F9F" w:rsidRDefault="00FC1F9F" w:rsidP="00FC1F9F">
      <w:pPr>
        <w:pStyle w:val="Heading2"/>
      </w:pPr>
      <w:bookmarkStart w:id="6" w:name="_Toc89022736"/>
      <w:r>
        <w:t>Where to find it?</w:t>
      </w:r>
      <w:bookmarkEnd w:id="6"/>
    </w:p>
    <w:p w14:paraId="537F9065" w14:textId="554365CF" w:rsidR="000517E9" w:rsidRDefault="000517E9" w:rsidP="000517E9">
      <w:pPr>
        <w:keepNext/>
      </w:pPr>
      <w:r>
        <w:tab/>
        <w:t>Administrate-Configuration-Reports</w:t>
      </w:r>
    </w:p>
    <w:p w14:paraId="15A58926" w14:textId="21570919" w:rsidR="000517E9" w:rsidRPr="000517E9" w:rsidRDefault="000517E9" w:rsidP="000517E9">
      <w:r>
        <w:rPr>
          <w:noProof/>
        </w:rPr>
        <w:drawing>
          <wp:inline distT="0" distB="0" distL="0" distR="0" wp14:anchorId="2304BE3A" wp14:editId="07EEF2F6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687" w14:textId="1E53C68E" w:rsidR="00FC1F9F" w:rsidRDefault="00FC1F9F" w:rsidP="00FC1F9F">
      <w:pPr>
        <w:pStyle w:val="Heading2"/>
      </w:pPr>
      <w:bookmarkStart w:id="7" w:name="_Toc89022737"/>
      <w:r>
        <w:t>How does it work?</w:t>
      </w:r>
      <w:bookmarkEnd w:id="7"/>
    </w:p>
    <w:p w14:paraId="466EA090" w14:textId="721C304F" w:rsidR="00521E19" w:rsidRDefault="005F1C5C" w:rsidP="005F1C5C">
      <w:r>
        <w:tab/>
      </w:r>
      <w:r w:rsidR="00C20704">
        <w:t>A r</w:t>
      </w:r>
      <w:r>
        <w:t>eport is a table that contains basic information about sites or products. Any given report intends to provide information regarding</w:t>
      </w:r>
      <w:r w:rsidR="00521E19">
        <w:t xml:space="preserve"> an application </w:t>
      </w:r>
      <w:r w:rsidR="00C20704">
        <w:t xml:space="preserve">at </w:t>
      </w:r>
      <w:r w:rsidR="00521E19">
        <w:t xml:space="preserve">some stage of </w:t>
      </w:r>
      <w:r w:rsidR="00C20704">
        <w:t xml:space="preserve">its </w:t>
      </w:r>
      <w:r w:rsidR="00521E19">
        <w:t>lifecycle. Examples are:</w:t>
      </w:r>
    </w:p>
    <w:p w14:paraId="759F2635" w14:textId="40E31B07" w:rsidR="00521E19" w:rsidRDefault="00C20704" w:rsidP="00A96B53">
      <w:pPr>
        <w:pStyle w:val="ListParagraph"/>
        <w:numPr>
          <w:ilvl w:val="0"/>
          <w:numId w:val="2"/>
        </w:numPr>
      </w:pPr>
      <w:r>
        <w:t>The r</w:t>
      </w:r>
      <w:r w:rsidR="00A53A7F">
        <w:t>etail pharmac</w:t>
      </w:r>
      <w:r>
        <w:t>y</w:t>
      </w:r>
      <w:r w:rsidR="00A53A7F">
        <w:t xml:space="preserve"> with valid registration</w:t>
      </w:r>
    </w:p>
    <w:p w14:paraId="29CC662F" w14:textId="795DF2C0" w:rsidR="00A53A7F" w:rsidRDefault="00A53A7F" w:rsidP="00A96B53">
      <w:pPr>
        <w:pStyle w:val="ListParagraph"/>
        <w:numPr>
          <w:ilvl w:val="0"/>
          <w:numId w:val="2"/>
        </w:numPr>
      </w:pPr>
      <w:r>
        <w:t>Importer sites that are not registered yet</w:t>
      </w:r>
    </w:p>
    <w:p w14:paraId="2436B6C6" w14:textId="1FB0C701" w:rsidR="00A53A7F" w:rsidRPr="005F1C5C" w:rsidRDefault="00A53A7F" w:rsidP="00A96B53">
      <w:pPr>
        <w:pStyle w:val="ListParagraph"/>
        <w:numPr>
          <w:ilvl w:val="0"/>
          <w:numId w:val="2"/>
        </w:numPr>
      </w:pPr>
      <w:proofErr w:type="gramStart"/>
      <w:r>
        <w:t>Wholesalers</w:t>
      </w:r>
      <w:proofErr w:type="gramEnd"/>
      <w:r>
        <w:t xml:space="preserve"> pharmacies that lost registration certificate</w:t>
      </w:r>
    </w:p>
    <w:p w14:paraId="290ED7E0" w14:textId="77777777" w:rsidR="00A53A7F" w:rsidRDefault="00A53A7F" w:rsidP="00521E19">
      <w:pPr>
        <w:ind w:firstLine="720"/>
      </w:pPr>
      <w:r>
        <w:t>The Pharmadex 2 deals with two classes of objects:</w:t>
      </w:r>
    </w:p>
    <w:p w14:paraId="1D37F9B6" w14:textId="43F82657" w:rsidR="00A53A7F" w:rsidRDefault="00A53A7F" w:rsidP="00A96B53">
      <w:pPr>
        <w:pStyle w:val="ListParagraph"/>
        <w:numPr>
          <w:ilvl w:val="0"/>
          <w:numId w:val="3"/>
        </w:numPr>
      </w:pPr>
      <w:proofErr w:type="gramStart"/>
      <w:r>
        <w:lastRenderedPageBreak/>
        <w:t>Sites  -</w:t>
      </w:r>
      <w:proofErr w:type="gramEnd"/>
      <w:r>
        <w:t xml:space="preserve"> something that has</w:t>
      </w:r>
      <w:r w:rsidR="00D95820">
        <w:t xml:space="preserve"> a name,</w:t>
      </w:r>
      <w:r>
        <w:t xml:space="preserve"> an address</w:t>
      </w:r>
      <w:r w:rsidR="00C20704">
        <w:t>,</w:t>
      </w:r>
      <w:r>
        <w:t xml:space="preserve"> and owners, like pharmacies, manufacturers plants</w:t>
      </w:r>
    </w:p>
    <w:p w14:paraId="745BF585" w14:textId="21E3A934" w:rsidR="00A53A7F" w:rsidRDefault="00A53A7F" w:rsidP="00A96B53">
      <w:pPr>
        <w:pStyle w:val="ListParagraph"/>
        <w:numPr>
          <w:ilvl w:val="0"/>
          <w:numId w:val="3"/>
        </w:numPr>
      </w:pPr>
      <w:r>
        <w:t>Products – something that</w:t>
      </w:r>
      <w:r w:rsidR="00D95820">
        <w:t xml:space="preserve"> </w:t>
      </w:r>
      <w:r w:rsidR="00427324">
        <w:t>suit</w:t>
      </w:r>
      <w:r w:rsidR="00C20704">
        <w:t>s</w:t>
      </w:r>
      <w:r w:rsidR="00427324">
        <w:t xml:space="preserve"> </w:t>
      </w:r>
      <w:r w:rsidR="0055751A">
        <w:t>Medicinal Product in standard HL7 (</w:t>
      </w:r>
      <w:hyperlink r:id="rId11" w:history="1">
        <w:r w:rsidR="0055751A" w:rsidRPr="00B21E55">
          <w:rPr>
            <w:rStyle w:val="Hyperlink"/>
          </w:rPr>
          <w:t>http://hl7.org/fhir/medicinalproduct.html</w:t>
        </w:r>
      </w:hyperlink>
      <w:r w:rsidR="0055751A">
        <w:t xml:space="preserve">) </w:t>
      </w:r>
    </w:p>
    <w:p w14:paraId="0EAA608B" w14:textId="35DF0250" w:rsidR="0055751A" w:rsidRDefault="00A53A7F" w:rsidP="0055751A">
      <w:pPr>
        <w:ind w:firstLine="720"/>
      </w:pPr>
      <w:r>
        <w:t>The basic information set</w:t>
      </w:r>
      <w:r w:rsidR="0055751A">
        <w:t>s</w:t>
      </w:r>
      <w:r>
        <w:t xml:space="preserve"> for a product and a site </w:t>
      </w:r>
      <w:r w:rsidR="0055751A">
        <w:t>are different.</w:t>
      </w:r>
    </w:p>
    <w:p w14:paraId="0EF4E518" w14:textId="47688969" w:rsidR="005F1C5C" w:rsidRPr="005F1C5C" w:rsidRDefault="005F1C5C" w:rsidP="00521E19">
      <w:pPr>
        <w:ind w:firstLine="720"/>
      </w:pPr>
      <w:r>
        <w:t>For any report should be created a configuration record.</w:t>
      </w:r>
      <w:r w:rsidR="00521E19">
        <w:t xml:space="preserve"> See examples below. This full report configuration guide will </w:t>
      </w:r>
      <w:r w:rsidR="00C20704">
        <w:t xml:space="preserve">be </w:t>
      </w:r>
      <w:r w:rsidR="00521E19">
        <w:t>coming soon.</w:t>
      </w:r>
    </w:p>
    <w:p w14:paraId="0FB8E85A" w14:textId="5A8258BE" w:rsidR="00FC1F9F" w:rsidRDefault="00FC1F9F" w:rsidP="00FC1F9F">
      <w:pPr>
        <w:pStyle w:val="Heading2"/>
      </w:pPr>
      <w:bookmarkStart w:id="8" w:name="_Toc89022738"/>
      <w:r>
        <w:t>An example for a site</w:t>
      </w:r>
      <w:bookmarkEnd w:id="8"/>
    </w:p>
    <w:p w14:paraId="737FE5AB" w14:textId="7725EBFB" w:rsidR="004C3690" w:rsidRDefault="004C3690" w:rsidP="00A53A7F">
      <w:r>
        <w:rPr>
          <w:noProof/>
        </w:rPr>
        <w:drawing>
          <wp:inline distT="0" distB="0" distL="0" distR="0" wp14:anchorId="423611F7" wp14:editId="1F58AC36">
            <wp:extent cx="5943600" cy="3228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57F" w14:textId="5FC8DFF4" w:rsidR="004C3690" w:rsidRDefault="004C3690" w:rsidP="00A96B53">
      <w:pPr>
        <w:pStyle w:val="ListParagraph"/>
        <w:numPr>
          <w:ilvl w:val="0"/>
          <w:numId w:val="4"/>
        </w:numPr>
      </w:pPr>
      <w:r>
        <w:t>Who can access this report?</w:t>
      </w:r>
    </w:p>
    <w:p w14:paraId="38448169" w14:textId="00A0D011" w:rsidR="004C3690" w:rsidRDefault="004C3690" w:rsidP="00A96B53">
      <w:pPr>
        <w:pStyle w:val="ListParagraph"/>
        <w:numPr>
          <w:ilvl w:val="0"/>
          <w:numId w:val="4"/>
        </w:numPr>
      </w:pPr>
      <w:r>
        <w:t>Which stage of the lifecycle covers this report?</w:t>
      </w:r>
    </w:p>
    <w:p w14:paraId="30D95057" w14:textId="345ADF8A" w:rsidR="004C3690" w:rsidRDefault="004C3690" w:rsidP="00A96B53">
      <w:pPr>
        <w:pStyle w:val="ListParagraph"/>
        <w:numPr>
          <w:ilvl w:val="0"/>
          <w:numId w:val="4"/>
        </w:numPr>
      </w:pPr>
      <w:r>
        <w:t>An application, which data is reporting</w:t>
      </w:r>
    </w:p>
    <w:p w14:paraId="1D3E6FED" w14:textId="106C4C87" w:rsidR="004C3690" w:rsidRDefault="004C3690" w:rsidP="00A96B53">
      <w:pPr>
        <w:pStyle w:val="ListParagraph"/>
        <w:numPr>
          <w:ilvl w:val="0"/>
          <w:numId w:val="4"/>
        </w:numPr>
      </w:pPr>
      <w:r>
        <w:t>Visible name of a report in User Interface. It allows multi-langu</w:t>
      </w:r>
      <w:r w:rsidR="00C20704">
        <w:t>a</w:t>
      </w:r>
      <w:r>
        <w:t>ge.</w:t>
      </w:r>
    </w:p>
    <w:p w14:paraId="66F3DCEE" w14:textId="03DAD291" w:rsidR="004C3690" w:rsidRDefault="004C3690" w:rsidP="00A96B53">
      <w:pPr>
        <w:pStyle w:val="ListParagraph"/>
        <w:numPr>
          <w:ilvl w:val="0"/>
          <w:numId w:val="4"/>
        </w:numPr>
      </w:pPr>
      <w:r>
        <w:t xml:space="preserve">The help </w:t>
      </w:r>
      <w:proofErr w:type="gramStart"/>
      <w:r>
        <w:t>text</w:t>
      </w:r>
      <w:proofErr w:type="gramEnd"/>
      <w:r>
        <w:t>. It allows multi-language.</w:t>
      </w:r>
    </w:p>
    <w:p w14:paraId="7CCCABB6" w14:textId="1A65BADA" w:rsidR="00112D5C" w:rsidRDefault="00315C04" w:rsidP="00A96B53">
      <w:pPr>
        <w:pStyle w:val="ListParagraph"/>
        <w:numPr>
          <w:ilvl w:val="0"/>
          <w:numId w:val="4"/>
        </w:numPr>
      </w:pPr>
      <w:r>
        <w:t>URL of the register contains certificate number</w:t>
      </w:r>
    </w:p>
    <w:p w14:paraId="4BBE0247" w14:textId="5FB13D77" w:rsidR="00315C04" w:rsidRDefault="00315C04" w:rsidP="00A96B53">
      <w:pPr>
        <w:pStyle w:val="ListParagraph"/>
        <w:numPr>
          <w:ilvl w:val="0"/>
          <w:numId w:val="4"/>
        </w:numPr>
      </w:pPr>
      <w:r>
        <w:t>URL</w:t>
      </w:r>
      <w:r w:rsidR="00676680">
        <w:t xml:space="preserve"> of the renewal application</w:t>
      </w:r>
    </w:p>
    <w:p w14:paraId="609B69C4" w14:textId="46B2D9EA" w:rsidR="00315C04" w:rsidRDefault="00315C04" w:rsidP="00A96B53">
      <w:pPr>
        <w:pStyle w:val="ListParagraph"/>
        <w:numPr>
          <w:ilvl w:val="0"/>
          <w:numId w:val="4"/>
        </w:numPr>
      </w:pPr>
      <w:r>
        <w:t>URL of the site addresses</w:t>
      </w:r>
    </w:p>
    <w:p w14:paraId="57C5182B" w14:textId="436BD20B" w:rsidR="00112D5C" w:rsidRDefault="00315C04" w:rsidP="00A96B53">
      <w:pPr>
        <w:pStyle w:val="ListParagraph"/>
        <w:numPr>
          <w:ilvl w:val="0"/>
          <w:numId w:val="4"/>
        </w:numPr>
      </w:pPr>
      <w:r>
        <w:t xml:space="preserve">URL of the site owners (a UI form contains </w:t>
      </w:r>
    </w:p>
    <w:p w14:paraId="08D157E6" w14:textId="2E978B13" w:rsidR="004C3690" w:rsidRPr="00A53A7F" w:rsidRDefault="00315C04" w:rsidP="00A96B53">
      <w:pPr>
        <w:pStyle w:val="ListParagraph"/>
        <w:numPr>
          <w:ilvl w:val="0"/>
          <w:numId w:val="4"/>
        </w:numPr>
      </w:pPr>
      <w:r>
        <w:t>Inspection application URL</w:t>
      </w:r>
    </w:p>
    <w:p w14:paraId="4BDD05D2" w14:textId="06BF1D71" w:rsidR="00FC1F9F" w:rsidRDefault="00FC1F9F" w:rsidP="00FC1F9F">
      <w:pPr>
        <w:pStyle w:val="Heading2"/>
      </w:pPr>
      <w:bookmarkStart w:id="9" w:name="_Toc89022739"/>
      <w:r>
        <w:lastRenderedPageBreak/>
        <w:t>An example for a product</w:t>
      </w:r>
      <w:bookmarkEnd w:id="9"/>
    </w:p>
    <w:p w14:paraId="6CD91ABD" w14:textId="6DF311BE" w:rsidR="00315C04" w:rsidRDefault="00676680" w:rsidP="00315C04">
      <w:r>
        <w:rPr>
          <w:noProof/>
        </w:rPr>
        <w:drawing>
          <wp:inline distT="0" distB="0" distL="0" distR="0" wp14:anchorId="3C9C8FF6" wp14:editId="1FCB37CC">
            <wp:extent cx="5943600" cy="420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61E4" w14:textId="77777777" w:rsidR="00676680" w:rsidRDefault="00676680" w:rsidP="00A96B53">
      <w:pPr>
        <w:pStyle w:val="ListParagraph"/>
        <w:numPr>
          <w:ilvl w:val="0"/>
          <w:numId w:val="5"/>
        </w:numPr>
      </w:pPr>
      <w:r>
        <w:t>Who can access this report?</w:t>
      </w:r>
    </w:p>
    <w:p w14:paraId="0DE628B8" w14:textId="77777777" w:rsidR="00676680" w:rsidRDefault="00676680" w:rsidP="00A96B53">
      <w:pPr>
        <w:pStyle w:val="ListParagraph"/>
        <w:numPr>
          <w:ilvl w:val="0"/>
          <w:numId w:val="5"/>
        </w:numPr>
      </w:pPr>
      <w:r>
        <w:t>Which stage of the lifecycle covers this report?</w:t>
      </w:r>
    </w:p>
    <w:p w14:paraId="51B4D9DC" w14:textId="77777777" w:rsidR="00676680" w:rsidRDefault="00676680" w:rsidP="00A96B53">
      <w:pPr>
        <w:pStyle w:val="ListParagraph"/>
        <w:numPr>
          <w:ilvl w:val="0"/>
          <w:numId w:val="5"/>
        </w:numPr>
      </w:pPr>
      <w:r>
        <w:t>An application, which data is reporting</w:t>
      </w:r>
    </w:p>
    <w:p w14:paraId="22169D8C" w14:textId="25C0802E" w:rsidR="00676680" w:rsidRDefault="00676680" w:rsidP="00A96B53">
      <w:pPr>
        <w:pStyle w:val="ListParagraph"/>
        <w:numPr>
          <w:ilvl w:val="0"/>
          <w:numId w:val="5"/>
        </w:numPr>
      </w:pPr>
      <w:r>
        <w:t>Visible name of a report in User Interface. It allows multi-langu</w:t>
      </w:r>
      <w:r w:rsidR="00C20704">
        <w:t>a</w:t>
      </w:r>
      <w:r>
        <w:t>ge.</w:t>
      </w:r>
    </w:p>
    <w:p w14:paraId="58A6C86B" w14:textId="77777777" w:rsidR="00676680" w:rsidRDefault="00676680" w:rsidP="00A96B53">
      <w:pPr>
        <w:pStyle w:val="ListParagraph"/>
        <w:numPr>
          <w:ilvl w:val="0"/>
          <w:numId w:val="5"/>
        </w:numPr>
      </w:pPr>
      <w:r>
        <w:t xml:space="preserve">The help </w:t>
      </w:r>
      <w:proofErr w:type="gramStart"/>
      <w:r>
        <w:t>text</w:t>
      </w:r>
      <w:proofErr w:type="gramEnd"/>
      <w:r>
        <w:t>. It allows multi-language.</w:t>
      </w:r>
    </w:p>
    <w:p w14:paraId="1163926E" w14:textId="77777777" w:rsidR="00676680" w:rsidRDefault="00676680" w:rsidP="00A96B53">
      <w:pPr>
        <w:pStyle w:val="ListParagraph"/>
        <w:numPr>
          <w:ilvl w:val="0"/>
          <w:numId w:val="5"/>
        </w:numPr>
      </w:pPr>
      <w:r>
        <w:t>URL of the register contains certificate number</w:t>
      </w:r>
    </w:p>
    <w:p w14:paraId="33F54C78" w14:textId="170C636E" w:rsidR="00676680" w:rsidRDefault="00676680" w:rsidP="00A96B53">
      <w:pPr>
        <w:pStyle w:val="ListParagraph"/>
        <w:numPr>
          <w:ilvl w:val="0"/>
          <w:numId w:val="5"/>
        </w:numPr>
      </w:pPr>
      <w:r>
        <w:t>URL of the renewal application</w:t>
      </w:r>
    </w:p>
    <w:p w14:paraId="4BDE6E4A" w14:textId="08CCF197" w:rsidR="00676680" w:rsidRPr="00A53A7F" w:rsidRDefault="00676680" w:rsidP="00A96B53">
      <w:pPr>
        <w:pStyle w:val="ListParagraph"/>
        <w:numPr>
          <w:ilvl w:val="0"/>
          <w:numId w:val="5"/>
        </w:numPr>
      </w:pPr>
      <w:r>
        <w:t>URL of the applicant</w:t>
      </w:r>
    </w:p>
    <w:p w14:paraId="6E5F1F5C" w14:textId="32322770" w:rsidR="00676680" w:rsidRDefault="00676680" w:rsidP="00676680">
      <w:pPr>
        <w:pStyle w:val="Heading2"/>
      </w:pPr>
      <w:bookmarkStart w:id="10" w:name="_Toc89022740"/>
      <w:r>
        <w:lastRenderedPageBreak/>
        <w:t>How to use reports?</w:t>
      </w:r>
      <w:bookmarkEnd w:id="10"/>
    </w:p>
    <w:p w14:paraId="491FCE93" w14:textId="61102BB6" w:rsidR="00676680" w:rsidRDefault="00676680" w:rsidP="00D47933">
      <w:pPr>
        <w:keepNext/>
      </w:pPr>
      <w:r>
        <w:tab/>
        <w:t xml:space="preserve">Open </w:t>
      </w:r>
      <w:r w:rsidR="00D47933">
        <w:t>Reports and select a report</w:t>
      </w:r>
    </w:p>
    <w:p w14:paraId="4469C95F" w14:textId="0E7B1348" w:rsidR="00D47933" w:rsidRDefault="00D47933" w:rsidP="00676680">
      <w:r>
        <w:rPr>
          <w:noProof/>
        </w:rPr>
        <w:drawing>
          <wp:inline distT="0" distB="0" distL="0" distR="0" wp14:anchorId="6B2764B3" wp14:editId="797AE410">
            <wp:extent cx="2849880" cy="233435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452" cy="23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023" w14:textId="19362D53" w:rsidR="00D47933" w:rsidRDefault="00D47933" w:rsidP="00676680">
      <w:r>
        <w:rPr>
          <w:noProof/>
        </w:rPr>
        <w:drawing>
          <wp:inline distT="0" distB="0" distL="0" distR="0" wp14:anchorId="2A5E3CA4" wp14:editId="1D52C011">
            <wp:extent cx="5943600" cy="1155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9D1" w14:textId="7496C7AD" w:rsidR="00D47933" w:rsidRDefault="00D47933" w:rsidP="00676680">
      <w:r>
        <w:rPr>
          <w:noProof/>
        </w:rPr>
        <w:drawing>
          <wp:inline distT="0" distB="0" distL="0" distR="0" wp14:anchorId="57772611" wp14:editId="73B52F59">
            <wp:extent cx="5943600" cy="320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A6C" w14:textId="77777777" w:rsidR="00D47933" w:rsidRDefault="00D47933" w:rsidP="00676680"/>
    <w:p w14:paraId="1174B353" w14:textId="08E66C3C" w:rsidR="00D47933" w:rsidRDefault="00D47933" w:rsidP="00D47933">
      <w:pPr>
        <w:keepNext/>
      </w:pPr>
      <w:r>
        <w:lastRenderedPageBreak/>
        <w:t>You can drill down to a site or product</w:t>
      </w:r>
    </w:p>
    <w:p w14:paraId="0AD2F9DD" w14:textId="3BC10F77" w:rsidR="00D47933" w:rsidRDefault="00D47933" w:rsidP="00676680">
      <w:r>
        <w:rPr>
          <w:noProof/>
        </w:rPr>
        <w:drawing>
          <wp:inline distT="0" distB="0" distL="0" distR="0" wp14:anchorId="78BDEFCC" wp14:editId="499CD51D">
            <wp:extent cx="5943600" cy="4332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163A" w14:textId="628BC36F" w:rsidR="00D47933" w:rsidRDefault="00D47933" w:rsidP="003B143D">
      <w:pPr>
        <w:keepNext/>
      </w:pPr>
      <w:r>
        <w:t>or get it in Excel format</w:t>
      </w:r>
    </w:p>
    <w:p w14:paraId="26D56AB1" w14:textId="138C5CEB" w:rsidR="00D47933" w:rsidRDefault="003B143D" w:rsidP="00676680">
      <w:r>
        <w:rPr>
          <w:noProof/>
        </w:rPr>
        <w:drawing>
          <wp:inline distT="0" distB="0" distL="0" distR="0" wp14:anchorId="0AD55FC4" wp14:editId="529B3151">
            <wp:extent cx="5943600" cy="2356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04F" w14:textId="77777777" w:rsidR="00D47933" w:rsidRPr="00676680" w:rsidRDefault="00D47933" w:rsidP="00676680"/>
    <w:p w14:paraId="3C5CBE9E" w14:textId="77777777" w:rsidR="00676680" w:rsidRPr="00676680" w:rsidRDefault="00676680" w:rsidP="00676680"/>
    <w:p w14:paraId="6BB812E6" w14:textId="22E6F921" w:rsidR="00FC1F9F" w:rsidRDefault="00FC1F9F" w:rsidP="00FC1F9F">
      <w:pPr>
        <w:pStyle w:val="Heading1"/>
      </w:pPr>
      <w:bookmarkStart w:id="11" w:name="_Toc89022741"/>
      <w:r>
        <w:lastRenderedPageBreak/>
        <w:t>System issue on the MSH server (Issue 1194)</w:t>
      </w:r>
      <w:bookmarkEnd w:id="11"/>
    </w:p>
    <w:p w14:paraId="11F037D7" w14:textId="70CFDF93" w:rsidR="00B64BFE" w:rsidRDefault="00B64BFE" w:rsidP="00B64BFE">
      <w:pPr>
        <w:pStyle w:val="Heading2"/>
      </w:pPr>
      <w:bookmarkStart w:id="12" w:name="_Toc89022742"/>
      <w:r>
        <w:t>The issue</w:t>
      </w:r>
      <w:bookmarkEnd w:id="12"/>
    </w:p>
    <w:p w14:paraId="71C10F53" w14:textId="62ACCF5B" w:rsidR="00B64BFE" w:rsidRDefault="00B64BFE" w:rsidP="00B64BFE">
      <w:r>
        <w:tab/>
        <w:t>The Google login feature require</w:t>
      </w:r>
      <w:r w:rsidR="00C20704">
        <w:t>s</w:t>
      </w:r>
      <w:r>
        <w:t xml:space="preserve"> </w:t>
      </w:r>
      <w:r w:rsidR="00C20704">
        <w:t xml:space="preserve">the </w:t>
      </w:r>
      <w:r>
        <w:t xml:space="preserve">right system time on the server. The Pharmadex 2 is using </w:t>
      </w:r>
      <w:r w:rsidR="00C20704">
        <w:t xml:space="preserve">the </w:t>
      </w:r>
      <w:r>
        <w:t xml:space="preserve">Google login feature. The system time in </w:t>
      </w:r>
      <w:r w:rsidR="00C20704">
        <w:t xml:space="preserve">the </w:t>
      </w:r>
      <w:r>
        <w:t>MSH network domain is wrong. Thus, it is impossible to use MSH servers to host Pharmadex 2 before this issue will be resolved.</w:t>
      </w:r>
    </w:p>
    <w:p w14:paraId="32A699B1" w14:textId="1F131B6C" w:rsidR="00B64BFE" w:rsidRDefault="00B64BFE" w:rsidP="00B64BFE">
      <w:pPr>
        <w:pStyle w:val="Heading2"/>
      </w:pPr>
      <w:bookmarkStart w:id="13" w:name="_Toc89022743"/>
      <w:r>
        <w:t>The proof</w:t>
      </w:r>
      <w:bookmarkEnd w:id="13"/>
    </w:p>
    <w:p w14:paraId="3B0FCF9B" w14:textId="3A303080" w:rsidR="00AD7B35" w:rsidRPr="00AD7B35" w:rsidRDefault="00AD7B35" w:rsidP="00AD7B35">
      <w:r>
        <w:t>A screenshot from the server</w:t>
      </w:r>
    </w:p>
    <w:p w14:paraId="2D18B759" w14:textId="730595A0" w:rsidR="00B64BFE" w:rsidRPr="00B64BFE" w:rsidRDefault="00AD7B35" w:rsidP="00B64BFE">
      <w:r>
        <w:rPr>
          <w:noProof/>
        </w:rPr>
        <w:drawing>
          <wp:inline distT="0" distB="0" distL="0" distR="0" wp14:anchorId="384A1BA1" wp14:editId="26E7A0DE">
            <wp:extent cx="5943600" cy="31019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1BA" w14:textId="0AF0264A" w:rsidR="00B24AE2" w:rsidRPr="00B24AE2" w:rsidRDefault="00AD7B35" w:rsidP="00B24AE2">
      <w:pPr>
        <w:pStyle w:val="Heading2"/>
      </w:pPr>
      <w:bookmarkStart w:id="14" w:name="_Toc89022744"/>
      <w:r>
        <w:lastRenderedPageBreak/>
        <w:t>The effect</w:t>
      </w:r>
      <w:bookmarkEnd w:id="14"/>
    </w:p>
    <w:p w14:paraId="0EA97F96" w14:textId="39F98973" w:rsidR="00AD7B35" w:rsidRDefault="00B24AE2" w:rsidP="00AD7B35">
      <w:r>
        <w:rPr>
          <w:noProof/>
        </w:rPr>
        <w:drawing>
          <wp:inline distT="0" distB="0" distL="0" distR="0" wp14:anchorId="3B630B5A" wp14:editId="5022D785">
            <wp:extent cx="5943600" cy="485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4BF" w14:textId="422B39F8" w:rsidR="00B24AE2" w:rsidRDefault="00B24AE2" w:rsidP="00AD7B35">
      <w:r>
        <w:t xml:space="preserve">Above is another screenshot from the server. On this screenshot </w:t>
      </w:r>
      <w:r w:rsidR="00C20704">
        <w:t>is</w:t>
      </w:r>
      <w:r>
        <w:t xml:space="preserve"> </w:t>
      </w:r>
      <w:r w:rsidR="00C20704">
        <w:t xml:space="preserve">a </w:t>
      </w:r>
      <w:r>
        <w:t xml:space="preserve">fragment of </w:t>
      </w:r>
      <w:r w:rsidR="00C20704">
        <w:t xml:space="preserve">the </w:t>
      </w:r>
      <w:r>
        <w:t xml:space="preserve">Pharmadex 2 log file and system clock on the server, just after an attempt to login using Google. </w:t>
      </w:r>
    </w:p>
    <w:p w14:paraId="3D785BD2" w14:textId="1AF7F8D8" w:rsidR="00B64BFE" w:rsidRDefault="00B24AE2" w:rsidP="00AF4C44">
      <w:pPr>
        <w:ind w:firstLine="720"/>
      </w:pPr>
      <w:r>
        <w:t>Google sends an electronic key (ID Token) that prove</w:t>
      </w:r>
      <w:r w:rsidR="00C20704">
        <w:t>s</w:t>
      </w:r>
      <w:r>
        <w:t xml:space="preserve"> the user’s right to use an application. However</w:t>
      </w:r>
      <w:r w:rsidR="00AF4C44">
        <w:t>,</w:t>
      </w:r>
      <w:r>
        <w:t xml:space="preserve"> for </w:t>
      </w:r>
      <w:r w:rsidR="00C20704">
        <w:t xml:space="preserve">the </w:t>
      </w:r>
      <w:r>
        <w:t>server</w:t>
      </w:r>
      <w:r w:rsidR="00C20704">
        <w:t>,</w:t>
      </w:r>
      <w:r>
        <w:t xml:space="preserve"> this token looks like sent from the future - 1 min difference</w:t>
      </w:r>
      <w:r>
        <w:rPr>
          <w:rStyle w:val="FootnoteReference"/>
        </w:rPr>
        <w:footnoteReference w:id="1"/>
      </w:r>
      <w:r>
        <w:t>.  Indeed, the security software</w:t>
      </w:r>
      <w:r w:rsidR="00E40DC4">
        <w:t xml:space="preserve"> of Pharmadex 2</w:t>
      </w:r>
      <w:r>
        <w:t xml:space="preserve"> will not trust this token.</w:t>
      </w:r>
    </w:p>
    <w:p w14:paraId="1DCFCA3A" w14:textId="478DD0F6" w:rsidR="00B64BFE" w:rsidRPr="00B64BFE" w:rsidRDefault="00B64BFE" w:rsidP="00B64BFE">
      <w:r>
        <w:tab/>
      </w:r>
    </w:p>
    <w:p w14:paraId="0B6F77B4" w14:textId="77777777" w:rsidR="00FC1F9F" w:rsidRPr="00FC1F9F" w:rsidRDefault="00FC1F9F" w:rsidP="00FC1F9F"/>
    <w:sectPr w:rsidR="00FC1F9F" w:rsidRPr="00FC1F9F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94A7" w14:textId="77777777" w:rsidR="00970609" w:rsidRDefault="00970609" w:rsidP="00EB0FAC">
      <w:pPr>
        <w:spacing w:after="0" w:line="240" w:lineRule="auto"/>
      </w:pPr>
      <w:r>
        <w:separator/>
      </w:r>
    </w:p>
  </w:endnote>
  <w:endnote w:type="continuationSeparator" w:id="0">
    <w:p w14:paraId="6CF74ECC" w14:textId="77777777" w:rsidR="00970609" w:rsidRDefault="00970609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915B" w14:textId="77777777" w:rsidR="00970609" w:rsidRDefault="00970609" w:rsidP="00EB0FAC">
      <w:pPr>
        <w:spacing w:after="0" w:line="240" w:lineRule="auto"/>
      </w:pPr>
      <w:r>
        <w:separator/>
      </w:r>
    </w:p>
  </w:footnote>
  <w:footnote w:type="continuationSeparator" w:id="0">
    <w:p w14:paraId="2ACFCACB" w14:textId="77777777" w:rsidR="00970609" w:rsidRDefault="00970609" w:rsidP="00EB0FAC">
      <w:pPr>
        <w:spacing w:after="0" w:line="240" w:lineRule="auto"/>
      </w:pPr>
      <w:r>
        <w:continuationSeparator/>
      </w:r>
    </w:p>
  </w:footnote>
  <w:footnote w:id="1">
    <w:p w14:paraId="6463F3A2" w14:textId="71D47B1A" w:rsidR="00B24AE2" w:rsidRDefault="00B24AE2">
      <w:pPr>
        <w:pStyle w:val="FootnoteText"/>
      </w:pPr>
      <w:r>
        <w:rPr>
          <w:rStyle w:val="FootnoteReference"/>
        </w:rPr>
        <w:footnoteRef/>
      </w:r>
      <w:r>
        <w:t xml:space="preserve"> The date and hours are in a </w:t>
      </w:r>
      <w:r w:rsidR="00E40DC4">
        <w:t>different tome zone</w:t>
      </w:r>
      <w:r>
        <w:t>, but absolute time for MSH server is about 1 min later then for the Google server.</w:t>
      </w:r>
      <w:r w:rsidR="00AF4C44">
        <w:t xml:space="preserve"> Thus, from MSH server’s point of view, the Google server is working in a future.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4FAANjJ9Q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44BC"/>
    <w:rsid w:val="0004614C"/>
    <w:rsid w:val="000517E9"/>
    <w:rsid w:val="00065B6F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2D5C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1A02"/>
    <w:rsid w:val="002177F0"/>
    <w:rsid w:val="002246BC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D5C47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143D"/>
    <w:rsid w:val="003B379F"/>
    <w:rsid w:val="003B622C"/>
    <w:rsid w:val="003C6D92"/>
    <w:rsid w:val="003D717C"/>
    <w:rsid w:val="003F1B00"/>
    <w:rsid w:val="003F37E0"/>
    <w:rsid w:val="003F6591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C3690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76680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70609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502E"/>
    <w:rsid w:val="00A303AB"/>
    <w:rsid w:val="00A339B3"/>
    <w:rsid w:val="00A35F20"/>
    <w:rsid w:val="00A53A7F"/>
    <w:rsid w:val="00A5719C"/>
    <w:rsid w:val="00A63C69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449CA"/>
    <w:rsid w:val="00B464DD"/>
    <w:rsid w:val="00B64AD2"/>
    <w:rsid w:val="00B64BFE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20704"/>
    <w:rsid w:val="00C2173E"/>
    <w:rsid w:val="00C3502D"/>
    <w:rsid w:val="00C36E96"/>
    <w:rsid w:val="00C37A25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73F83"/>
    <w:rsid w:val="00D75022"/>
    <w:rsid w:val="00D75681"/>
    <w:rsid w:val="00D90BFA"/>
    <w:rsid w:val="00D92FBC"/>
    <w:rsid w:val="00D95820"/>
    <w:rsid w:val="00DB310A"/>
    <w:rsid w:val="00DB42F2"/>
    <w:rsid w:val="00DC306C"/>
    <w:rsid w:val="00DC3EB2"/>
    <w:rsid w:val="00DC5564"/>
    <w:rsid w:val="00DC7494"/>
    <w:rsid w:val="00DE335B"/>
    <w:rsid w:val="00DF31E5"/>
    <w:rsid w:val="00DF5225"/>
    <w:rsid w:val="00E02B5A"/>
    <w:rsid w:val="00E1056D"/>
    <w:rsid w:val="00E1746D"/>
    <w:rsid w:val="00E17769"/>
    <w:rsid w:val="00E25F4C"/>
    <w:rsid w:val="00E40DC4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95FD2"/>
    <w:rsid w:val="00F976EC"/>
    <w:rsid w:val="00FA7F85"/>
    <w:rsid w:val="00FB4729"/>
    <w:rsid w:val="00FC1F9F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l7.org/fhir/medicinalprodu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77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170</cp:revision>
  <dcterms:created xsi:type="dcterms:W3CDTF">2021-06-27T19:21:00Z</dcterms:created>
  <dcterms:modified xsi:type="dcterms:W3CDTF">2021-11-28T18:21:00Z</dcterms:modified>
</cp:coreProperties>
</file>