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4A1E16D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5905E4">
        <w:t>2-</w:t>
      </w:r>
      <w:r w:rsidR="008676DA"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925A66C" w14:textId="00226D0F" w:rsidR="00FE1E60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6456045" w:history="1">
            <w:r w:rsidR="00FE1E60" w:rsidRPr="001B370D">
              <w:rPr>
                <w:rStyle w:val="Hyperlink"/>
                <w:noProof/>
              </w:rPr>
              <w:t>Motivation</w:t>
            </w:r>
            <w:r w:rsidR="00FE1E60">
              <w:rPr>
                <w:noProof/>
                <w:webHidden/>
              </w:rPr>
              <w:tab/>
            </w:r>
            <w:r w:rsidR="00FE1E60">
              <w:rPr>
                <w:noProof/>
                <w:webHidden/>
              </w:rPr>
              <w:fldChar w:fldCharType="begin"/>
            </w:r>
            <w:r w:rsidR="00FE1E60">
              <w:rPr>
                <w:noProof/>
                <w:webHidden/>
              </w:rPr>
              <w:instrText xml:space="preserve"> PAGEREF _Toc96456045 \h </w:instrText>
            </w:r>
            <w:r w:rsidR="00FE1E60">
              <w:rPr>
                <w:noProof/>
                <w:webHidden/>
              </w:rPr>
            </w:r>
            <w:r w:rsidR="00FE1E60">
              <w:rPr>
                <w:noProof/>
                <w:webHidden/>
              </w:rPr>
              <w:fldChar w:fldCharType="separate"/>
            </w:r>
            <w:r w:rsidR="00FE1E60">
              <w:rPr>
                <w:noProof/>
                <w:webHidden/>
              </w:rPr>
              <w:t>1</w:t>
            </w:r>
            <w:r w:rsidR="00FE1E60">
              <w:rPr>
                <w:noProof/>
                <w:webHidden/>
              </w:rPr>
              <w:fldChar w:fldCharType="end"/>
            </w:r>
          </w:hyperlink>
        </w:p>
        <w:p w14:paraId="746E5E57" w14:textId="4AFCE2D4" w:rsidR="00FE1E60" w:rsidRDefault="00FE1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46" w:history="1">
            <w:r w:rsidRPr="001B370D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1908" w14:textId="4B42DD56" w:rsidR="00FE1E60" w:rsidRDefault="00FE1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47" w:history="1">
            <w:r w:rsidRPr="001B370D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1143" w14:textId="0CFAFAE4" w:rsidR="00FE1E60" w:rsidRDefault="00FE1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48" w:history="1">
            <w:r w:rsidRPr="001B370D">
              <w:rPr>
                <w:rStyle w:val="Hyperlink"/>
                <w:noProof/>
              </w:rPr>
              <w:t>Monitoring functionality (#1149, #1333)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0A83" w14:textId="33A0B5D6" w:rsidR="00FE1E60" w:rsidRDefault="00FE1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49" w:history="1">
            <w:r w:rsidRPr="001B370D">
              <w:rPr>
                <w:rStyle w:val="Hyperlink"/>
                <w:noProof/>
              </w:rPr>
              <w:t>Unified monitoring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0EE5" w14:textId="13BD6F4C" w:rsidR="00FE1E60" w:rsidRDefault="00FE1E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0" w:history="1">
            <w:r w:rsidRPr="001B370D">
              <w:rPr>
                <w:rStyle w:val="Hyperlink"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2FB9" w14:textId="74F76CA6" w:rsidR="00FE1E60" w:rsidRDefault="00FE1E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1" w:history="1">
            <w:r w:rsidRPr="001B370D">
              <w:rPr>
                <w:rStyle w:val="Hyperlink"/>
                <w:noProof/>
              </w:rPr>
              <w:t>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9F74" w14:textId="79310E64" w:rsidR="00FE1E60" w:rsidRDefault="00FE1E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2" w:history="1">
            <w:r w:rsidRPr="001B370D">
              <w:rPr>
                <w:rStyle w:val="Hyperlink"/>
                <w:noProof/>
              </w:rPr>
              <w:t>Other executors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F76A" w14:textId="6AA14D41" w:rsidR="00FE1E60" w:rsidRDefault="00FE1E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3" w:history="1">
            <w:r w:rsidRPr="001B370D">
              <w:rPr>
                <w:rStyle w:val="Hyperlink"/>
                <w:noProof/>
              </w:rPr>
              <w:t>Applicant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61EC" w14:textId="75EA0A4C" w:rsidR="00FE1E60" w:rsidRDefault="00FE1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4" w:history="1">
            <w:r w:rsidRPr="001B370D">
              <w:rPr>
                <w:rStyle w:val="Hyperlink"/>
                <w:noProof/>
              </w:rPr>
              <w:t>Re-configuration of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47FE" w14:textId="57C33D43" w:rsidR="00FE1E60" w:rsidRDefault="00FE1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5" w:history="1">
            <w:r w:rsidRPr="001B370D">
              <w:rPr>
                <w:rStyle w:val="Hyperlink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AA07" w14:textId="378E4229" w:rsidR="00FE1E60" w:rsidRDefault="00FE1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6" w:history="1">
            <w:r w:rsidRPr="001B370D">
              <w:rPr>
                <w:rStyle w:val="Hyperlink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7E5A" w14:textId="1B0F4800" w:rsidR="00FE1E60" w:rsidRDefault="00FE1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56057" w:history="1">
            <w:r w:rsidRPr="001B370D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1C93F1D4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6456045"/>
      <w:r w:rsidRPr="004535BB">
        <w:t>Motivation</w:t>
      </w:r>
      <w:bookmarkEnd w:id="0"/>
    </w:p>
    <w:p w14:paraId="06AA0215" w14:textId="62873B3E" w:rsidR="008676DA" w:rsidRDefault="008676DA" w:rsidP="008F44CB">
      <w:pPr>
        <w:pStyle w:val="ListParagraph"/>
        <w:numPr>
          <w:ilvl w:val="0"/>
          <w:numId w:val="13"/>
        </w:numPr>
      </w:pPr>
      <w:r>
        <w:t>Main – improve monitoring functionality (#1149, #1333)</w:t>
      </w:r>
    </w:p>
    <w:p w14:paraId="78F8A198" w14:textId="5819A016" w:rsidR="008676DA" w:rsidRDefault="008676DA" w:rsidP="008F44CB">
      <w:pPr>
        <w:pStyle w:val="ListParagraph"/>
        <w:numPr>
          <w:ilvl w:val="0"/>
          <w:numId w:val="13"/>
        </w:numPr>
      </w:pPr>
      <w:r>
        <w:t>Item:</w:t>
      </w:r>
    </w:p>
    <w:p w14:paraId="07EC593C" w14:textId="5E68B02B" w:rsidR="008676DA" w:rsidRDefault="008676DA" w:rsidP="008676DA">
      <w:pPr>
        <w:pStyle w:val="ListParagraph"/>
        <w:numPr>
          <w:ilvl w:val="1"/>
          <w:numId w:val="13"/>
        </w:numPr>
      </w:pPr>
      <w:r>
        <w:t xml:space="preserve">re-configuration of </w:t>
      </w:r>
      <w:r w:rsidR="00AA62F7">
        <w:t xml:space="preserve">a </w:t>
      </w:r>
      <w:r>
        <w:t>workflow (#1228)</w:t>
      </w:r>
    </w:p>
    <w:p w14:paraId="4FDE904D" w14:textId="6125F31C" w:rsidR="00275C1D" w:rsidRDefault="008676DA" w:rsidP="008676DA">
      <w:pPr>
        <w:pStyle w:val="ListParagraph"/>
        <w:numPr>
          <w:ilvl w:val="1"/>
          <w:numId w:val="13"/>
        </w:numPr>
      </w:pPr>
      <w:r>
        <w:t>f</w:t>
      </w:r>
      <w:r w:rsidR="00A246ED">
        <w:t xml:space="preserve">ix bugs related to </w:t>
      </w:r>
      <w:r>
        <w:t>500 error (#1340)</w:t>
      </w:r>
    </w:p>
    <w:p w14:paraId="5C3AFE90" w14:textId="77777777" w:rsidR="008676DA" w:rsidRDefault="008676DA" w:rsidP="008676DA"/>
    <w:p w14:paraId="7E8E33A0" w14:textId="77777777" w:rsidR="002775C8" w:rsidRPr="004535BB" w:rsidRDefault="002775C8" w:rsidP="002775C8">
      <w:pPr>
        <w:pStyle w:val="Heading1"/>
      </w:pPr>
      <w:bookmarkStart w:id="1" w:name="_Toc96456046"/>
      <w:r w:rsidRPr="004535BB">
        <w:lastRenderedPageBreak/>
        <w:t>Pre-requisite</w:t>
      </w:r>
      <w:bookmarkEnd w:id="1"/>
    </w:p>
    <w:p w14:paraId="2A58FDBF" w14:textId="50C541C8" w:rsidR="00F75DAC" w:rsidRDefault="002775C8" w:rsidP="008676D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2" w:name="_Toc96456047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42B0914" w14:textId="3B8224E4" w:rsidR="00F75DAC" w:rsidRPr="00275C1D" w:rsidRDefault="00F75DAC" w:rsidP="002775C8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5F2A73B9" w14:textId="4E2DFF4D" w:rsidR="003C60B4" w:rsidRDefault="008676DA" w:rsidP="008676DA">
      <w:pPr>
        <w:pStyle w:val="Heading1"/>
      </w:pPr>
      <w:bookmarkStart w:id="3" w:name="_Toc96456048"/>
      <w:r>
        <w:t xml:space="preserve">Monitoring functionality </w:t>
      </w:r>
      <w:r>
        <w:t>(#1149, #1333)</w:t>
      </w:r>
      <w:bookmarkEnd w:id="3"/>
    </w:p>
    <w:p w14:paraId="51CD45F4" w14:textId="0C6C82E0" w:rsidR="008676DA" w:rsidRDefault="008676DA" w:rsidP="008676DA">
      <w:r>
        <w:tab/>
        <w:t>The main issues were:</w:t>
      </w:r>
    </w:p>
    <w:p w14:paraId="064A5705" w14:textId="141949D4" w:rsidR="008676DA" w:rsidRDefault="008676DA" w:rsidP="008676DA">
      <w:pPr>
        <w:pStyle w:val="ListParagraph"/>
        <w:numPr>
          <w:ilvl w:val="0"/>
          <w:numId w:val="16"/>
        </w:numPr>
      </w:pPr>
      <w:r>
        <w:t>Unclear data in tables (row and column sets)</w:t>
      </w:r>
    </w:p>
    <w:p w14:paraId="29321791" w14:textId="21DE8FCD" w:rsidR="008676DA" w:rsidRDefault="008676DA" w:rsidP="008676DA">
      <w:pPr>
        <w:pStyle w:val="ListParagraph"/>
        <w:numPr>
          <w:ilvl w:val="0"/>
          <w:numId w:val="16"/>
        </w:numPr>
      </w:pPr>
      <w:r>
        <w:t>Unclear requirements to functionality.</w:t>
      </w:r>
    </w:p>
    <w:p w14:paraId="723F66BD" w14:textId="0995A1D6" w:rsidR="008676DA" w:rsidRDefault="008676DA" w:rsidP="008676DA">
      <w:pPr>
        <w:ind w:firstLine="360"/>
      </w:pPr>
      <w:r>
        <w:t xml:space="preserve">The solution is unified data queries internally implemented as MySQL stored procedures. The previous approach – individual database queries. The advantage is </w:t>
      </w:r>
      <w:r w:rsidR="00AA62F7">
        <w:t>the</w:t>
      </w:r>
      <w:r>
        <w:t xml:space="preserve"> possibility to use it by </w:t>
      </w:r>
      <w:r w:rsidRPr="008676DA">
        <w:t>ETL (extract, transform, load) process</w:t>
      </w:r>
      <w:r>
        <w:t xml:space="preserve"> of any Data Warehouse.</w:t>
      </w:r>
    </w:p>
    <w:p w14:paraId="2D8D7311" w14:textId="26BF338C" w:rsidR="008676DA" w:rsidRDefault="008676DA" w:rsidP="008676DA">
      <w:pPr>
        <w:pStyle w:val="Heading2"/>
      </w:pPr>
      <w:bookmarkStart w:id="4" w:name="_Toc96456049"/>
      <w:r>
        <w:t>Unified monitoring tables</w:t>
      </w:r>
      <w:bookmarkEnd w:id="4"/>
    </w:p>
    <w:p w14:paraId="6F3F9F1A" w14:textId="20AC29E9" w:rsidR="008676DA" w:rsidRDefault="008676DA" w:rsidP="008676DA">
      <w:pPr>
        <w:pStyle w:val="Heading3"/>
      </w:pPr>
      <w:bookmarkStart w:id="5" w:name="_Toc96456050"/>
      <w:r>
        <w:t>Supervisor</w:t>
      </w:r>
      <w:bookmarkEnd w:id="5"/>
    </w:p>
    <w:p w14:paraId="52733256" w14:textId="4F6CC974" w:rsidR="008676DA" w:rsidRDefault="008676DA" w:rsidP="008676DA">
      <w:pPr>
        <w:keepNext/>
      </w:pPr>
      <w:r>
        <w:tab/>
        <w:t xml:space="preserve">All unfinished activities that fit the competency of a supervisor. The main task of a supervisor is resolving of executor’s re-assignment and stalled processes. To do this, the supervisor should receive access to all processes and </w:t>
      </w:r>
      <w:r w:rsidR="00AA62F7">
        <w:t xml:space="preserve">the </w:t>
      </w:r>
      <w:r>
        <w:t xml:space="preserve">possibility to find an activity quickly. </w:t>
      </w:r>
    </w:p>
    <w:p w14:paraId="646D0B39" w14:textId="27381532" w:rsidR="008676DA" w:rsidRDefault="008676DA" w:rsidP="008676DA">
      <w:r>
        <w:rPr>
          <w:noProof/>
        </w:rPr>
        <w:drawing>
          <wp:inline distT="0" distB="0" distL="0" distR="0" wp14:anchorId="4488563B" wp14:editId="669DE6BD">
            <wp:extent cx="59436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290" w14:textId="44AE2086" w:rsidR="008676DA" w:rsidRDefault="008676DA" w:rsidP="008676DA">
      <w:pPr>
        <w:pStyle w:val="Heading3"/>
      </w:pPr>
      <w:bookmarkStart w:id="6" w:name="_Toc96456051"/>
      <w:r>
        <w:t>Moderator</w:t>
      </w:r>
      <w:bookmarkEnd w:id="6"/>
    </w:p>
    <w:p w14:paraId="67229137" w14:textId="7BC188F3" w:rsidR="008676DA" w:rsidRPr="008676DA" w:rsidRDefault="008676DA" w:rsidP="008676DA">
      <w:r>
        <w:tab/>
        <w:t xml:space="preserve">The moderator is </w:t>
      </w:r>
      <w:r w:rsidR="00AA62F7">
        <w:t xml:space="preserve">the </w:t>
      </w:r>
      <w:r>
        <w:t>owner of all processes that fit the competency of the moderator. The main task of a moderator is to track th</w:t>
      </w:r>
      <w:r w:rsidR="00AA62F7">
        <w:t>at a process is executing</w:t>
      </w:r>
      <w:r>
        <w:t xml:space="preserve"> </w:t>
      </w:r>
      <w:r w:rsidR="00AA62F7">
        <w:t>properly</w:t>
      </w:r>
      <w:r>
        <w:t xml:space="preserve">. Thus, a moderator can see all activities in all processes that are under a moderator competency. The competency of the moderator </w:t>
      </w:r>
      <w:r w:rsidR="00AA62F7">
        <w:t>is workflow</w:t>
      </w:r>
      <w:r w:rsidR="006209FF">
        <w:t xml:space="preserve">. In case, if a moderator is an employee in </w:t>
      </w:r>
      <w:r w:rsidR="00AA62F7">
        <w:t xml:space="preserve">a </w:t>
      </w:r>
      <w:r w:rsidR="006209FF">
        <w:t>territorial office, the additional office restriction will be applied. If the office has no territory restriction, it means all countr</w:t>
      </w:r>
      <w:r w:rsidR="00AA62F7">
        <w:t>ies</w:t>
      </w:r>
      <w:r w:rsidR="006209FF">
        <w:t>.</w:t>
      </w:r>
    </w:p>
    <w:p w14:paraId="694D8AD7" w14:textId="26C959CD" w:rsidR="008676DA" w:rsidRDefault="008676DA" w:rsidP="008676DA">
      <w:pPr>
        <w:pStyle w:val="Heading3"/>
      </w:pPr>
      <w:bookmarkStart w:id="7" w:name="_Toc96456052"/>
      <w:r>
        <w:lastRenderedPageBreak/>
        <w:t>Other executors</w:t>
      </w:r>
      <w:bookmarkEnd w:id="7"/>
    </w:p>
    <w:p w14:paraId="1586E78A" w14:textId="1EDBD0BD" w:rsidR="006209FF" w:rsidRDefault="006209FF" w:rsidP="006209FF">
      <w:pPr>
        <w:keepNext/>
      </w:pPr>
      <w:r>
        <w:tab/>
        <w:t xml:space="preserve">Typically, other executors like </w:t>
      </w:r>
      <w:r w:rsidR="00AA62F7">
        <w:t xml:space="preserve">an </w:t>
      </w:r>
      <w:r>
        <w:t xml:space="preserve">accountant, reviewers, etc. do not need monitoring functionality. All they need are </w:t>
      </w:r>
      <w:r w:rsidR="00AA62F7">
        <w:t>o</w:t>
      </w:r>
      <w:r>
        <w:t xml:space="preserve">n </w:t>
      </w:r>
      <w:r w:rsidR="00AA62F7">
        <w:t xml:space="preserve">the </w:t>
      </w:r>
      <w:r>
        <w:t>To</w:t>
      </w:r>
      <w:r w:rsidR="00AA62F7">
        <w:t>-</w:t>
      </w:r>
      <w:r>
        <w:t xml:space="preserve">Do list. Nevertheless, the monitoring functionality may be added to provide </w:t>
      </w:r>
      <w:r w:rsidR="00AA62F7">
        <w:t xml:space="preserve">a </w:t>
      </w:r>
      <w:r>
        <w:t xml:space="preserve">more convenient look </w:t>
      </w:r>
      <w:r w:rsidR="00AA62F7">
        <w:t>at</w:t>
      </w:r>
      <w:r>
        <w:t xml:space="preserve"> the data. The executor can access only </w:t>
      </w:r>
      <w:r w:rsidR="00AA62F7">
        <w:t xml:space="preserve">his/her </w:t>
      </w:r>
      <w:r>
        <w:t>activities.</w:t>
      </w:r>
    </w:p>
    <w:p w14:paraId="2980DF6C" w14:textId="67AD7DFA" w:rsidR="006209FF" w:rsidRPr="006209FF" w:rsidRDefault="006209FF" w:rsidP="006209FF">
      <w:r>
        <w:rPr>
          <w:noProof/>
        </w:rPr>
        <w:drawing>
          <wp:inline distT="0" distB="0" distL="0" distR="0" wp14:anchorId="166C76A5" wp14:editId="678214A4">
            <wp:extent cx="5943600" cy="1594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38E" w14:textId="1EFD3379" w:rsidR="008676DA" w:rsidRDefault="008676DA" w:rsidP="008676DA">
      <w:pPr>
        <w:pStyle w:val="Heading3"/>
      </w:pPr>
      <w:bookmarkStart w:id="8" w:name="_Toc96456053"/>
      <w:r>
        <w:t>Applicant</w:t>
      </w:r>
      <w:bookmarkEnd w:id="8"/>
    </w:p>
    <w:p w14:paraId="31585F6B" w14:textId="2EDF3D49" w:rsidR="006209FF" w:rsidRDefault="006209FF" w:rsidP="006209FF">
      <w:pPr>
        <w:keepNext/>
      </w:pPr>
      <w:r>
        <w:tab/>
      </w:r>
      <w:r>
        <w:t xml:space="preserve">Typically, other executors like </w:t>
      </w:r>
      <w:r w:rsidR="00AA62F7">
        <w:t xml:space="preserve">an </w:t>
      </w:r>
      <w:r>
        <w:t xml:space="preserve">accountant, reviewers, etc. do not need monitoring functionality. All they need are </w:t>
      </w:r>
      <w:r w:rsidR="00AA62F7">
        <w:t>o</w:t>
      </w:r>
      <w:r>
        <w:t xml:space="preserve">n </w:t>
      </w:r>
      <w:r w:rsidR="00AA62F7">
        <w:t xml:space="preserve">the </w:t>
      </w:r>
      <w:r>
        <w:t>To</w:t>
      </w:r>
      <w:r w:rsidR="00AA62F7">
        <w:t>-</w:t>
      </w:r>
      <w:r>
        <w:t xml:space="preserve">Do list. Nevertheless, the monitoring functionality may be added to provide </w:t>
      </w:r>
      <w:r w:rsidR="00AA62F7">
        <w:t xml:space="preserve">a </w:t>
      </w:r>
      <w:r>
        <w:t xml:space="preserve">more convenient look </w:t>
      </w:r>
      <w:r w:rsidR="00AA62F7">
        <w:t>at</w:t>
      </w:r>
      <w:r>
        <w:t xml:space="preserve"> the data. The </w:t>
      </w:r>
      <w:r>
        <w:t>applicant</w:t>
      </w:r>
      <w:r>
        <w:t xml:space="preserve"> can access only </w:t>
      </w:r>
      <w:r>
        <w:t>processes under the application data initiated by the applicant</w:t>
      </w:r>
      <w:r>
        <w:t>.</w:t>
      </w:r>
    </w:p>
    <w:p w14:paraId="5F2CA30E" w14:textId="77777777" w:rsidR="006209FF" w:rsidRDefault="006209FF" w:rsidP="006209FF">
      <w:r>
        <w:rPr>
          <w:noProof/>
        </w:rPr>
        <w:drawing>
          <wp:inline distT="0" distB="0" distL="0" distR="0" wp14:anchorId="0B6CCE93" wp14:editId="762C53D6">
            <wp:extent cx="5943600" cy="1596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6E6D" w14:textId="77777777" w:rsidR="00092D49" w:rsidRDefault="00092D49" w:rsidP="006209FF"/>
    <w:p w14:paraId="5850D33D" w14:textId="27C5C73D" w:rsidR="00092D49" w:rsidRDefault="00092D49" w:rsidP="00092D49">
      <w:pPr>
        <w:pStyle w:val="Heading1"/>
      </w:pPr>
      <w:bookmarkStart w:id="9" w:name="_Toc96456054"/>
      <w:r>
        <w:t>Re-configuration of workflows</w:t>
      </w:r>
      <w:bookmarkEnd w:id="9"/>
    </w:p>
    <w:p w14:paraId="6979349E" w14:textId="50B88AF7" w:rsidR="00092D49" w:rsidRDefault="00092D49" w:rsidP="00092D49">
      <w:pPr>
        <w:pStyle w:val="Heading2"/>
      </w:pPr>
      <w:bookmarkStart w:id="10" w:name="_Toc96456055"/>
      <w:r>
        <w:t>Workflows</w:t>
      </w:r>
      <w:bookmarkEnd w:id="10"/>
    </w:p>
    <w:p w14:paraId="52B8032A" w14:textId="2FDA792E" w:rsidR="00092D49" w:rsidRPr="00092D49" w:rsidRDefault="00092D49" w:rsidP="00092D49">
      <w:r>
        <w:tab/>
      </w:r>
      <w:r w:rsidR="00AA62F7">
        <w:t>I</w:t>
      </w:r>
      <w:r>
        <w:t xml:space="preserve">ssue #1228 is about only </w:t>
      </w:r>
      <w:r w:rsidR="00AA62F7">
        <w:t xml:space="preserve">the </w:t>
      </w:r>
      <w:r>
        <w:t xml:space="preserve">re-configuration of workflow using the Administrator feature. I’ve configured all necessary design elements; however, I can’t fill out the real data </w:t>
      </w:r>
      <w:r w:rsidR="00AA62F7">
        <w:t>for</w:t>
      </w:r>
      <w:r>
        <w:t xml:space="preserve"> them. Below </w:t>
      </w:r>
      <w:r w:rsidR="00AA62F7">
        <w:t>are</w:t>
      </w:r>
      <w:r>
        <w:t xml:space="preserve"> </w:t>
      </w:r>
      <w:r w:rsidR="00AA62F7">
        <w:t xml:space="preserve">the </w:t>
      </w:r>
      <w:r>
        <w:t>URLs of them.</w:t>
      </w:r>
    </w:p>
    <w:p w14:paraId="4072FA21" w14:textId="22AB4DE7" w:rsidR="00092D49" w:rsidRDefault="00092D49" w:rsidP="00092D49">
      <w:pPr>
        <w:pStyle w:val="Heading2"/>
      </w:pPr>
      <w:bookmarkStart w:id="11" w:name="_Toc96456056"/>
      <w:r>
        <w:t>Dictionaries</w:t>
      </w:r>
      <w:bookmarkEnd w:id="11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964"/>
        <w:gridCol w:w="5529"/>
      </w:tblGrid>
      <w:tr w:rsidR="00DE1BAA" w14:paraId="1E4CB6F7" w14:textId="77777777" w:rsidTr="00DE1BAA">
        <w:tc>
          <w:tcPr>
            <w:tcW w:w="3964" w:type="dxa"/>
          </w:tcPr>
          <w:p w14:paraId="0962FB62" w14:textId="4DDC7C4F" w:rsidR="00DE1BAA" w:rsidRDefault="00DE1BAA" w:rsidP="00092D49">
            <w:pPr>
              <w:jc w:val="center"/>
            </w:pPr>
            <w:r>
              <w:t>URL</w:t>
            </w:r>
          </w:p>
        </w:tc>
        <w:tc>
          <w:tcPr>
            <w:tcW w:w="5529" w:type="dxa"/>
          </w:tcPr>
          <w:p w14:paraId="35528AF6" w14:textId="128F1BBF" w:rsidR="00DE1BAA" w:rsidRDefault="00DE1BAA" w:rsidP="00092D49">
            <w:pPr>
              <w:jc w:val="center"/>
            </w:pPr>
            <w:r>
              <w:t>Purpose</w:t>
            </w:r>
          </w:p>
        </w:tc>
      </w:tr>
      <w:tr w:rsidR="00DE1BAA" w14:paraId="1F444B2F" w14:textId="77777777" w:rsidTr="00DE1BAA">
        <w:tc>
          <w:tcPr>
            <w:tcW w:w="3964" w:type="dxa"/>
          </w:tcPr>
          <w:p w14:paraId="0013F2BB" w14:textId="0B03FFE7" w:rsidR="00DE1BAA" w:rsidRDefault="00DE1BAA" w:rsidP="00092D49">
            <w:proofErr w:type="spellStart"/>
            <w:r w:rsidRPr="00DE1BAA">
              <w:t>dictionary.employee.agreements</w:t>
            </w:r>
            <w:proofErr w:type="spellEnd"/>
          </w:p>
        </w:tc>
        <w:tc>
          <w:tcPr>
            <w:tcW w:w="5529" w:type="dxa"/>
          </w:tcPr>
          <w:p w14:paraId="1853B0F9" w14:textId="3E7EBCFE" w:rsidR="00DE1BAA" w:rsidRDefault="00DE1BAA" w:rsidP="00092D49">
            <w:r>
              <w:t>Agreements for Pharmacist to upload</w:t>
            </w:r>
          </w:p>
        </w:tc>
      </w:tr>
      <w:tr w:rsidR="00DE1BAA" w14:paraId="22F5B736" w14:textId="77777777" w:rsidTr="00DE1BAA">
        <w:tc>
          <w:tcPr>
            <w:tcW w:w="3964" w:type="dxa"/>
          </w:tcPr>
          <w:p w14:paraId="09AEDBEF" w14:textId="6D2F2839" w:rsidR="00DE1BAA" w:rsidRDefault="00DE1BAA" w:rsidP="00DE1BAA">
            <w:proofErr w:type="spellStart"/>
            <w:r w:rsidRPr="00DE1BAA">
              <w:t>dictionary.resources.pharmacy.employee.agreements</w:t>
            </w:r>
            <w:proofErr w:type="spellEnd"/>
          </w:p>
        </w:tc>
        <w:tc>
          <w:tcPr>
            <w:tcW w:w="5529" w:type="dxa"/>
          </w:tcPr>
          <w:p w14:paraId="20E7EF96" w14:textId="7FD95A84" w:rsidR="00DE1BAA" w:rsidRDefault="00DE1BAA" w:rsidP="00DE1BAA">
            <w:r>
              <w:t>Agreements for Pharmacist</w:t>
            </w:r>
            <w:r>
              <w:t xml:space="preserve"> for download - resource  </w:t>
            </w:r>
            <w:proofErr w:type="spellStart"/>
            <w:r w:rsidRPr="00DE1BAA">
              <w:t>pharmacy.employee.agreements</w:t>
            </w:r>
            <w:proofErr w:type="spellEnd"/>
          </w:p>
          <w:p w14:paraId="14381780" w14:textId="6F440E5D" w:rsidR="00DE1BAA" w:rsidRDefault="00DE1BAA" w:rsidP="00DE1BAA">
            <w:r>
              <w:t xml:space="preserve"> </w:t>
            </w:r>
          </w:p>
        </w:tc>
      </w:tr>
      <w:tr w:rsidR="00DE1BAA" w14:paraId="6F2A6867" w14:textId="77777777" w:rsidTr="00DE1BAA">
        <w:tc>
          <w:tcPr>
            <w:tcW w:w="3964" w:type="dxa"/>
          </w:tcPr>
          <w:p w14:paraId="1A0509C4" w14:textId="0F36E110" w:rsidR="00DE1BAA" w:rsidRDefault="00DE1BAA" w:rsidP="00DE1BAA">
            <w:proofErr w:type="spellStart"/>
            <w:r w:rsidRPr="00DE1BAA">
              <w:t>dictionary.cover.letters</w:t>
            </w:r>
            <w:proofErr w:type="spellEnd"/>
          </w:p>
        </w:tc>
        <w:tc>
          <w:tcPr>
            <w:tcW w:w="5529" w:type="dxa"/>
          </w:tcPr>
          <w:p w14:paraId="4E5466D0" w14:textId="7680137F" w:rsidR="00DE1BAA" w:rsidRDefault="00DE1BAA" w:rsidP="00DE1BAA">
            <w:r>
              <w:t>Schedule 8</w:t>
            </w:r>
          </w:p>
        </w:tc>
      </w:tr>
      <w:tr w:rsidR="00DE1BAA" w14:paraId="13F5D5FA" w14:textId="77777777" w:rsidTr="00DE1BAA">
        <w:tc>
          <w:tcPr>
            <w:tcW w:w="3964" w:type="dxa"/>
          </w:tcPr>
          <w:p w14:paraId="75E600B9" w14:textId="1C332F23" w:rsidR="00DE1BAA" w:rsidRPr="00DE1BAA" w:rsidRDefault="00DE1BAA" w:rsidP="00DE1BAA">
            <w:proofErr w:type="spellStart"/>
            <w:r w:rsidRPr="00DE1BAA">
              <w:lastRenderedPageBreak/>
              <w:t>dictionary.application.cover.letter</w:t>
            </w:r>
            <w:proofErr w:type="spellEnd"/>
          </w:p>
        </w:tc>
        <w:tc>
          <w:tcPr>
            <w:tcW w:w="5529" w:type="dxa"/>
          </w:tcPr>
          <w:p w14:paraId="13B6AC73" w14:textId="0545EF8D" w:rsidR="00DE1BAA" w:rsidRDefault="00DE1BAA" w:rsidP="00DE1BAA">
            <w:r>
              <w:t>Schedule 8</w:t>
            </w:r>
            <w:r>
              <w:t xml:space="preserve"> for download - resource </w:t>
            </w:r>
            <w:proofErr w:type="spellStart"/>
            <w:r>
              <w:t>pharmacy.new.cover</w:t>
            </w:r>
            <w:proofErr w:type="spellEnd"/>
          </w:p>
        </w:tc>
      </w:tr>
    </w:tbl>
    <w:p w14:paraId="20D84A9F" w14:textId="77777777" w:rsidR="00092D49" w:rsidRPr="00092D49" w:rsidRDefault="00092D49" w:rsidP="00092D49"/>
    <w:p w14:paraId="107BB553" w14:textId="6CBE0451" w:rsidR="00092D49" w:rsidRPr="00092D49" w:rsidRDefault="00092D49" w:rsidP="00092D49">
      <w:pPr>
        <w:pStyle w:val="Heading2"/>
      </w:pPr>
      <w:bookmarkStart w:id="12" w:name="_Toc96456057"/>
      <w:r>
        <w:t>Resources</w:t>
      </w:r>
      <w:bookmarkEnd w:id="12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DE1BAA" w14:paraId="69AB5A45" w14:textId="77777777" w:rsidTr="00DE1BAA">
        <w:tc>
          <w:tcPr>
            <w:tcW w:w="3964" w:type="dxa"/>
          </w:tcPr>
          <w:p w14:paraId="4D6DBC32" w14:textId="77777777" w:rsidR="00DE1BAA" w:rsidRDefault="00DE1BAA" w:rsidP="005D7333">
            <w:pPr>
              <w:jc w:val="center"/>
            </w:pPr>
            <w:r>
              <w:t>URL</w:t>
            </w:r>
          </w:p>
        </w:tc>
        <w:tc>
          <w:tcPr>
            <w:tcW w:w="5529" w:type="dxa"/>
          </w:tcPr>
          <w:p w14:paraId="05D9AB20" w14:textId="77777777" w:rsidR="00DE1BAA" w:rsidRDefault="00DE1BAA" w:rsidP="005D7333">
            <w:pPr>
              <w:jc w:val="center"/>
            </w:pPr>
            <w:r>
              <w:t>Purpose</w:t>
            </w:r>
          </w:p>
        </w:tc>
      </w:tr>
      <w:tr w:rsidR="00DE1BAA" w14:paraId="4092EAC2" w14:textId="77777777" w:rsidTr="00DE1BAA">
        <w:tc>
          <w:tcPr>
            <w:tcW w:w="3964" w:type="dxa"/>
          </w:tcPr>
          <w:p w14:paraId="6DB2FAE1" w14:textId="624E3BD3" w:rsidR="00DE1BAA" w:rsidRDefault="00DE1BAA" w:rsidP="00DE1BAA">
            <w:proofErr w:type="spellStart"/>
            <w:r w:rsidRPr="00DE1BAA">
              <w:t>pharmacy.employee.agreements</w:t>
            </w:r>
            <w:proofErr w:type="spellEnd"/>
          </w:p>
        </w:tc>
        <w:tc>
          <w:tcPr>
            <w:tcW w:w="5529" w:type="dxa"/>
          </w:tcPr>
          <w:p w14:paraId="064F8693" w14:textId="77777777" w:rsidR="00DE1BAA" w:rsidRDefault="00DE1BAA" w:rsidP="00DE1BAA">
            <w:r>
              <w:t>Agreements for Pharmacist</w:t>
            </w:r>
          </w:p>
        </w:tc>
      </w:tr>
      <w:tr w:rsidR="00DE1BAA" w14:paraId="0E070FB9" w14:textId="77777777" w:rsidTr="00DE1BAA">
        <w:trPr>
          <w:trHeight w:val="58"/>
        </w:trPr>
        <w:tc>
          <w:tcPr>
            <w:tcW w:w="3964" w:type="dxa"/>
          </w:tcPr>
          <w:p w14:paraId="5F44EFF6" w14:textId="632B8FF2" w:rsidR="00DE1BAA" w:rsidRDefault="00DE1BAA" w:rsidP="00DE1BAA">
            <w:proofErr w:type="spellStart"/>
            <w:r w:rsidRPr="00DE1BAA">
              <w:t>pharmacy.new.cover</w:t>
            </w:r>
            <w:proofErr w:type="spellEnd"/>
          </w:p>
        </w:tc>
        <w:tc>
          <w:tcPr>
            <w:tcW w:w="5529" w:type="dxa"/>
          </w:tcPr>
          <w:p w14:paraId="72B6A840" w14:textId="77777777" w:rsidR="00DE1BAA" w:rsidRDefault="00DE1BAA" w:rsidP="00DE1BAA">
            <w:r>
              <w:t>Schedule 8</w:t>
            </w:r>
          </w:p>
        </w:tc>
      </w:tr>
    </w:tbl>
    <w:p w14:paraId="397EB880" w14:textId="67CDAC1D" w:rsidR="006209FF" w:rsidRPr="006209FF" w:rsidRDefault="006209FF" w:rsidP="006209FF">
      <w:r>
        <w:tab/>
      </w:r>
    </w:p>
    <w:p w14:paraId="2FCB4D54" w14:textId="6703B6FB" w:rsidR="008676DA" w:rsidRDefault="00DE1BAA" w:rsidP="008676DA">
      <w:r>
        <w:t>Regarding “</w:t>
      </w:r>
      <w:r w:rsidRPr="00DE1BAA">
        <w:t>PVT Limited Data</w:t>
      </w:r>
      <w:r>
        <w:t>”, please check it. The QA team will check for bugs and inconsistenc</w:t>
      </w:r>
      <w:r w:rsidR="00AA62F7">
        <w:t>i</w:t>
      </w:r>
      <w:r>
        <w:t>es as well.</w:t>
      </w:r>
    </w:p>
    <w:p w14:paraId="31E8A6D6" w14:textId="77777777" w:rsidR="008676DA" w:rsidRDefault="008676DA" w:rsidP="00A440BB"/>
    <w:p w14:paraId="2BFA4CB6" w14:textId="77777777" w:rsidR="008676DA" w:rsidRDefault="008676DA" w:rsidP="00A440BB"/>
    <w:sectPr w:rsidR="008676DA" w:rsidSect="00B313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A12E" w14:textId="77777777" w:rsidR="00634365" w:rsidRDefault="00634365" w:rsidP="00EB0FAC">
      <w:pPr>
        <w:spacing w:after="0" w:line="240" w:lineRule="auto"/>
      </w:pPr>
      <w:r>
        <w:separator/>
      </w:r>
    </w:p>
  </w:endnote>
  <w:endnote w:type="continuationSeparator" w:id="0">
    <w:p w14:paraId="0AC1EFC1" w14:textId="77777777" w:rsidR="00634365" w:rsidRDefault="00634365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80EA" w14:textId="77777777" w:rsidR="00634365" w:rsidRDefault="00634365" w:rsidP="00EB0FAC">
      <w:pPr>
        <w:spacing w:after="0" w:line="240" w:lineRule="auto"/>
      </w:pPr>
      <w:r>
        <w:separator/>
      </w:r>
    </w:p>
  </w:footnote>
  <w:footnote w:type="continuationSeparator" w:id="0">
    <w:p w14:paraId="4F9C7F6A" w14:textId="77777777" w:rsidR="00634365" w:rsidRDefault="00634365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8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2"/>
  </w:num>
  <w:num w:numId="1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a4FADQJ5dU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D49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1CB4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79F"/>
    <w:rsid w:val="003B622C"/>
    <w:rsid w:val="003C2290"/>
    <w:rsid w:val="003C60B4"/>
    <w:rsid w:val="003C6D92"/>
    <w:rsid w:val="003D717C"/>
    <w:rsid w:val="003F1B00"/>
    <w:rsid w:val="003F37E0"/>
    <w:rsid w:val="003F6591"/>
    <w:rsid w:val="004015FC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6414"/>
    <w:rsid w:val="00496CCD"/>
    <w:rsid w:val="004A01EE"/>
    <w:rsid w:val="004A4962"/>
    <w:rsid w:val="004A5671"/>
    <w:rsid w:val="004B3534"/>
    <w:rsid w:val="004B5A37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FA6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676DA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609"/>
    <w:rsid w:val="00980C9E"/>
    <w:rsid w:val="00981C90"/>
    <w:rsid w:val="00982613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730B"/>
    <w:rsid w:val="009E38AB"/>
    <w:rsid w:val="009F2CD7"/>
    <w:rsid w:val="00A01FD2"/>
    <w:rsid w:val="00A13565"/>
    <w:rsid w:val="00A1502E"/>
    <w:rsid w:val="00A246ED"/>
    <w:rsid w:val="00A303AB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49CA"/>
    <w:rsid w:val="00B464DD"/>
    <w:rsid w:val="00B64AD2"/>
    <w:rsid w:val="00B64BFE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358F4"/>
    <w:rsid w:val="00D47933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BAA"/>
    <w:rsid w:val="00DE335B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64AD9"/>
    <w:rsid w:val="00E64E69"/>
    <w:rsid w:val="00E658AD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DAC"/>
    <w:rsid w:val="00F77122"/>
    <w:rsid w:val="00F773C7"/>
    <w:rsid w:val="00F83861"/>
    <w:rsid w:val="00F861E8"/>
    <w:rsid w:val="00F95B23"/>
    <w:rsid w:val="00F95FD2"/>
    <w:rsid w:val="00F976EC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249</cp:revision>
  <dcterms:created xsi:type="dcterms:W3CDTF">2021-06-27T19:21:00Z</dcterms:created>
  <dcterms:modified xsi:type="dcterms:W3CDTF">2022-02-22T19:00:00Z</dcterms:modified>
</cp:coreProperties>
</file>