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442C6B72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99594C">
        <w:t>4</w:t>
      </w:r>
      <w:r w:rsidR="005905E4">
        <w:t>-</w:t>
      </w:r>
      <w:r w:rsidR="00562FAF">
        <w:t>26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6F042743" w14:textId="17F88E10" w:rsidR="00B056D5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01900242" w:history="1">
            <w:r w:rsidR="00B056D5" w:rsidRPr="00434923">
              <w:rPr>
                <w:rStyle w:val="Hyperlink"/>
                <w:noProof/>
              </w:rPr>
              <w:t>Motivation</w:t>
            </w:r>
            <w:r w:rsidR="00B056D5">
              <w:rPr>
                <w:noProof/>
                <w:webHidden/>
              </w:rPr>
              <w:tab/>
            </w:r>
            <w:r w:rsidR="00B056D5">
              <w:rPr>
                <w:noProof/>
                <w:webHidden/>
              </w:rPr>
              <w:fldChar w:fldCharType="begin"/>
            </w:r>
            <w:r w:rsidR="00B056D5">
              <w:rPr>
                <w:noProof/>
                <w:webHidden/>
              </w:rPr>
              <w:instrText xml:space="preserve"> PAGEREF _Toc101900242 \h </w:instrText>
            </w:r>
            <w:r w:rsidR="00B056D5">
              <w:rPr>
                <w:noProof/>
                <w:webHidden/>
              </w:rPr>
            </w:r>
            <w:r w:rsidR="00B056D5">
              <w:rPr>
                <w:noProof/>
                <w:webHidden/>
              </w:rPr>
              <w:fldChar w:fldCharType="separate"/>
            </w:r>
            <w:r w:rsidR="00B056D5">
              <w:rPr>
                <w:noProof/>
                <w:webHidden/>
              </w:rPr>
              <w:t>1</w:t>
            </w:r>
            <w:r w:rsidR="00B056D5">
              <w:rPr>
                <w:noProof/>
                <w:webHidden/>
              </w:rPr>
              <w:fldChar w:fldCharType="end"/>
            </w:r>
          </w:hyperlink>
        </w:p>
        <w:p w14:paraId="0D631A7F" w14:textId="52FC3D11" w:rsidR="00B056D5" w:rsidRDefault="00B056D5">
          <w:pPr>
            <w:pStyle w:val="TOC1"/>
            <w:rPr>
              <w:rFonts w:eastAsiaTheme="minorEastAsia"/>
              <w:noProof/>
            </w:rPr>
          </w:pPr>
          <w:hyperlink w:anchor="_Toc101900243" w:history="1">
            <w:r w:rsidRPr="00434923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3601" w14:textId="47589C83" w:rsidR="00B056D5" w:rsidRDefault="00B056D5">
          <w:pPr>
            <w:pStyle w:val="TOC1"/>
            <w:rPr>
              <w:rFonts w:eastAsiaTheme="minorEastAsia"/>
              <w:noProof/>
            </w:rPr>
          </w:pPr>
          <w:hyperlink w:anchor="_Toc101900244" w:history="1">
            <w:r w:rsidRPr="00434923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A339" w14:textId="00CF99DD" w:rsidR="00B056D5" w:rsidRDefault="00B056D5">
          <w:pPr>
            <w:pStyle w:val="TOC1"/>
            <w:rPr>
              <w:rFonts w:eastAsiaTheme="minorEastAsia"/>
              <w:noProof/>
            </w:rPr>
          </w:pPr>
          <w:hyperlink w:anchor="_Toc101900245" w:history="1">
            <w:r w:rsidRPr="00434923">
              <w:rPr>
                <w:rStyle w:val="Hyperlink"/>
                <w:noProof/>
              </w:rPr>
              <w:t>The DAMS transition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99E5" w14:textId="6C384302" w:rsidR="00B056D5" w:rsidRDefault="00B056D5">
          <w:pPr>
            <w:pStyle w:val="TOC1"/>
            <w:rPr>
              <w:rFonts w:eastAsiaTheme="minorEastAsia"/>
              <w:noProof/>
            </w:rPr>
          </w:pPr>
          <w:hyperlink w:anchor="_Toc101900246" w:history="1">
            <w:r w:rsidRPr="00434923">
              <w:rPr>
                <w:rStyle w:val="Hyperlink"/>
                <w:noProof/>
              </w:rPr>
              <w:t>The certificate and full application must be downloadable by the Applicant and also by DDA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DE61" w14:textId="5AE9A941" w:rsidR="00B056D5" w:rsidRDefault="00B056D5">
          <w:pPr>
            <w:pStyle w:val="TOC1"/>
            <w:rPr>
              <w:rFonts w:eastAsiaTheme="minorEastAsia"/>
              <w:noProof/>
            </w:rPr>
          </w:pPr>
          <w:hyperlink w:anchor="_Toc101900247" w:history="1">
            <w:r w:rsidRPr="00434923">
              <w:rPr>
                <w:rStyle w:val="Hyperlink"/>
                <w:noProof/>
              </w:rPr>
              <w:t>Ensure that the correct dates are assigned to applications. The date assigned is sometimes 1-2 days before today's date.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F034" w14:textId="426C4E7B" w:rsidR="00B056D5" w:rsidRDefault="00B056D5">
          <w:pPr>
            <w:pStyle w:val="TOC1"/>
            <w:rPr>
              <w:rFonts w:eastAsiaTheme="minorEastAsia"/>
              <w:noProof/>
            </w:rPr>
          </w:pPr>
          <w:hyperlink w:anchor="_Toc101900248" w:history="1">
            <w:r w:rsidRPr="00434923">
              <w:rPr>
                <w:rStyle w:val="Hyperlink"/>
                <w:noProof/>
              </w:rPr>
              <w:t>Ensure that Register Number is shown in reports. The column is empty for modification report. And in other reports it shows for only some applications.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2BC4C0E0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2C398CE8" w:rsidR="00C50319" w:rsidRDefault="00410E84" w:rsidP="003C60B4">
      <w:pPr>
        <w:pStyle w:val="Heading1"/>
      </w:pPr>
      <w:bookmarkStart w:id="0" w:name="_Toc101900242"/>
      <w:r w:rsidRPr="004535BB">
        <w:t>Motivation</w:t>
      </w:r>
      <w:bookmarkEnd w:id="0"/>
    </w:p>
    <w:p w14:paraId="6FD6866F" w14:textId="0AB1D4B5" w:rsidR="00562FAF" w:rsidRDefault="00562FAF" w:rsidP="00562FAF">
      <w:pPr>
        <w:pStyle w:val="ListParagraph"/>
        <w:numPr>
          <w:ilvl w:val="0"/>
          <w:numId w:val="31"/>
        </w:numPr>
      </w:pPr>
      <w:r>
        <w:t>The DAMS transition list - need to be expanded - currently</w:t>
      </w:r>
      <w:r w:rsidR="00B056D5">
        <w:t>,</w:t>
      </w:r>
      <w:r>
        <w:t xml:space="preserve"> it only has two items. And this is the workflow that will initially be used extensively. I have attached the list to upload</w:t>
      </w:r>
      <w:r w:rsidR="00B056D5">
        <w:t>,</w:t>
      </w:r>
      <w:r>
        <w:t xml:space="preserve"> please. The list should be searchable.</w:t>
      </w:r>
    </w:p>
    <w:p w14:paraId="13F0545A" w14:textId="77777777" w:rsidR="00562FAF" w:rsidRDefault="00562FAF" w:rsidP="00562FAF">
      <w:pPr>
        <w:pStyle w:val="ListParagraph"/>
        <w:numPr>
          <w:ilvl w:val="0"/>
          <w:numId w:val="31"/>
        </w:numPr>
      </w:pPr>
      <w:r>
        <w:t>The certificate and full application must be downloadable by the Applicant and also by DDA.</w:t>
      </w:r>
    </w:p>
    <w:p w14:paraId="05E0B646" w14:textId="77777777" w:rsidR="00562FAF" w:rsidRDefault="00562FAF" w:rsidP="00562FAF">
      <w:pPr>
        <w:pStyle w:val="ListParagraph"/>
        <w:numPr>
          <w:ilvl w:val="0"/>
          <w:numId w:val="31"/>
        </w:numPr>
      </w:pPr>
      <w:r>
        <w:t>Ensure that the correct dates are assigned to applications. The date assigned is sometimes 1-2 days before today's date.</w:t>
      </w:r>
    </w:p>
    <w:p w14:paraId="4EED5E5C" w14:textId="0CFB285E" w:rsidR="006C1C87" w:rsidRDefault="00562FAF" w:rsidP="00562FAF">
      <w:pPr>
        <w:pStyle w:val="ListParagraph"/>
        <w:numPr>
          <w:ilvl w:val="0"/>
          <w:numId w:val="31"/>
        </w:numPr>
      </w:pPr>
      <w:r>
        <w:t xml:space="preserve">Ensure that </w:t>
      </w:r>
      <w:r w:rsidR="00B056D5">
        <w:t xml:space="preserve">the </w:t>
      </w:r>
      <w:r>
        <w:t xml:space="preserve">Register Number is shown in reports. The column is empty for </w:t>
      </w:r>
      <w:r w:rsidR="00B056D5">
        <w:t xml:space="preserve">the </w:t>
      </w:r>
      <w:r>
        <w:t>modification report. And in other reports</w:t>
      </w:r>
      <w:r w:rsidR="00B056D5">
        <w:t>,</w:t>
      </w:r>
      <w:r>
        <w:t xml:space="preserve"> it shows for only some applications.</w:t>
      </w:r>
    </w:p>
    <w:p w14:paraId="6ABF3FCF" w14:textId="1DAFFCED" w:rsidR="00905E4A" w:rsidRPr="004535BB" w:rsidRDefault="00905E4A" w:rsidP="006C1C87">
      <w:pPr>
        <w:pStyle w:val="Heading1"/>
      </w:pPr>
      <w:r>
        <w:lastRenderedPageBreak/>
        <w:t xml:space="preserve"> </w:t>
      </w:r>
      <w:bookmarkStart w:id="1" w:name="_Toc101900243"/>
      <w:r w:rsidRPr="004535BB">
        <w:t>Pre-requisite</w:t>
      </w:r>
      <w:bookmarkEnd w:id="1"/>
    </w:p>
    <w:p w14:paraId="45FFC629" w14:textId="77777777" w:rsidR="00905E4A" w:rsidRDefault="00905E4A" w:rsidP="00905E4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0061E432" w14:textId="77777777" w:rsidR="00905E4A" w:rsidRPr="006500C7" w:rsidRDefault="00905E4A" w:rsidP="00905E4A">
      <w:pPr>
        <w:pStyle w:val="Heading1"/>
        <w:rPr>
          <w:b/>
          <w:bCs/>
        </w:rPr>
      </w:pPr>
      <w:bookmarkStart w:id="2" w:name="_Toc101900244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467C08B6" w14:textId="77777777" w:rsidR="00905E4A" w:rsidRPr="004535BB" w:rsidRDefault="00905E4A" w:rsidP="00905E4A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1F6710F4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002128B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7A8E3748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The certificate registration numbers start in new sequency</w:t>
      </w:r>
    </w:p>
    <w:p w14:paraId="3CEBCEBA" w14:textId="77777777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In the list of applications in the reports, not all columns may be visible.</w:t>
      </w:r>
    </w:p>
    <w:p w14:paraId="3D667BEE" w14:textId="46558721" w:rsidR="00905E4A" w:rsidRDefault="00905E4A" w:rsidP="00905E4A">
      <w:pPr>
        <w:pStyle w:val="ListParagraph"/>
        <w:keepNext/>
        <w:numPr>
          <w:ilvl w:val="0"/>
          <w:numId w:val="7"/>
        </w:numPr>
      </w:pPr>
      <w:r>
        <w:t>It is possible the regress errors in EL expressions. The complete regress testing is a monthly procedure, because of time-consuming</w:t>
      </w:r>
    </w:p>
    <w:p w14:paraId="5A2DC4FE" w14:textId="7F8DCE7E" w:rsidR="00562FAF" w:rsidRDefault="00562FAF" w:rsidP="00562FAF">
      <w:pPr>
        <w:pStyle w:val="Heading1"/>
      </w:pPr>
      <w:bookmarkStart w:id="3" w:name="_Toc101900245"/>
      <w:r>
        <w:t>The DAMS transition list</w:t>
      </w:r>
      <w:bookmarkEnd w:id="3"/>
    </w:p>
    <w:p w14:paraId="1E8BA5ED" w14:textId="77777777" w:rsidR="00562FAF" w:rsidRDefault="00562FAF" w:rsidP="00562FAF">
      <w:r>
        <w:tab/>
        <w:t>The initial DAMS transition list provided has been pre-processed and imported.</w:t>
      </w:r>
    </w:p>
    <w:p w14:paraId="634B20FD" w14:textId="6461ADEE" w:rsidR="00562FAF" w:rsidRDefault="00562FAF" w:rsidP="00562FAF">
      <w:pPr>
        <w:pStyle w:val="ListParagraph"/>
        <w:numPr>
          <w:ilvl w:val="0"/>
          <w:numId w:val="32"/>
        </w:numPr>
      </w:pPr>
      <w:r>
        <w:t>The pre</w:t>
      </w:r>
      <w:r w:rsidR="00B056D5">
        <w:t>-</w:t>
      </w:r>
      <w:r>
        <w:t xml:space="preserve">processing </w:t>
      </w:r>
      <w:proofErr w:type="gramStart"/>
      <w:r>
        <w:t>result</w:t>
      </w:r>
      <w:proofErr w:type="gramEnd"/>
    </w:p>
    <w:p w14:paraId="2FE23589" w14:textId="79720403" w:rsidR="00562FAF" w:rsidRDefault="00562FAF" w:rsidP="00562FAF">
      <w:pPr>
        <w:pStyle w:val="ListParagraph"/>
        <w:numPr>
          <w:ilvl w:val="0"/>
          <w:numId w:val="32"/>
        </w:numPr>
      </w:pPr>
      <w:r>
        <w:t>All de-registered pharmacies have been excluded</w:t>
      </w:r>
    </w:p>
    <w:p w14:paraId="2610E472" w14:textId="125A8251" w:rsidR="00562FAF" w:rsidRDefault="00562FAF" w:rsidP="00562FAF">
      <w:pPr>
        <w:pStyle w:val="ListParagraph"/>
        <w:numPr>
          <w:ilvl w:val="0"/>
          <w:numId w:val="32"/>
        </w:numPr>
      </w:pPr>
      <w:r>
        <w:t>The rest are split into two sheets in the Excel workbook – “</w:t>
      </w:r>
      <w:proofErr w:type="spellStart"/>
      <w:r w:rsidRPr="00562FAF">
        <w:t>legacy.pharmacies</w:t>
      </w:r>
      <w:proofErr w:type="spellEnd"/>
      <w:r>
        <w:t>” and “</w:t>
      </w:r>
      <w:r w:rsidRPr="00562FAF">
        <w:t>legacy.ws</w:t>
      </w:r>
      <w:r>
        <w:t>”</w:t>
      </w:r>
    </w:p>
    <w:p w14:paraId="6125E486" w14:textId="1F0A3C8D" w:rsidR="00562FAF" w:rsidRDefault="00562FAF" w:rsidP="00562FAF">
      <w:pPr>
        <w:pStyle w:val="ListParagraph"/>
        <w:numPr>
          <w:ilvl w:val="0"/>
          <w:numId w:val="32"/>
        </w:numPr>
      </w:pPr>
      <w:r>
        <w:t xml:space="preserve">The import protocol, along with the source data can be found here </w:t>
      </w:r>
      <w:hyperlink r:id="rId9" w:history="1">
        <w:r w:rsidRPr="00245C54">
          <w:rPr>
            <w:rStyle w:val="Hyperlink"/>
          </w:rPr>
          <w:t>https://www.dropbox.com/s/nq7i6puy9wkdxg3/Combined%20Pharmacy%20List%20NepalOut.xlsx?dl=0</w:t>
        </w:r>
      </w:hyperlink>
    </w:p>
    <w:p w14:paraId="2E6EBBC0" w14:textId="602CA4A3" w:rsidR="00562FAF" w:rsidRDefault="00562FAF" w:rsidP="00310218">
      <w:pPr>
        <w:ind w:firstLine="360"/>
      </w:pPr>
      <w:r>
        <w:t xml:space="preserve">The import software cannot import data with wrong registration and expiration dates, as well as </w:t>
      </w:r>
      <w:r w:rsidR="00310218">
        <w:t>any other mandatory fields</w:t>
      </w:r>
      <w:r>
        <w:t>. The not imported data can be found in “</w:t>
      </w:r>
      <w:r w:rsidRPr="00562FAF">
        <w:t>Import errors</w:t>
      </w:r>
      <w:r>
        <w:t>” in the workbook.</w:t>
      </w:r>
    </w:p>
    <w:p w14:paraId="29BA4B29" w14:textId="77777777" w:rsidR="00310218" w:rsidRDefault="00310218" w:rsidP="00562FAF">
      <w:pPr>
        <w:ind w:left="360"/>
      </w:pPr>
    </w:p>
    <w:p w14:paraId="7E37B0A1" w14:textId="36FF5E62" w:rsidR="00562FAF" w:rsidRDefault="00562FAF" w:rsidP="00562FAF">
      <w:pPr>
        <w:pStyle w:val="Heading1"/>
      </w:pPr>
      <w:r>
        <w:t xml:space="preserve"> </w:t>
      </w:r>
      <w:bookmarkStart w:id="4" w:name="_Toc101900246"/>
      <w:r>
        <w:t>The certificate and full application must be downloadable by the Applicant and also by DDA</w:t>
      </w:r>
      <w:bookmarkEnd w:id="4"/>
    </w:p>
    <w:p w14:paraId="7DD49B82" w14:textId="1F7E20D1" w:rsidR="00562FAF" w:rsidRDefault="00562FAF" w:rsidP="00562FAF">
      <w:r>
        <w:tab/>
        <w:t>We’ve restored this functionality in the report section.</w:t>
      </w:r>
    </w:p>
    <w:p w14:paraId="0E2ED6C7" w14:textId="1354BAE8" w:rsidR="00562FAF" w:rsidRDefault="00562FAF" w:rsidP="00562FAF">
      <w:pPr>
        <w:keepNext/>
      </w:pPr>
      <w:r>
        <w:rPr>
          <w:noProof/>
        </w:rPr>
        <w:lastRenderedPageBreak/>
        <w:drawing>
          <wp:inline distT="0" distB="0" distL="0" distR="0" wp14:anchorId="34931C6A" wp14:editId="05378983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AA59" w14:textId="5DB20368" w:rsidR="00562FAF" w:rsidRDefault="00562FAF" w:rsidP="00562FAF">
      <w:pPr>
        <w:pStyle w:val="Caption"/>
      </w:pPr>
      <w:r>
        <w:t xml:space="preserve">Figure </w:t>
      </w:r>
      <w:fldSimple w:instr=" SEQ Figure \* ARABIC ">
        <w:r w:rsidR="00B056D5">
          <w:rPr>
            <w:noProof/>
          </w:rPr>
          <w:t>1</w:t>
        </w:r>
      </w:fldSimple>
      <w:r>
        <w:t>. The applications are available using Reports</w:t>
      </w:r>
    </w:p>
    <w:p w14:paraId="22B20F03" w14:textId="77777777" w:rsidR="00562FAF" w:rsidRDefault="00562FAF" w:rsidP="00562FAF">
      <w:pPr>
        <w:keepNext/>
      </w:pPr>
      <w:r w:rsidRPr="00562FAF">
        <w:drawing>
          <wp:inline distT="0" distB="0" distL="0" distR="0" wp14:anchorId="448E54E2" wp14:editId="15D6BA4D">
            <wp:extent cx="4709160" cy="378342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875" cy="37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AFB9" w14:textId="0A476428" w:rsidR="00562FAF" w:rsidRDefault="00562FAF" w:rsidP="00562FAF">
      <w:pPr>
        <w:pStyle w:val="Caption"/>
      </w:pPr>
      <w:r>
        <w:t xml:space="preserve">Figure </w:t>
      </w:r>
      <w:fldSimple w:instr=" SEQ Figure \* ARABIC ">
        <w:r w:rsidR="00B056D5">
          <w:rPr>
            <w:noProof/>
          </w:rPr>
          <w:t>2</w:t>
        </w:r>
      </w:fldSimple>
      <w:r>
        <w:t>. The application Information contains all required data</w:t>
      </w:r>
    </w:p>
    <w:p w14:paraId="791A202B" w14:textId="1B30269D" w:rsidR="00663359" w:rsidRDefault="00606BD6" w:rsidP="00663359">
      <w:pPr>
        <w:keepNext/>
      </w:pPr>
      <w:r>
        <w:rPr>
          <w:noProof/>
        </w:rPr>
        <w:lastRenderedPageBreak/>
        <w:drawing>
          <wp:inline distT="0" distB="0" distL="0" distR="0" wp14:anchorId="214628A8" wp14:editId="7612BB72">
            <wp:extent cx="5943600" cy="190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359">
        <w:rPr>
          <w:noProof/>
        </w:rPr>
        <w:t xml:space="preserve"> </w:t>
      </w:r>
    </w:p>
    <w:p w14:paraId="7436B500" w14:textId="67075974" w:rsidR="00663359" w:rsidRDefault="00663359" w:rsidP="00663359">
      <w:pPr>
        <w:pStyle w:val="Caption"/>
      </w:pPr>
      <w:r>
        <w:t xml:space="preserve">Figure </w:t>
      </w:r>
      <w:fldSimple w:instr=" SEQ Figure \* ARABIC ">
        <w:r w:rsidR="00B056D5">
          <w:rPr>
            <w:noProof/>
          </w:rPr>
          <w:t>3</w:t>
        </w:r>
      </w:fldSimple>
      <w:r>
        <w:t>. The last "Finalization" activity contains a certificate</w:t>
      </w:r>
    </w:p>
    <w:p w14:paraId="34E43F9C" w14:textId="77777777" w:rsidR="00606BD6" w:rsidRDefault="00606BD6" w:rsidP="00606BD6">
      <w:pPr>
        <w:keepNext/>
      </w:pPr>
      <w:r>
        <w:rPr>
          <w:noProof/>
        </w:rPr>
        <w:drawing>
          <wp:inline distT="0" distB="0" distL="0" distR="0" wp14:anchorId="3E6A5344" wp14:editId="7A4A03BF">
            <wp:extent cx="5943600" cy="124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CCE" w14:textId="0073F994" w:rsidR="00606BD6" w:rsidRPr="00606BD6" w:rsidRDefault="00606BD6" w:rsidP="00606BD6">
      <w:pPr>
        <w:pStyle w:val="Caption"/>
      </w:pPr>
      <w:r>
        <w:t xml:space="preserve">Figure </w:t>
      </w:r>
      <w:fldSimple w:instr=" SEQ Figure \* ARABIC ">
        <w:r w:rsidR="00B056D5">
          <w:rPr>
            <w:noProof/>
          </w:rPr>
          <w:t>4</w:t>
        </w:r>
      </w:fldSimple>
      <w:r>
        <w:t>. The certificate and documents are available</w:t>
      </w:r>
    </w:p>
    <w:p w14:paraId="4A6C6D1B" w14:textId="04F6BA7C" w:rsidR="00606BD6" w:rsidRDefault="00606BD6" w:rsidP="00606BD6">
      <w:pPr>
        <w:pStyle w:val="Heading1"/>
      </w:pPr>
      <w:bookmarkStart w:id="5" w:name="_Toc101900247"/>
      <w:r>
        <w:t>Ensure that the correct dates are assigned to applications. The date assigned is sometimes 1-2 days before today's date.</w:t>
      </w:r>
      <w:bookmarkEnd w:id="5"/>
    </w:p>
    <w:p w14:paraId="2D2E81BE" w14:textId="4A240DD8" w:rsidR="00606BD6" w:rsidRDefault="00606BD6" w:rsidP="00606BD6">
      <w:r>
        <w:tab/>
        <w:t>It is a consequenc</w:t>
      </w:r>
      <w:r w:rsidR="00B056D5">
        <w:t>e</w:t>
      </w:r>
      <w:r>
        <w:t xml:space="preserve"> of Nepal</w:t>
      </w:r>
      <w:r w:rsidR="00B056D5">
        <w:t>'s</w:t>
      </w:r>
      <w:r>
        <w:t xml:space="preserve"> particular time zone. The recommended approach</w:t>
      </w:r>
      <w:r>
        <w:rPr>
          <w:rStyle w:val="FootnoteReference"/>
        </w:rPr>
        <w:footnoteReference w:id="1"/>
      </w:r>
      <w:r>
        <w:t xml:space="preserve"> doesn’t work. Fixed using date to string to date conversion. This approach is not recommended, thus additional testing will be needed.</w:t>
      </w:r>
    </w:p>
    <w:p w14:paraId="2476199A" w14:textId="11E447BD" w:rsidR="00606BD6" w:rsidRDefault="00606BD6" w:rsidP="00606BD6">
      <w:pPr>
        <w:pStyle w:val="Heading1"/>
      </w:pPr>
      <w:r>
        <w:t xml:space="preserve"> </w:t>
      </w:r>
      <w:bookmarkStart w:id="6" w:name="_Toc101900248"/>
      <w:r>
        <w:t xml:space="preserve">Ensure that </w:t>
      </w:r>
      <w:r w:rsidR="00B056D5">
        <w:t xml:space="preserve">the </w:t>
      </w:r>
      <w:r>
        <w:t xml:space="preserve">Register Number is shown in reports. The column is empty for </w:t>
      </w:r>
      <w:r w:rsidR="00B056D5">
        <w:t xml:space="preserve">the </w:t>
      </w:r>
      <w:r>
        <w:t>modification report. And in other reports</w:t>
      </w:r>
      <w:r w:rsidR="00B056D5">
        <w:t>,</w:t>
      </w:r>
      <w:r>
        <w:t xml:space="preserve"> it shows for only some applications.</w:t>
      </w:r>
      <w:bookmarkEnd w:id="6"/>
    </w:p>
    <w:p w14:paraId="73986413" w14:textId="7DA0D9F9" w:rsidR="00606BD6" w:rsidRDefault="00606BD6" w:rsidP="00606BD6">
      <w:r>
        <w:tab/>
        <w:t>For new application should work. For the old applicati</w:t>
      </w:r>
      <w:r w:rsidR="00B056D5">
        <w:t>o</w:t>
      </w:r>
      <w:r>
        <w:t>n will not. The data configuration sh</w:t>
      </w:r>
      <w:r w:rsidR="002434FA">
        <w:t>o</w:t>
      </w:r>
      <w:r>
        <w:t>uld be checked</w:t>
      </w:r>
      <w:r w:rsidR="002434FA">
        <w:t xml:space="preserve"> against unconfirmed changes</w:t>
      </w:r>
      <w:r>
        <w:t>. Will be performed next week.</w:t>
      </w:r>
    </w:p>
    <w:p w14:paraId="4A2EE731" w14:textId="40116774" w:rsidR="0019743F" w:rsidRPr="00606BD6" w:rsidRDefault="0019743F" w:rsidP="00606BD6">
      <w:r>
        <w:tab/>
        <w:t>The system is for demonstration and testing. The production system will us</w:t>
      </w:r>
      <w:r w:rsidR="00B056D5">
        <w:t>e</w:t>
      </w:r>
      <w:r>
        <w:t xml:space="preserve"> stable and permanent data configurations.</w:t>
      </w:r>
    </w:p>
    <w:p w14:paraId="085CE3E4" w14:textId="61C0F1A0" w:rsidR="00606BD6" w:rsidRPr="00606BD6" w:rsidRDefault="00606BD6" w:rsidP="00606BD6"/>
    <w:p w14:paraId="2FBC3EA7" w14:textId="2296E59D" w:rsidR="008E5775" w:rsidRDefault="00B056D5" w:rsidP="00B056D5">
      <w:pPr>
        <w:pStyle w:val="Heading1"/>
      </w:pPr>
      <w:r>
        <w:lastRenderedPageBreak/>
        <w:t>The checklists using</w:t>
      </w:r>
    </w:p>
    <w:p w14:paraId="59D2FEBE" w14:textId="0DDF122C" w:rsidR="00B056D5" w:rsidRDefault="00B056D5" w:rsidP="00B056D5">
      <w:r>
        <w:tab/>
        <w:t>Please, put your attention that checklists are part of submitting feature. Thus, the checklists can’t be used in the regular data forms.</w:t>
      </w:r>
    </w:p>
    <w:p w14:paraId="24D84999" w14:textId="58659417" w:rsidR="00B056D5" w:rsidRDefault="00B056D5" w:rsidP="00B056D5">
      <w:pPr>
        <w:pStyle w:val="Heading1"/>
      </w:pPr>
      <w:r>
        <w:t>Submit to the workflow</w:t>
      </w:r>
    </w:p>
    <w:p w14:paraId="4CE5642E" w14:textId="5E015BC1" w:rsidR="00B056D5" w:rsidRPr="00B056D5" w:rsidRDefault="00B056D5" w:rsidP="00B056D5">
      <w:r>
        <w:tab/>
        <w:t>Please, put your attention that for each guest application the workflow should be defined and configured.</w:t>
      </w:r>
    </w:p>
    <w:p w14:paraId="0381C397" w14:textId="0D9A76FF" w:rsidR="00B056D5" w:rsidRDefault="00B056D5" w:rsidP="00B056D5">
      <w:pPr>
        <w:keepNext/>
      </w:pPr>
      <w:r>
        <w:rPr>
          <w:noProof/>
        </w:rPr>
        <w:drawing>
          <wp:inline distT="0" distB="0" distL="0" distR="0" wp14:anchorId="79D3D4FF" wp14:editId="69DBB174">
            <wp:extent cx="5943600" cy="3053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BA48" w14:textId="05494AE1" w:rsidR="00B056D5" w:rsidRDefault="00B056D5" w:rsidP="00B056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The guest application</w:t>
      </w:r>
    </w:p>
    <w:p w14:paraId="65FEB086" w14:textId="77777777" w:rsidR="00B056D5" w:rsidRDefault="00B056D5" w:rsidP="00B056D5">
      <w:pPr>
        <w:keepNext/>
      </w:pPr>
      <w:r>
        <w:rPr>
          <w:noProof/>
        </w:rPr>
        <w:drawing>
          <wp:inline distT="0" distB="0" distL="0" distR="0" wp14:anchorId="06F222B0" wp14:editId="3E2BCD96">
            <wp:extent cx="5943600" cy="2914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11F1" w14:textId="62535140" w:rsidR="00B056D5" w:rsidRDefault="00B056D5" w:rsidP="00B056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Application URL should be defined</w:t>
      </w:r>
    </w:p>
    <w:p w14:paraId="4F78B194" w14:textId="77777777" w:rsidR="00B056D5" w:rsidRDefault="00B056D5" w:rsidP="00B056D5">
      <w:pPr>
        <w:keepNext/>
      </w:pPr>
      <w:r>
        <w:rPr>
          <w:noProof/>
        </w:rPr>
        <w:lastRenderedPageBreak/>
        <w:drawing>
          <wp:inline distT="0" distB="0" distL="0" distR="0" wp14:anchorId="36BE5256" wp14:editId="2739D4CF">
            <wp:extent cx="5943600" cy="2539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5852" w14:textId="1630598A" w:rsidR="00B056D5" w:rsidRDefault="00B056D5" w:rsidP="00B056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Go to Processes-Workflows</w:t>
      </w:r>
    </w:p>
    <w:p w14:paraId="73703652" w14:textId="77777777" w:rsidR="00B056D5" w:rsidRDefault="00B056D5" w:rsidP="00B056D5">
      <w:pPr>
        <w:keepNext/>
      </w:pPr>
      <w:r>
        <w:rPr>
          <w:noProof/>
        </w:rPr>
        <w:drawing>
          <wp:inline distT="0" distB="0" distL="0" distR="0" wp14:anchorId="5613FAD3" wp14:editId="655BB060">
            <wp:extent cx="5943600" cy="2962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F91F" w14:textId="13A4A854" w:rsidR="00B056D5" w:rsidRPr="00B056D5" w:rsidRDefault="00B056D5" w:rsidP="00B056D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. The </w:t>
      </w:r>
      <w:proofErr w:type="spellStart"/>
      <w:r>
        <w:t>wrokflow</w:t>
      </w:r>
      <w:proofErr w:type="spellEnd"/>
      <w:r>
        <w:t xml:space="preserve"> should be configured</w:t>
      </w:r>
    </w:p>
    <w:sectPr w:rsidR="00B056D5" w:rsidRPr="00B056D5" w:rsidSect="00B3139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C25F" w14:textId="77777777" w:rsidR="00844803" w:rsidRDefault="00844803" w:rsidP="00EB0FAC">
      <w:pPr>
        <w:spacing w:after="0" w:line="240" w:lineRule="auto"/>
      </w:pPr>
      <w:r>
        <w:separator/>
      </w:r>
    </w:p>
  </w:endnote>
  <w:endnote w:type="continuationSeparator" w:id="0">
    <w:p w14:paraId="47A6951D" w14:textId="77777777" w:rsidR="00844803" w:rsidRDefault="00844803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257F" w14:textId="77777777" w:rsidR="00844803" w:rsidRDefault="00844803" w:rsidP="00EB0FAC">
      <w:pPr>
        <w:spacing w:after="0" w:line="240" w:lineRule="auto"/>
      </w:pPr>
      <w:r>
        <w:separator/>
      </w:r>
    </w:p>
  </w:footnote>
  <w:footnote w:type="continuationSeparator" w:id="0">
    <w:p w14:paraId="76305903" w14:textId="77777777" w:rsidR="00844803" w:rsidRDefault="00844803" w:rsidP="00EB0FAC">
      <w:pPr>
        <w:spacing w:after="0" w:line="240" w:lineRule="auto"/>
      </w:pPr>
      <w:r>
        <w:continuationSeparator/>
      </w:r>
    </w:p>
  </w:footnote>
  <w:footnote w:id="1">
    <w:p w14:paraId="0A048A6B" w14:textId="08AF1BE5" w:rsidR="00606BD6" w:rsidRDefault="00606B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6BD6">
        <w:t>https://www.baeldung.com/java-date-to-localdate-and-localdatetime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2"/>
  </w:num>
  <w:num w:numId="3" w16cid:durableId="2037654964">
    <w:abstractNumId w:val="8"/>
  </w:num>
  <w:num w:numId="4" w16cid:durableId="694814981">
    <w:abstractNumId w:val="12"/>
  </w:num>
  <w:num w:numId="5" w16cid:durableId="1657416719">
    <w:abstractNumId w:val="29"/>
  </w:num>
  <w:num w:numId="6" w16cid:durableId="1942716298">
    <w:abstractNumId w:val="24"/>
  </w:num>
  <w:num w:numId="7" w16cid:durableId="1052387326">
    <w:abstractNumId w:val="9"/>
  </w:num>
  <w:num w:numId="8" w16cid:durableId="469907338">
    <w:abstractNumId w:val="21"/>
  </w:num>
  <w:num w:numId="9" w16cid:durableId="168453208">
    <w:abstractNumId w:val="14"/>
  </w:num>
  <w:num w:numId="10" w16cid:durableId="842890756">
    <w:abstractNumId w:val="19"/>
  </w:num>
  <w:num w:numId="11" w16cid:durableId="1256673841">
    <w:abstractNumId w:val="6"/>
  </w:num>
  <w:num w:numId="12" w16cid:durableId="744376024">
    <w:abstractNumId w:val="0"/>
  </w:num>
  <w:num w:numId="13" w16cid:durableId="975722343">
    <w:abstractNumId w:val="13"/>
  </w:num>
  <w:num w:numId="14" w16cid:durableId="656960241">
    <w:abstractNumId w:val="7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3"/>
  </w:num>
  <w:num w:numId="18" w16cid:durableId="558249327">
    <w:abstractNumId w:val="16"/>
  </w:num>
  <w:num w:numId="19" w16cid:durableId="1588997784">
    <w:abstractNumId w:val="31"/>
  </w:num>
  <w:num w:numId="20" w16cid:durableId="788276713">
    <w:abstractNumId w:val="5"/>
  </w:num>
  <w:num w:numId="21" w16cid:durableId="1584141051">
    <w:abstractNumId w:val="18"/>
  </w:num>
  <w:num w:numId="22" w16cid:durableId="197747256">
    <w:abstractNumId w:val="26"/>
  </w:num>
  <w:num w:numId="23" w16cid:durableId="739717404">
    <w:abstractNumId w:val="11"/>
  </w:num>
  <w:num w:numId="24" w16cid:durableId="990527295">
    <w:abstractNumId w:val="2"/>
  </w:num>
  <w:num w:numId="25" w16cid:durableId="1419788610">
    <w:abstractNumId w:val="27"/>
  </w:num>
  <w:num w:numId="26" w16cid:durableId="1762681031">
    <w:abstractNumId w:val="25"/>
  </w:num>
  <w:num w:numId="27" w16cid:durableId="1391537340">
    <w:abstractNumId w:val="30"/>
  </w:num>
  <w:num w:numId="28" w16cid:durableId="1878273889">
    <w:abstractNumId w:val="15"/>
  </w:num>
  <w:num w:numId="29" w16cid:durableId="51083277">
    <w:abstractNumId w:val="20"/>
  </w:num>
  <w:num w:numId="30" w16cid:durableId="1208953776">
    <w:abstractNumId w:val="17"/>
  </w:num>
  <w:num w:numId="31" w16cid:durableId="1952663098">
    <w:abstractNumId w:val="28"/>
  </w:num>
  <w:num w:numId="32" w16cid:durableId="210830586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qAUATydu1iwAAAA="/>
  </w:docVars>
  <w:rsids>
    <w:rsidRoot w:val="002679D2"/>
    <w:rsid w:val="00002211"/>
    <w:rsid w:val="00003BE7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57F3"/>
    <w:rsid w:val="000F1268"/>
    <w:rsid w:val="000F1CEB"/>
    <w:rsid w:val="000F3892"/>
    <w:rsid w:val="000F671E"/>
    <w:rsid w:val="001026DA"/>
    <w:rsid w:val="00102725"/>
    <w:rsid w:val="001029DC"/>
    <w:rsid w:val="00106116"/>
    <w:rsid w:val="00112D5C"/>
    <w:rsid w:val="001154C0"/>
    <w:rsid w:val="00115568"/>
    <w:rsid w:val="00115E6B"/>
    <w:rsid w:val="0014100C"/>
    <w:rsid w:val="00141E9F"/>
    <w:rsid w:val="00146785"/>
    <w:rsid w:val="00151CB4"/>
    <w:rsid w:val="00151E0B"/>
    <w:rsid w:val="00155F64"/>
    <w:rsid w:val="00167C0A"/>
    <w:rsid w:val="00175191"/>
    <w:rsid w:val="0019269C"/>
    <w:rsid w:val="001953DB"/>
    <w:rsid w:val="0019743F"/>
    <w:rsid w:val="001A68F0"/>
    <w:rsid w:val="001C740A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46BC"/>
    <w:rsid w:val="002255E8"/>
    <w:rsid w:val="00231B35"/>
    <w:rsid w:val="0024046A"/>
    <w:rsid w:val="002416EC"/>
    <w:rsid w:val="002434FA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F1A72"/>
    <w:rsid w:val="003F1B00"/>
    <w:rsid w:val="003F37E0"/>
    <w:rsid w:val="003F6591"/>
    <w:rsid w:val="004015FC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4611C"/>
    <w:rsid w:val="00551DD7"/>
    <w:rsid w:val="0055277F"/>
    <w:rsid w:val="00552E81"/>
    <w:rsid w:val="0055751A"/>
    <w:rsid w:val="00562AAF"/>
    <w:rsid w:val="00562F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500C7"/>
    <w:rsid w:val="00654AFE"/>
    <w:rsid w:val="00663359"/>
    <w:rsid w:val="00664769"/>
    <w:rsid w:val="006732C7"/>
    <w:rsid w:val="00676680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A09A7"/>
    <w:rsid w:val="007B012C"/>
    <w:rsid w:val="007B1E83"/>
    <w:rsid w:val="007B1FE1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F2CD7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5707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3824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ropbox.com/s/nq7i6puy9wkdxg3/Combined%20Pharmacy%20List%20NepalOut.xlsx?dl=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302</cp:revision>
  <dcterms:created xsi:type="dcterms:W3CDTF">2021-06-27T19:21:00Z</dcterms:created>
  <dcterms:modified xsi:type="dcterms:W3CDTF">2022-04-26T18:36:00Z</dcterms:modified>
</cp:coreProperties>
</file>