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66EFE87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06</w:t>
      </w:r>
      <w:r w:rsidR="005905E4">
        <w:t>-</w:t>
      </w:r>
      <w:r w:rsidR="00842BF3">
        <w:t>29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403F4DA" w14:textId="74FE5EE8" w:rsidR="00C94E04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7764770" w:history="1">
            <w:r w:rsidR="00C94E04" w:rsidRPr="00FD718C">
              <w:rPr>
                <w:rStyle w:val="Hyperlink"/>
                <w:noProof/>
              </w:rPr>
              <w:t>Motivation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_Toc107764770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1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66D536DB" w14:textId="6457EFD7" w:rsidR="00C94E0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764771" w:history="1">
            <w:r w:rsidR="00C94E04" w:rsidRPr="00FD718C">
              <w:rPr>
                <w:rStyle w:val="Hyperlink"/>
                <w:noProof/>
              </w:rPr>
              <w:t>Speed up Administrative-Authority and users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_Toc107764771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1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1CA6680C" w14:textId="53FA3E04" w:rsidR="00C94E0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764772" w:history="1">
            <w:r w:rsidR="00C94E04" w:rsidRPr="00FD718C">
              <w:rPr>
                <w:rStyle w:val="Hyperlink"/>
                <w:noProof/>
              </w:rPr>
              <w:t>Allow applicant as not first workflow participant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_Toc107764772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1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36F24AD5" w14:textId="415109A9" w:rsidR="00C94E0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764773" w:history="1">
            <w:r w:rsidR="00C94E04" w:rsidRPr="00FD718C">
              <w:rPr>
                <w:rStyle w:val="Hyperlink"/>
                <w:noProof/>
              </w:rPr>
              <w:t>Data Warehouse reports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_Toc107764773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1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082DA93F" w14:textId="2465CA27" w:rsidR="00C94E04" w:rsidRDefault="00000000">
          <w:pPr>
            <w:pStyle w:val="TOC1"/>
            <w:rPr>
              <w:rFonts w:eastAsiaTheme="minorEastAsia"/>
              <w:noProof/>
            </w:rPr>
          </w:pPr>
          <w:hyperlink w:anchor="_Toc107764774" w:history="1">
            <w:r w:rsidR="00C94E04" w:rsidRPr="00FD718C">
              <w:rPr>
                <w:rStyle w:val="Hyperlink"/>
                <w:noProof/>
              </w:rPr>
              <w:t>Pre-requisite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_Toc107764774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2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5AC27D86" w14:textId="3E42288E" w:rsidR="00C94E04" w:rsidRDefault="00000000">
          <w:pPr>
            <w:pStyle w:val="TOC1"/>
            <w:rPr>
              <w:rFonts w:eastAsiaTheme="minorEastAsia"/>
              <w:noProof/>
            </w:rPr>
          </w:pPr>
          <w:hyperlink w:anchor="_Toc107764775" w:history="1">
            <w:r w:rsidR="00C94E04" w:rsidRPr="00FD718C">
              <w:rPr>
                <w:rStyle w:val="Hyperlink"/>
                <w:noProof/>
              </w:rPr>
              <w:t>Release particularities</w:t>
            </w:r>
            <w:r w:rsidR="00C94E04">
              <w:rPr>
                <w:noProof/>
                <w:webHidden/>
              </w:rPr>
              <w:tab/>
            </w:r>
            <w:r w:rsidR="00C94E04">
              <w:rPr>
                <w:noProof/>
                <w:webHidden/>
              </w:rPr>
              <w:fldChar w:fldCharType="begin"/>
            </w:r>
            <w:r w:rsidR="00C94E04">
              <w:rPr>
                <w:noProof/>
                <w:webHidden/>
              </w:rPr>
              <w:instrText xml:space="preserve"> PAGEREF _Toc107764775 \h </w:instrText>
            </w:r>
            <w:r w:rsidR="00C94E04">
              <w:rPr>
                <w:noProof/>
                <w:webHidden/>
              </w:rPr>
            </w:r>
            <w:r w:rsidR="00C94E04">
              <w:rPr>
                <w:noProof/>
                <w:webHidden/>
              </w:rPr>
              <w:fldChar w:fldCharType="separate"/>
            </w:r>
            <w:r w:rsidR="00C94E04">
              <w:rPr>
                <w:noProof/>
                <w:webHidden/>
              </w:rPr>
              <w:t>2</w:t>
            </w:r>
            <w:r w:rsidR="00C94E04">
              <w:rPr>
                <w:noProof/>
                <w:webHidden/>
              </w:rPr>
              <w:fldChar w:fldCharType="end"/>
            </w:r>
          </w:hyperlink>
        </w:p>
        <w:p w14:paraId="25824E24" w14:textId="72565AE3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4FF0CF19" w:rsidR="00C50319" w:rsidRDefault="00410E84" w:rsidP="003C60B4">
      <w:pPr>
        <w:pStyle w:val="Heading1"/>
      </w:pPr>
      <w:bookmarkStart w:id="0" w:name="_Toc107764770"/>
      <w:r w:rsidRPr="004535BB">
        <w:t>Motivation</w:t>
      </w:r>
      <w:bookmarkEnd w:id="0"/>
    </w:p>
    <w:p w14:paraId="6445E3D2" w14:textId="58CA5266" w:rsidR="00842BF3" w:rsidRDefault="00842BF3" w:rsidP="00FE7DB8">
      <w:pPr>
        <w:pStyle w:val="Heading2"/>
      </w:pPr>
      <w:bookmarkStart w:id="1" w:name="_Toc107764771"/>
      <w:r>
        <w:t xml:space="preserve">Speed up </w:t>
      </w:r>
      <w:r w:rsidR="00FE7DB8">
        <w:t>Administrative-Authority and users</w:t>
      </w:r>
      <w:bookmarkEnd w:id="1"/>
    </w:p>
    <w:p w14:paraId="11C286F1" w14:textId="444E2AD4" w:rsidR="00FE7DB8" w:rsidRPr="00FE7DB8" w:rsidRDefault="00FE7DB8" w:rsidP="00FE7DB8">
      <w:r>
        <w:tab/>
        <w:t xml:space="preserve">The time to reply is speed-up sufficiently. The old inefficient codes have been replaced.  </w:t>
      </w:r>
    </w:p>
    <w:p w14:paraId="54235C66" w14:textId="05CDD22C" w:rsidR="00842BF3" w:rsidRDefault="00842BF3" w:rsidP="00FE7DB8">
      <w:pPr>
        <w:pStyle w:val="Heading2"/>
      </w:pPr>
      <w:bookmarkStart w:id="2" w:name="_Toc107764772"/>
      <w:r>
        <w:t>Allow applicant as not first workflow participant</w:t>
      </w:r>
      <w:bookmarkEnd w:id="2"/>
    </w:p>
    <w:p w14:paraId="44049C94" w14:textId="1A0F001D" w:rsidR="00FE7DB8" w:rsidRPr="00FE7DB8" w:rsidRDefault="00FE7DB8" w:rsidP="00FE7DB8">
      <w:r>
        <w:tab/>
        <w:t>In the previous releases</w:t>
      </w:r>
      <w:r w:rsidR="00755553">
        <w:t>,</w:t>
      </w:r>
      <w:r>
        <w:t xml:space="preserve"> an applicant can’t be </w:t>
      </w:r>
      <w:r w:rsidR="00755553">
        <w:t xml:space="preserve">the </w:t>
      </w:r>
      <w:r>
        <w:t>executor of activity after an activity managed by NMRA (DDA) executor. Currently</w:t>
      </w:r>
      <w:r w:rsidR="00755553">
        <w:t>,</w:t>
      </w:r>
      <w:r>
        <w:t xml:space="preserve"> it is allowable.</w:t>
      </w:r>
    </w:p>
    <w:p w14:paraId="34544635" w14:textId="5CC8CE41" w:rsidR="00842BF3" w:rsidRDefault="00C94E04" w:rsidP="00FE7DB8">
      <w:pPr>
        <w:pStyle w:val="Heading2"/>
      </w:pPr>
      <w:bookmarkStart w:id="3" w:name="_Toc107764773"/>
      <w:r>
        <w:t>Data Warehouse</w:t>
      </w:r>
      <w:r w:rsidR="00842BF3">
        <w:t xml:space="preserve"> reports</w:t>
      </w:r>
      <w:bookmarkEnd w:id="3"/>
    </w:p>
    <w:p w14:paraId="16D1F061" w14:textId="4C842782" w:rsidR="00FE7DB8" w:rsidRDefault="00FE7DB8" w:rsidP="00535797">
      <w:pPr>
        <w:pStyle w:val="ListParagraph"/>
        <w:numPr>
          <w:ilvl w:val="0"/>
          <w:numId w:val="34"/>
        </w:numPr>
      </w:pPr>
      <w:r>
        <w:t>The external report</w:t>
      </w:r>
      <w:r w:rsidR="00C94E04">
        <w:t xml:space="preserve"> DWH</w:t>
      </w:r>
      <w:r>
        <w:t xml:space="preserve"> data preparation codes </w:t>
      </w:r>
      <w:r w:rsidR="00755553">
        <w:t xml:space="preserve">are </w:t>
      </w:r>
      <w:r>
        <w:t>currently run by schedule:</w:t>
      </w:r>
    </w:p>
    <w:p w14:paraId="7D766561" w14:textId="7EEADF1B" w:rsidR="00FE7DB8" w:rsidRDefault="00FE7DB8" w:rsidP="00535797">
      <w:pPr>
        <w:pStyle w:val="ListParagraph"/>
        <w:numPr>
          <w:ilvl w:val="1"/>
          <w:numId w:val="34"/>
        </w:numPr>
      </w:pPr>
      <w:r>
        <w:t xml:space="preserve">In 15 minutes after Pharmadex 2 server </w:t>
      </w:r>
      <w:r w:rsidR="00535797">
        <w:t>is started</w:t>
      </w:r>
    </w:p>
    <w:p w14:paraId="137E1396" w14:textId="0E3A8A5C" w:rsidR="00535797" w:rsidRDefault="00535797" w:rsidP="00535797">
      <w:pPr>
        <w:pStyle w:val="ListParagraph"/>
        <w:numPr>
          <w:ilvl w:val="1"/>
          <w:numId w:val="34"/>
        </w:numPr>
      </w:pPr>
      <w:r>
        <w:t>Every</w:t>
      </w:r>
      <w:r w:rsidR="0036566C">
        <w:t xml:space="preserve"> </w:t>
      </w:r>
      <w:r>
        <w:t>24 hours</w:t>
      </w:r>
    </w:p>
    <w:p w14:paraId="5F5A53BE" w14:textId="028F001B" w:rsidR="00535797" w:rsidRDefault="00535797" w:rsidP="00535797">
      <w:pPr>
        <w:pStyle w:val="ListParagraph"/>
        <w:numPr>
          <w:ilvl w:val="0"/>
          <w:numId w:val="34"/>
        </w:numPr>
      </w:pPr>
      <w:r>
        <w:t xml:space="preserve">It is possible to start the data preparation </w:t>
      </w:r>
      <w:r w:rsidR="00C94E04">
        <w:t xml:space="preserve">for DWH </w:t>
      </w:r>
      <w:r>
        <w:t xml:space="preserve">manually </w:t>
      </w:r>
      <w:r w:rsidR="00755553">
        <w:t xml:space="preserve">at </w:t>
      </w:r>
      <w:r>
        <w:t>any time</w:t>
      </w:r>
    </w:p>
    <w:p w14:paraId="41C8BFDC" w14:textId="77777777" w:rsidR="00C94E04" w:rsidRDefault="00C94E04" w:rsidP="00C94E04">
      <w:pPr>
        <w:keepNext/>
      </w:pPr>
      <w:r>
        <w:rPr>
          <w:noProof/>
        </w:rPr>
        <w:drawing>
          <wp:inline distT="0" distB="0" distL="0" distR="0" wp14:anchorId="17B53D6F" wp14:editId="2271FE8F">
            <wp:extent cx="5943600" cy="192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0E3" w14:textId="4303CA13" w:rsidR="00535797" w:rsidRPr="00C94E04" w:rsidRDefault="00C94E04" w:rsidP="00C94E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Press Update DWH to update data for DWH. If this button </w:t>
      </w:r>
      <w:r w:rsidR="00755553">
        <w:t xml:space="preserve">is </w:t>
      </w:r>
      <w:r>
        <w:t>not active, the data preparation process is running</w:t>
      </w:r>
    </w:p>
    <w:p w14:paraId="39D15287" w14:textId="77777777" w:rsidR="00FE7DB8" w:rsidRPr="00FE7DB8" w:rsidRDefault="00FE7DB8" w:rsidP="00FE7DB8"/>
    <w:p w14:paraId="6ABF3FCF" w14:textId="77AEAB06" w:rsidR="00905E4A" w:rsidRPr="004535BB" w:rsidRDefault="00905E4A" w:rsidP="006C1C87">
      <w:pPr>
        <w:pStyle w:val="Heading1"/>
      </w:pPr>
      <w:bookmarkStart w:id="4" w:name="_Toc107764774"/>
      <w:r w:rsidRPr="004535BB">
        <w:lastRenderedPageBreak/>
        <w:t>Pre-requisite</w:t>
      </w:r>
      <w:bookmarkEnd w:id="4"/>
    </w:p>
    <w:p w14:paraId="45FFC629" w14:textId="53A1FBB1" w:rsidR="00905E4A" w:rsidRDefault="00905E4A" w:rsidP="00905E4A">
      <w:pPr>
        <w:keepNext/>
      </w:pPr>
      <w:r w:rsidRPr="004535BB">
        <w:tab/>
        <w:t xml:space="preserve">You must have a Gmail account that has not been registered in the Pharmadex 2 database. </w:t>
      </w:r>
    </w:p>
    <w:p w14:paraId="0061E432" w14:textId="1A1F44BC" w:rsidR="00905E4A" w:rsidRDefault="0016082F" w:rsidP="00905E4A">
      <w:pPr>
        <w:pStyle w:val="Heading1"/>
        <w:rPr>
          <w:b/>
          <w:bCs/>
        </w:rPr>
      </w:pPr>
      <w:bookmarkStart w:id="5" w:name="_Toc107764775"/>
      <w:r>
        <w:t>Release</w:t>
      </w:r>
      <w:r w:rsidR="00905E4A" w:rsidRPr="004535BB">
        <w:t xml:space="preserve"> particularities</w:t>
      </w:r>
      <w:bookmarkEnd w:id="5"/>
      <w:r w:rsidR="00905E4A" w:rsidRPr="004535BB">
        <w:t xml:space="preserve"> </w:t>
      </w:r>
      <w:r w:rsidR="00905E4A" w:rsidRPr="004535BB">
        <w:rPr>
          <w:b/>
          <w:bCs/>
        </w:rPr>
        <w:t xml:space="preserve"> </w:t>
      </w:r>
    </w:p>
    <w:p w14:paraId="3C9C9A5E" w14:textId="768392D5" w:rsidR="00C94E04" w:rsidRPr="00C94E04" w:rsidRDefault="00C94E04" w:rsidP="00C94E04">
      <w:pPr>
        <w:rPr>
          <w:b/>
          <w:bCs/>
        </w:rPr>
      </w:pPr>
      <w:r>
        <w:tab/>
      </w:r>
      <w:r w:rsidRPr="00C94E04">
        <w:rPr>
          <w:b/>
          <w:bCs/>
        </w:rPr>
        <w:t>The database structure has been changed.</w:t>
      </w:r>
    </w:p>
    <w:p w14:paraId="638611F3" w14:textId="3B272FE0" w:rsidR="001045B9" w:rsidRDefault="001045B9" w:rsidP="001045B9"/>
    <w:sectPr w:rsidR="001045B9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342" w14:textId="77777777" w:rsidR="00E21DD5" w:rsidRDefault="00E21DD5" w:rsidP="00EB0FAC">
      <w:pPr>
        <w:spacing w:after="0" w:line="240" w:lineRule="auto"/>
      </w:pPr>
      <w:r>
        <w:separator/>
      </w:r>
    </w:p>
  </w:endnote>
  <w:endnote w:type="continuationSeparator" w:id="0">
    <w:p w14:paraId="3230579E" w14:textId="77777777" w:rsidR="00E21DD5" w:rsidRDefault="00E21DD5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E6C6" w14:textId="77777777" w:rsidR="00E21DD5" w:rsidRDefault="00E21DD5" w:rsidP="00EB0FAC">
      <w:pPr>
        <w:spacing w:after="0" w:line="240" w:lineRule="auto"/>
      </w:pPr>
      <w:r>
        <w:separator/>
      </w:r>
    </w:p>
  </w:footnote>
  <w:footnote w:type="continuationSeparator" w:id="0">
    <w:p w14:paraId="70DDD363" w14:textId="77777777" w:rsidR="00E21DD5" w:rsidRDefault="00E21DD5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3"/>
  </w:num>
  <w:num w:numId="3" w16cid:durableId="2037654964">
    <w:abstractNumId w:val="9"/>
  </w:num>
  <w:num w:numId="4" w16cid:durableId="694814981">
    <w:abstractNumId w:val="13"/>
  </w:num>
  <w:num w:numId="5" w16cid:durableId="1657416719">
    <w:abstractNumId w:val="30"/>
  </w:num>
  <w:num w:numId="6" w16cid:durableId="1942716298">
    <w:abstractNumId w:val="25"/>
  </w:num>
  <w:num w:numId="7" w16cid:durableId="1052387326">
    <w:abstractNumId w:val="10"/>
  </w:num>
  <w:num w:numId="8" w16cid:durableId="469907338">
    <w:abstractNumId w:val="22"/>
  </w:num>
  <w:num w:numId="9" w16cid:durableId="168453208">
    <w:abstractNumId w:val="15"/>
  </w:num>
  <w:num w:numId="10" w16cid:durableId="842890756">
    <w:abstractNumId w:val="20"/>
  </w:num>
  <w:num w:numId="11" w16cid:durableId="1256673841">
    <w:abstractNumId w:val="7"/>
  </w:num>
  <w:num w:numId="12" w16cid:durableId="744376024">
    <w:abstractNumId w:val="0"/>
  </w:num>
  <w:num w:numId="13" w16cid:durableId="975722343">
    <w:abstractNumId w:val="14"/>
  </w:num>
  <w:num w:numId="14" w16cid:durableId="656960241">
    <w:abstractNumId w:val="8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4"/>
  </w:num>
  <w:num w:numId="18" w16cid:durableId="558249327">
    <w:abstractNumId w:val="17"/>
  </w:num>
  <w:num w:numId="19" w16cid:durableId="1588997784">
    <w:abstractNumId w:val="33"/>
  </w:num>
  <w:num w:numId="20" w16cid:durableId="788276713">
    <w:abstractNumId w:val="6"/>
  </w:num>
  <w:num w:numId="21" w16cid:durableId="1584141051">
    <w:abstractNumId w:val="19"/>
  </w:num>
  <w:num w:numId="22" w16cid:durableId="197747256">
    <w:abstractNumId w:val="27"/>
  </w:num>
  <w:num w:numId="23" w16cid:durableId="739717404">
    <w:abstractNumId w:val="12"/>
  </w:num>
  <w:num w:numId="24" w16cid:durableId="990527295">
    <w:abstractNumId w:val="2"/>
  </w:num>
  <w:num w:numId="25" w16cid:durableId="1419788610">
    <w:abstractNumId w:val="28"/>
  </w:num>
  <w:num w:numId="26" w16cid:durableId="1762681031">
    <w:abstractNumId w:val="26"/>
  </w:num>
  <w:num w:numId="27" w16cid:durableId="1391537340">
    <w:abstractNumId w:val="32"/>
  </w:num>
  <w:num w:numId="28" w16cid:durableId="1878273889">
    <w:abstractNumId w:val="16"/>
  </w:num>
  <w:num w:numId="29" w16cid:durableId="51083277">
    <w:abstractNumId w:val="21"/>
  </w:num>
  <w:num w:numId="30" w16cid:durableId="1208953776">
    <w:abstractNumId w:val="18"/>
  </w:num>
  <w:num w:numId="31" w16cid:durableId="1952663098">
    <w:abstractNumId w:val="29"/>
  </w:num>
  <w:num w:numId="32" w16cid:durableId="2108305862">
    <w:abstractNumId w:val="11"/>
  </w:num>
  <w:num w:numId="33" w16cid:durableId="312102372">
    <w:abstractNumId w:val="31"/>
  </w:num>
  <w:num w:numId="34" w16cid:durableId="12799194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K0FAKguci0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4100C"/>
    <w:rsid w:val="00141E9F"/>
    <w:rsid w:val="00146785"/>
    <w:rsid w:val="00151CB4"/>
    <w:rsid w:val="00151E0B"/>
    <w:rsid w:val="00155F64"/>
    <w:rsid w:val="0016082F"/>
    <w:rsid w:val="00167C0A"/>
    <w:rsid w:val="00175191"/>
    <w:rsid w:val="0019269C"/>
    <w:rsid w:val="001953DB"/>
    <w:rsid w:val="0019743F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434FA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51DD7"/>
    <w:rsid w:val="0055277F"/>
    <w:rsid w:val="00552E81"/>
    <w:rsid w:val="0055751A"/>
    <w:rsid w:val="00562AAF"/>
    <w:rsid w:val="00562FAF"/>
    <w:rsid w:val="00565042"/>
    <w:rsid w:val="0057455F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314</cp:revision>
  <dcterms:created xsi:type="dcterms:W3CDTF">2021-06-27T19:21:00Z</dcterms:created>
  <dcterms:modified xsi:type="dcterms:W3CDTF">2022-07-03T16:39:00Z</dcterms:modified>
</cp:coreProperties>
</file>