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5EA7" w:rsidRDefault="0061259C" w:rsidP="0061259C">
      <w:pPr>
        <w:jc w:val="center"/>
      </w:pPr>
      <w:r>
        <w:t>Summary Table Macro (Table 1)</w:t>
      </w:r>
    </w:p>
    <w:p w:rsidR="0061259C" w:rsidRDefault="0061259C" w:rsidP="006125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Macro Name: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TABLE1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61259C" w:rsidRDefault="0061259C" w:rsidP="006125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Created Date/Author: 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October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. 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2021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/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Hannah Kalvin &amp; Stephanie Lobaugh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61259C" w:rsidRDefault="0061259C" w:rsidP="006125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Last Update Date/Person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: Oct 1, 20</w:t>
      </w:r>
      <w:r w:rsidR="00FA6D80">
        <w:rPr>
          <w:rStyle w:val="normaltextrun"/>
          <w:rFonts w:ascii="Calibri" w:hAnsi="Calibri" w:cs="Calibri"/>
          <w:color w:val="000000"/>
          <w:sz w:val="22"/>
          <w:szCs w:val="22"/>
        </w:rPr>
        <w:t>21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/</w:t>
      </w:r>
      <w:r w:rsidR="00FA6D80">
        <w:rPr>
          <w:rStyle w:val="normaltextrun"/>
          <w:rFonts w:ascii="Calibri" w:hAnsi="Calibri" w:cs="Calibri"/>
          <w:color w:val="000000"/>
          <w:sz w:val="22"/>
          <w:szCs w:val="22"/>
        </w:rPr>
        <w:t>Hannah Kalvin &amp; Stephanie Lobaugh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61259C" w:rsidRDefault="0061259C" w:rsidP="006125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Other Contributors: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Debra Goldman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61259C" w:rsidRDefault="0061259C" w:rsidP="006125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Current Version</w:t>
      </w:r>
      <w:r w:rsidR="00FA6D80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 (reflected in tag on github)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: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</w:t>
      </w:r>
      <w:r w:rsidR="001B43F0">
        <w:rPr>
          <w:rStyle w:val="normaltextrun"/>
          <w:rFonts w:ascii="Calibri" w:hAnsi="Calibri" w:cs="Calibri"/>
          <w:color w:val="000000"/>
          <w:sz w:val="22"/>
          <w:szCs w:val="22"/>
        </w:rPr>
        <w:t>table1_</w:t>
      </w:r>
      <w:r w:rsidR="00FA6D80">
        <w:rPr>
          <w:rStyle w:val="normaltextrun"/>
          <w:rFonts w:ascii="Calibri" w:hAnsi="Calibri" w:cs="Calibri"/>
          <w:color w:val="000000"/>
          <w:sz w:val="22"/>
          <w:szCs w:val="22"/>
        </w:rPr>
        <w:t>v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1</w:t>
      </w:r>
      <w:r w:rsidR="00FA6D80">
        <w:rPr>
          <w:rStyle w:val="normaltextrun"/>
          <w:rFonts w:ascii="Calibri" w:hAnsi="Calibri" w:cs="Calibri"/>
          <w:color w:val="000000"/>
          <w:sz w:val="22"/>
          <w:szCs w:val="22"/>
        </w:rPr>
        <w:t>.0</w:t>
      </w:r>
    </w:p>
    <w:p w:rsidR="0061259C" w:rsidRDefault="0061259C" w:rsidP="006125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Working Environment: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SAS 9.4 </w:t>
      </w:r>
    </w:p>
    <w:p w:rsidR="0061259C" w:rsidRDefault="0061259C" w:rsidP="006125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FA6D80" w:rsidRDefault="00FA6D80" w:rsidP="0061259C">
      <w:r w:rsidRPr="00FA6D80">
        <w:rPr>
          <w:b/>
          <w:bCs/>
        </w:rPr>
        <w:t>Purpose</w:t>
      </w:r>
      <w:r>
        <w:t>:</w:t>
      </w:r>
    </w:p>
    <w:p w:rsidR="00FA6D80" w:rsidRDefault="00FA6D80" w:rsidP="0061259C">
      <w:r w:rsidRPr="00FA6D80">
        <w:rPr>
          <w:b/>
          <w:bCs/>
        </w:rPr>
        <w:t>Notes</w:t>
      </w:r>
      <w:r>
        <w:t>:</w:t>
      </w:r>
    </w:p>
    <w:p w:rsidR="00FA6D80" w:rsidRDefault="00FA6D80" w:rsidP="0061259C">
      <w:r w:rsidRPr="00FA6D80">
        <w:rPr>
          <w:b/>
          <w:bCs/>
        </w:rPr>
        <w:t>Parameters</w:t>
      </w:r>
      <w:r>
        <w:t>:</w:t>
      </w:r>
    </w:p>
    <w:tbl>
      <w:tblPr>
        <w:tblW w:w="9239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1"/>
        <w:gridCol w:w="5840"/>
        <w:gridCol w:w="1378"/>
      </w:tblGrid>
      <w:tr w:rsidR="003204FD" w:rsidRPr="003204FD" w:rsidTr="00261C0E"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04FD" w:rsidRPr="003204FD" w:rsidRDefault="003204FD" w:rsidP="003204F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Macro variable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04FD" w:rsidRPr="003204FD" w:rsidRDefault="003204FD" w:rsidP="003204F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Description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04FD" w:rsidRPr="003204FD" w:rsidRDefault="003204FD" w:rsidP="003204F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Required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204FD" w:rsidRPr="003204FD" w:rsidTr="00261C0E"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04FD" w:rsidRPr="003204FD" w:rsidRDefault="003204FD" w:rsidP="003204F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DATA</w:t>
            </w:r>
          </w:p>
        </w:tc>
        <w:tc>
          <w:tcPr>
            <w:tcW w:w="5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04FD" w:rsidRPr="003204FD" w:rsidRDefault="003204FD" w:rsidP="003204F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The name of the data set to be analyzed.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04FD" w:rsidRPr="003204FD" w:rsidRDefault="003204FD" w:rsidP="003204F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Yes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204FD" w:rsidRPr="003204FD" w:rsidTr="00261C0E"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04FD" w:rsidRPr="003204FD" w:rsidRDefault="003204FD" w:rsidP="003204F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ROWVARTYPE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04FD" w:rsidRPr="003204FD" w:rsidRDefault="00261C0E" w:rsidP="003204F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1: categorical stats; 2: continuous summary stats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04FD" w:rsidRPr="003204FD" w:rsidRDefault="003204FD" w:rsidP="003204F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Yes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204FD" w:rsidRPr="003204FD" w:rsidTr="00261C0E"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04FD" w:rsidRPr="003204FD" w:rsidRDefault="003204FD" w:rsidP="003204F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ROWVARFORMAT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format of variable. both numeric and character formats will work. note: can also use formats such as 5.0 for count data or $ formats for categorical data</w:t>
            </w:r>
          </w:p>
          <w:p w:rsidR="003204FD" w:rsidRPr="003204FD" w:rsidRDefault="00261C0E" w:rsidP="00261C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numeric can be set to percentn, integer, decimal etc.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04FD" w:rsidRPr="003204FD" w:rsidRDefault="003204FD" w:rsidP="003204F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Yes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204FD" w:rsidRPr="003204FD" w:rsidTr="00261C0E"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04FD" w:rsidRPr="003204FD" w:rsidRDefault="003204FD" w:rsidP="003204F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CREATEDATA</w:t>
            </w:r>
          </w:p>
        </w:tc>
        <w:tc>
          <w:tcPr>
            <w:tcW w:w="5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set to 1 in </w:t>
            </w:r>
            <w:r w:rsidRPr="00261C0E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first call of table1</w:t>
            </w: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 macro to create dataset to save information to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 (not necessary if you already have a shell dataset created outside of macro call)</w:t>
            </w:r>
          </w:p>
          <w:p w:rsidR="003204FD" w:rsidRPr="003204FD" w:rsidRDefault="00261C0E" w:rsidP="00261C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default is 0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04FD" w:rsidRPr="003204FD" w:rsidRDefault="003204FD" w:rsidP="003204F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No</w:t>
            </w:r>
            <w:r w:rsid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 but recommended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1C0E" w:rsidRPr="003204FD" w:rsidTr="00261C0E"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TABLE_NAME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shd w:val="clear" w:color="auto" w:fill="FFFFFF"/>
              </w:rPr>
              <w:t>provide table name from create table1 macro above. If not provided, defaults to table1_combined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No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 but recommended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1C0E" w:rsidRPr="003204FD" w:rsidTr="00261C0E"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GROUPVAR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grouping variable. If blank, it runs single column. If variable listed, it will provide an overall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 </w:t>
            </w: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and values stratified by this grouping variable. default is to provide columnar proportion (see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 below)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No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 but recommended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1C0E" w:rsidRPr="003204FD" w:rsidTr="00261C0E"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GROUPVARFORMAT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grouping variable format. Will apply this format to variable. If group variable is not provided,this variable is not needed.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No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 but recommended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1C0E" w:rsidRPr="003204FD" w:rsidTr="00261C0E"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GROUPPERCENT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shd w:val="clear" w:color="auto" w:fill="FFFFFF"/>
              </w:rPr>
              <w:t>percentage type included in combined variable</w:t>
            </w:r>
          </w:p>
          <w:p w:rsidR="00261C0E" w:rsidRP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shd w:val="clear" w:color="auto" w:fill="FFFFFF"/>
              </w:rPr>
              <w:t>all percents will be available in the dataset</w:t>
            </w:r>
          </w:p>
          <w:p w:rsidR="00261C0E" w:rsidRP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shd w:val="clear" w:color="auto" w:fill="FFFFFF"/>
              </w:rPr>
              <w:t>1=column percent; 2=row percent; 0=overall percent</w:t>
            </w:r>
          </w:p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61C0E">
              <w:rPr>
                <w:rFonts w:ascii="Calibri" w:eastAsia="Times New Roman" w:hAnsi="Calibri" w:cs="Calibri"/>
                <w:shd w:val="clear" w:color="auto" w:fill="FFFFFF"/>
              </w:rPr>
              <w:t>default is 1, column percent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No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1C0E" w:rsidRPr="003204FD" w:rsidTr="00261C0E"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TEST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test for statistical significance</w:t>
            </w:r>
          </w:p>
          <w:p w:rsidR="00261C0E" w:rsidRP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0 = do not test; 1 = test</w:t>
            </w:r>
          </w:p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default is 1, test for significance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No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1C0E" w:rsidRPr="003204FD" w:rsidTr="00261C0E"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INCLUDE_MISS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1: include missing values; 0: exclude missing values. </w:t>
            </w:r>
          </w:p>
          <w:p w:rsidR="00261C0E" w:rsidRP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default is 1 (include missing) </w:t>
            </w:r>
          </w:p>
          <w:p w:rsidR="00261C0E" w:rsidRP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if missing are excluded, also excludes the following</w:t>
            </w:r>
          </w:p>
          <w:p w:rsidR="00261C0E" w:rsidRP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for character variables: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 </w:t>
            </w: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("-999","999","-888","888","missing","unknown","n/a","na");</w:t>
            </w:r>
          </w:p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for numeric variables: </w:t>
            </w: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 </w:t>
            </w: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(-999,999,-888,888)</w:t>
            </w: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ab/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No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1C0E" w:rsidRPr="003204FD" w:rsidTr="00261C0E"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lastRenderedPageBreak/>
              <w:t>CONTCOUNT</w:t>
            </w:r>
          </w:p>
        </w:tc>
        <w:tc>
          <w:tcPr>
            <w:tcW w:w="5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1: include N for continuous var in category label for non-grouped data or as a secondary row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 </w:t>
            </w: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for grouped data. label is not an option for grouped data ; 0: exclude print</w:t>
            </w:r>
          </w:p>
          <w:p w:rsidR="00261C0E" w:rsidRP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note that the frequency will still be included in the output dataset</w:t>
            </w:r>
          </w:p>
          <w:p w:rsidR="00261C0E" w:rsidRP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2: include the N as a secondary row with N= as the variable value</w:t>
            </w:r>
          </w:p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default is 1 (include N with Median(range) / Median (IQR))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No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1C0E" w:rsidRPr="003204FD" w:rsidTr="00261C0E"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CONTSTAT</w:t>
            </w:r>
          </w:p>
        </w:tc>
        <w:tc>
          <w:tcPr>
            <w:tcW w:w="5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1 for median and range in combined var; 2 for median and  IQR in combined variable</w:t>
            </w:r>
          </w:p>
          <w:p w:rsidR="00261C0E" w:rsidRP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3 for mean and SD</w:t>
            </w:r>
          </w:p>
          <w:p w:rsidR="00261C0E" w:rsidRP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default is 1 (use median and  range) or anything other than 0 will produce the range </w:t>
            </w:r>
          </w:p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61C0E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note that all stats are included in output dataset. this simply refers to combined presentation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</w:tr>
      <w:tr w:rsidR="00261C0E" w:rsidRPr="003204FD" w:rsidTr="00261C0E"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ORDER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shd w:val="clear" w:color="auto" w:fill="FFFFFF"/>
              </w:rPr>
              <w:t>order of categorical variable output</w:t>
            </w:r>
          </w:p>
          <w:p w:rsidR="00261C0E" w:rsidRP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shd w:val="clear" w:color="auto" w:fill="FFFFFF"/>
              </w:rPr>
              <w:t>freq for descending frequency; internal for unformatted; external for formatted order</w:t>
            </w:r>
          </w:p>
          <w:p w:rsidR="00261C0E" w:rsidRP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hd w:val="clear" w:color="auto" w:fill="FFFFFF"/>
              </w:rPr>
            </w:pPr>
            <w:r w:rsidRPr="00261C0E">
              <w:rPr>
                <w:rFonts w:ascii="Calibri" w:eastAsia="Times New Roman" w:hAnsi="Calibri" w:cs="Calibri"/>
                <w:shd w:val="clear" w:color="auto" w:fill="FFFFFF"/>
              </w:rPr>
              <w:t xml:space="preserve"> data for data order </w:t>
            </w:r>
          </w:p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61C0E">
              <w:rPr>
                <w:rFonts w:ascii="Calibri" w:eastAsia="Times New Roman" w:hAnsi="Calibri" w:cs="Calibri"/>
                <w:shd w:val="clear" w:color="auto" w:fill="FFFFFF"/>
              </w:rPr>
              <w:t xml:space="preserve"> default is freq (order by descending frequency)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No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1C0E" w:rsidRPr="003204FD" w:rsidTr="00261C0E"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COMBOFORMAT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format of combined variable. applies to categorical variables</w:t>
            </w:r>
          </w:p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1</w:t>
            </w: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: percent to 1 decimal and 2 spaces between freq and pct;</w:t>
            </w:r>
          </w:p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2: percent to integer with % sign with 2 spaces between freq and pct;</w:t>
            </w:r>
          </w:p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3: percent to 1 decimal with % sign with 2 spaces betweens freq and pct;</w:t>
            </w:r>
          </w:p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4: percent to 1 decimal with one space between freq and pct</w:t>
            </w:r>
          </w:p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default is 1 ( N  (PCT.1))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61C0E" w:rsidRPr="003204FD" w:rsidRDefault="00261C0E" w:rsidP="00261C0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No</w:t>
            </w:r>
            <w:r w:rsidRPr="003204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1C0E" w:rsidRPr="003204FD" w:rsidTr="00261C0E"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VIEW</w:t>
            </w:r>
          </w:p>
        </w:tc>
        <w:tc>
          <w:tcPr>
            <w:tcW w:w="5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output of table</w:t>
            </w:r>
          </w:p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1: output table; 0 or any other value, no table</w:t>
            </w:r>
          </w:p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default is blank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1C0E" w:rsidRPr="003204FD" w:rsidRDefault="00261C0E" w:rsidP="00261C0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</w:p>
        </w:tc>
      </w:tr>
      <w:tr w:rsidR="00261C0E" w:rsidRPr="003204FD" w:rsidTr="00261C0E"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NAMEFORMAT</w:t>
            </w:r>
          </w:p>
        </w:tc>
        <w:tc>
          <w:tcPr>
            <w:tcW w:w="5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give variable format name for dataset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; </w:t>
            </w: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default is blank (no format)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1C0E" w:rsidRPr="003204FD" w:rsidRDefault="00261C0E" w:rsidP="00261C0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</w:p>
        </w:tc>
      </w:tr>
      <w:tr w:rsidR="00261C0E" w:rsidRPr="003204FD" w:rsidTr="00261C0E"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1C0E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DELETEDAT</w:t>
            </w:r>
          </w:p>
        </w:tc>
        <w:tc>
          <w:tcPr>
            <w:tcW w:w="5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for troubleshooting, whether or not you want to delete or keep working datasets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 (default=1)</w:t>
            </w:r>
          </w:p>
          <w:p w:rsidR="00261C0E" w:rsidRPr="003204FD" w:rsidRDefault="00261C0E" w:rsidP="00261C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=</w:t>
            </w: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 keep working datasets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; </w:t>
            </w: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=</w:t>
            </w:r>
            <w:r w:rsidRPr="003204FD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 delete working datasets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1C0E" w:rsidRPr="003204FD" w:rsidRDefault="00261C0E" w:rsidP="00261C0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</w:rPr>
            </w:pPr>
          </w:p>
        </w:tc>
      </w:tr>
    </w:tbl>
    <w:p w:rsidR="003204FD" w:rsidRDefault="003204FD" w:rsidP="0061259C"/>
    <w:p w:rsidR="00FA6D80" w:rsidRDefault="00FA6D80" w:rsidP="0061259C">
      <w:r w:rsidRPr="00FA6D80">
        <w:rPr>
          <w:b/>
          <w:bCs/>
        </w:rPr>
        <w:t>Usage</w:t>
      </w:r>
      <w:r>
        <w:t xml:space="preserve"> </w:t>
      </w:r>
      <w:r w:rsidRPr="00FA6D80">
        <w:rPr>
          <w:b/>
          <w:bCs/>
        </w:rPr>
        <w:t>Example</w:t>
      </w:r>
      <w:r>
        <w:t>:</w:t>
      </w:r>
    </w:p>
    <w:sectPr w:rsidR="00FA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9C"/>
    <w:rsid w:val="001B43F0"/>
    <w:rsid w:val="00261C0E"/>
    <w:rsid w:val="003204FD"/>
    <w:rsid w:val="0036322A"/>
    <w:rsid w:val="0061259C"/>
    <w:rsid w:val="0094579A"/>
    <w:rsid w:val="00B51B08"/>
    <w:rsid w:val="00FA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45D3"/>
  <w15:chartTrackingRefBased/>
  <w15:docId w15:val="{DFFBC8E5-3F46-434B-86C4-078C4F91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2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1259C"/>
  </w:style>
  <w:style w:type="character" w:customStyle="1" w:styleId="eop">
    <w:name w:val="eop"/>
    <w:basedOn w:val="DefaultParagraphFont"/>
    <w:rsid w:val="00612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8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Kalvin, Hannah/Epidemiology-Biostatistics</dc:creator>
  <cp:keywords/>
  <dc:description/>
  <cp:lastModifiedBy>Kalvin, Hannah/Epidemiology-Biostatistics</cp:lastModifiedBy>
  <cp:revision>4</cp:revision>
  <dcterms:created xsi:type="dcterms:W3CDTF">2021-10-01T16:46:00Z</dcterms:created>
  <dcterms:modified xsi:type="dcterms:W3CDTF">2021-10-01T17:23:00Z</dcterms:modified>
</cp:coreProperties>
</file>