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Advanced Time Series Forecasting</w:t>
      </w:r>
    </w:p>
    <w:p>
      <w:pPr>
        <w:spacing w:after="200"/>
        <w:jc w:val="center"/>
      </w:pPr>
      <w:r>
        <w:rPr>
          <w:b/>
          <w:bCs/>
          <w:color w:val="2E74B5"/>
          <w:sz w:val="40"/>
          <w:szCs w:val="40"/>
        </w:rPr>
        <w:t xml:space="preserve">Project Blueprint</w:t>
      </w:r>
    </w:p>
    <w:p>
      <w:pPr>
        <w:spacing w:after="600"/>
        <w:jc w:val="center"/>
      </w:pPr>
      <w:r>
        <w:rPr>
          <w:sz w:val="28"/>
          <w:szCs w:val="28"/>
        </w:rPr>
        <w:t xml:space="preserve">S&amp;P 500 Index Daily (^GSPC) — Finance / Equities</w:t>
      </w:r>
    </w:p>
    <w:p>
      <w:pPr>
        <w:jc w:val="center"/>
      </w:pPr>
      <w:r>
        <w:rPr>
          <w:color w:val="555555"/>
          <w:sz w:val="22"/>
          <w:szCs w:val="22"/>
        </w:rPr>
        <w:t xml:space="preserve">Forecasting price dynamics with SARIMA/Prophet, LSTM/GRU, XGBoost</w:t>
      </w:r>
    </w:p>
    <w:p>
      <w:pPr>
        <w:jc w:val="center"/>
      </w:pPr>
      <w:r>
        <w:rPr>
          <w:color w:val="555555"/>
          <w:sz w:val="22"/>
          <w:szCs w:val="22"/>
        </w:rPr>
        <w:t xml:space="preserve">and modeling volatility with GARCH-family models</w:t>
      </w:r>
    </w:p>
    <w:p>
      <w:pPr>
        <w:spacing w:before="2000"/>
        <w:jc w:val="center"/>
      </w:pPr>
      <w:r>
        <w:rPr>
          <w:sz w:val="22"/>
          <w:szCs w:val="22"/>
        </w:rPr>
        <w:t xml:space="preserve">Prepared by: Shafraz  |  July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blueprint defines an end-to-end pipeline for forecasting the S&amp;P 500 index (^GSPC) at daily frequency and modeling its conditional volatility. The project uses ~36 years of daily data (1990–2026, ~9,200 trading days) sourced free from Yahoo Finance via the yfinance API. Two complementary targets are modeled: (i) the daily closing price / log-return for point forecasting with SARIMA, LSTM/GRU, and XGBoost, and (ii) daily log-returns for volatility forecasting with GARCH(1,1) and its asymmetric extensions (GJR-GARCH, EGARCH).</w:t>
      </w:r>
    </w:p>
    <w:p>
      <w:pPr>
        <w:spacing w:after="120"/>
      </w:pPr>
      <w:r>
        <w:rPr>
          <w:sz w:val="22"/>
          <w:szCs w:val="22"/>
        </w:rPr>
        <w:t xml:space="preserve">The S&amp;P 500 is the canonical benchmark series for this class of problem: it exhibits strong stochastic trend, weak but detectable calendar seasonality, pronounced volatility clustering with the asymmetric "leverage effect", and well-documented structural breaks (2008 GFC, 2020 COVID crash). The design below enforces strict chronological 70/15/15 train/validation/test splitting, walk-forward evaluation, hyperparameter tuning per model family, and comparison on MAE, RMSE, MAPE, sMAPE, directional accuracy, and the Diebold–Mariano test. A key working hypothesis, supported by the literature, is that deep learning does not automatically dominate econometric baselines on this series — the blueprint is built to test that claim fairly rather than assume it.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t xml:space="preserve">Task 1 — Dataset Understanding and Literature Review</w:t>
      </w:r>
    </w:p>
    <w:p>
      <w:pPr>
        <w:pStyle w:val="Heading2"/>
        <w:spacing w:after="120" w:before="260"/>
      </w:pPr>
      <w:r>
        <w:t xml:space="preserve">1.1 Data Source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4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Dataset</w:t>
            </w:r>
          </w:p>
        </w:tc>
        <w:tc>
          <w:tcPr>
            <w:tcW w:type="dxa" w:w="74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Index daily OHLCV (^GSPC); alternative: SPY ETF (adds tradable volume)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 / Equities — market-cap-weighted index of ~500 large-cap US companies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74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Yahoo Finance via yfinance: yf.download("^GSPC", start="1990-01-01") — free, live as of 2026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Daily, trading days only (~252 obs/year); no weekends or US market holidays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Size</w:t>
            </w:r>
          </w:p>
        </w:tc>
        <w:tc>
          <w:tcPr>
            <w:tcW w:type="dxa" w:w="74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~9,200 rows (Jan 1990 – Jul 2026); comfortably supports a 70/15/15 split (~6,440 / 1,380 / 1,380)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Fields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Open, High, Low, Close, Adj Close, Volume (index volume unreliable → prefer SPY volume if needed)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Target(s)</w:t>
            </w:r>
          </w:p>
        </w:tc>
        <w:tc>
          <w:tcPr>
            <w:tcW w:type="dxa" w:w="74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 / Adj Close (level) for point forecasting; log-returns r_t = ln(P_t / P_{t-1}) for GARCH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Known events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Dot-com bust (2000–02), GFC (2008–09), Flash Crash (2010), COVID crash (Feb–Mar 2020), 2022 rate-hike bear market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Statistical character. </w:t>
      </w:r>
      <w:r>
        <w:rPr>
          <w:sz w:val="22"/>
          <w:szCs w:val="22"/>
        </w:rPr>
        <w:t xml:space="preserve">The price level is non-stationary (stochastic trend; ADF fails to reject a unit root), while log-returns are stationary in the mean but strongly heteroscedastic: near-zero autocorrelation in returns, highly significant autocorrelation in squared returns (volatility clustering), negative skew, and excess kurtosis (fat tails). This split personality is exactly why the project pairs mean-forecasting models (Task 3) with a variance-forecasting model (Task 4).</w:t>
      </w:r>
    </w:p>
    <w:p>
      <w:pPr>
        <w:pStyle w:val="Heading2"/>
        <w:spacing w:after="120" w:before="260"/>
      </w:pPr>
      <w:r>
        <w:t xml:space="preserve">1.2 Forecasting Target and Horizon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Primary target: </w:t>
      </w:r>
      <w:r>
        <w:rPr>
          <w:sz w:val="22"/>
          <w:szCs w:val="22"/>
        </w:rPr>
        <w:t xml:space="preserve">next-day (h=1) Adjusted Close, produced by forecasting the log-return and reconstructing the price level (avoids models trivially 'winning' by predicting persistence in a non-stationary level).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Secondary horizon: </w:t>
      </w:r>
      <w:r>
        <w:rPr>
          <w:sz w:val="22"/>
          <w:szCs w:val="22"/>
        </w:rPr>
        <w:t xml:space="preserve">5 trading days (1 week) ahead, forecast recursively/directly, to expose error accumulation differences between model families.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Volatility target (Task 4): </w:t>
      </w:r>
      <w:r>
        <w:rPr>
          <w:sz w:val="22"/>
          <w:szCs w:val="22"/>
        </w:rPr>
        <w:t xml:space="preserve">1-day-ahead conditional variance of log-returns; evaluated against realized proxies (squared returns; 21-day rolling realized volatility).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Evaluation protocol: </w:t>
      </w:r>
      <w:r>
        <w:rPr>
          <w:sz w:val="22"/>
          <w:szCs w:val="22"/>
        </w:rPr>
        <w:t xml:space="preserve">walk-forward (rolling-origin) forecasts over the untouched final 15% test block; validation block used exclusively for tuning and early stopping.</w:t>
      </w:r>
    </w:p>
    <w:p>
      <w:pPr>
        <w:pStyle w:val="Heading2"/>
        <w:spacing w:after="120" w:before="260"/>
      </w:pPr>
      <w:r>
        <w:t xml:space="preserve">1.3 Literature Survey (≥5 recent studies)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50"/>
        <w:gridCol w:w="2350"/>
        <w:gridCol w:w="2960"/>
      </w:tblGrid>
      <w:t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Study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Models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finding / relevance</w:t>
            </w:r>
          </w:p>
        </w:tc>
      </w:tr>
      <w:tr>
        <w:tc>
          <w:tcPr>
            <w:tcW w:type="dxa" w:w="23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Roszyk &amp; Ślepaczuk (2024), arXiv:2407.16780</w:t>
            </w:r>
          </w:p>
        </w:tc>
        <w:tc>
          <w:tcPr>
            <w:tcW w:type="dxa" w:w="17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+ VIX daily, 2000–2023</w:t>
            </w:r>
          </w:p>
        </w:tc>
        <w:tc>
          <w:tcPr>
            <w:tcW w:type="dxa" w:w="23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GARCH(1,1), LSTM, hybrid LSTM-GARCH, hybrid + VIX</w:t>
            </w:r>
          </w:p>
        </w:tc>
        <w:tc>
          <w:tcPr>
            <w:tcW w:type="dxa" w:w="29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Hybrid LSTM-GARCH with VIX beats standalone GARCH and LSTM for volatility; validates our exact dataset and hybrid direction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Siami-Namini, Tavakoli &amp; Namin (2018), IEEE ICMLA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financial/economic series incl. indices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ARIMA vs LSTM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LSTM reduced RMSE ~84–87% vs ARIMA — but on monthly data with generous windows; motivates re-testing on daily data</w:t>
            </w:r>
          </w:p>
        </w:tc>
      </w:tr>
      <w:tr>
        <w:tc>
          <w:tcPr>
            <w:tcW w:type="dxa" w:w="23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Siami-Namini et al. (2019), arXiv:1911.09512</w:t>
            </w:r>
          </w:p>
        </w:tc>
        <w:tc>
          <w:tcPr>
            <w:tcW w:type="dxa" w:w="17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indices incl. GSPC</w:t>
            </w:r>
          </w:p>
        </w:tc>
        <w:tc>
          <w:tcPr>
            <w:tcW w:type="dxa" w:w="23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ARIMA, LSTM, BiLSTM</w:t>
            </w:r>
          </w:p>
        </w:tc>
        <w:tc>
          <w:tcPr>
            <w:tcW w:type="dxa" w:w="29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BiLSTM &gt; LSTM &gt; ARIMA in-sample; bidirectionality is look-ahead-prone for true forecasting — we use unidirectional LSTM/GRU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Kim &amp; Won (2018), Expert Syst. Appl. 103, 25–37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KOSPI 200 daily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LSTM + multiple GARCH-family hybrids (GEW-LSTM)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Feeding GARCH/EGARCH/EWMA parameters into LSTM lowered MAE/RMSE — template for our Task 4→3 feature handoff</w:t>
            </w:r>
          </w:p>
        </w:tc>
      </w:tr>
      <w:tr>
        <w:tc>
          <w:tcPr>
            <w:tcW w:type="dxa" w:w="23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Nechita (2025), arXiv:2501.17366</w:t>
            </w:r>
          </w:p>
        </w:tc>
        <w:tc>
          <w:tcPr>
            <w:tcW w:type="dxa" w:w="17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daily</w:t>
            </w:r>
          </w:p>
        </w:tc>
        <w:tc>
          <w:tcPr>
            <w:tcW w:type="dxa" w:w="23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LSTM variants incl. attention &amp; log-transformed inputs</w:t>
            </w:r>
          </w:p>
        </w:tc>
        <w:tc>
          <w:tcPr>
            <w:tcW w:type="dxa" w:w="29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Careful preprocessing (log transform, stationarity handling) mattered more than architecture size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GARCH vs XGBoost vs LSTM volatility study (2025), ResearchGate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daily returns 2018–2024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GARCH(1,1), XGBoost, LSTM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ML models outperformed GARCH on MAPE/R² for realized-vol prediction; supports including tree-based model in vol comparison</w:t>
            </w:r>
          </w:p>
        </w:tc>
      </w:tr>
      <w:tr>
        <w:tc>
          <w:tcPr>
            <w:tcW w:type="dxa" w:w="23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Michańków, Kwiatkowski &amp; Ślepaczuk (2023), arXiv:2309.15640</w:t>
            </w:r>
          </w:p>
        </w:tc>
        <w:tc>
          <w:tcPr>
            <w:tcW w:type="dxa" w:w="17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&amp; other equity indices</w:t>
            </w:r>
          </w:p>
        </w:tc>
        <w:tc>
          <w:tcPr>
            <w:tcW w:type="dxa" w:w="23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LSTM vs ARIMA-GARCH trading strategies</w:t>
            </w:r>
          </w:p>
        </w:tc>
        <w:tc>
          <w:tcPr>
            <w:tcW w:type="dxa" w:w="29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Econometric benchmark remains competitive out-of-sample; performance is regime-dependent — motivates regime-aware error analysis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Classical anchors: </w:t>
      </w:r>
      <w:r>
        <w:rPr>
          <w:sz w:val="22"/>
          <w:szCs w:val="22"/>
        </w:rPr>
        <w:t xml:space="preserve">Bollerslev (1986) introduces GARCH; Glosten–Jagannathan–Runkle (1993) the asymmetric GJR term; Hansen &amp; Lunde (2005) famously find little beats GARCH(1,1) for exchange-rate vol but asymmetric models win for equities; Corsi (2009) HAR-RV is the realized-volatility benchmark repeatedly found competitive with LSTMs.</w:t>
      </w:r>
    </w:p>
    <w:p>
      <w:pPr>
        <w:pStyle w:val="Heading2"/>
        <w:spacing w:after="120" w:before="260"/>
      </w:pPr>
      <w:r>
        <w:t xml:space="preserve">1.4 Limitations of Existing Approaches and Model Motivation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Inflated deep-learning wins. </w:t>
      </w:r>
      <w:r>
        <w:rPr>
          <w:sz w:val="22"/>
          <w:szCs w:val="22"/>
        </w:rPr>
        <w:t xml:space="preserve">Several ARIMA-vs-LSTM papers compare on levels of non-stationary series or leak scaler/statistics fit on full data; gains often shrink drastically under honest walk-forward tests. Motivation: rigorous protocol with returns-based targets and train-only scaler fitting.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Single-regime evaluation. </w:t>
      </w:r>
      <w:r>
        <w:rPr>
          <w:sz w:val="22"/>
          <w:szCs w:val="22"/>
        </w:rPr>
        <w:t xml:space="preserve">Test windows that dodge crises overstate skill. Motivation: our 15% test block (~2021–2026) contains the 2022 bear market; we additionally report error split by high/low-VIX regimes and treat COVID (Feb–Mar 2020)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Point forecasts only. </w:t>
      </w:r>
      <w:r>
        <w:rPr>
          <w:sz w:val="22"/>
          <w:szCs w:val="22"/>
        </w:rPr>
        <w:t xml:space="preserve">Most comparisons ignore uncertainty. Motivation: GARCH supplies conditional variance, enabling volatility-aware interval forecasts and risk metrics (VaR) alongside point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Why these three families: </w:t>
      </w:r>
      <w:r>
        <w:rPr>
          <w:sz w:val="22"/>
          <w:szCs w:val="22"/>
        </w:rPr>
        <w:t xml:space="preserve">SARIMA/Prophet gives an interpretable linear benchmark that must be beaten; LSTM/GRU captures nonlinear temporal dependence; XGBoost on engineered lags is the strongest tabular baseline in recent M-competition-style evidence, and often matches RNNs at a fraction of the cost. GARCH(1,1)+GJR addresses the variance dynamics none of the mean models capture.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Task 2 — Time Series Exploration and Preprocessing</w:t>
      </w:r>
    </w:p>
    <w:p>
      <w:pPr>
        <w:pStyle w:val="Heading2"/>
        <w:spacing w:after="120" w:before="260"/>
      </w:pPr>
      <w:r>
        <w:t xml:space="preserve">2.1 Data Acquisition and Calendar Handling</w:t>
      </w:r>
    </w:p>
    <w:p>
      <w:pPr>
        <w:spacing w:after="120"/>
      </w:pPr>
      <w:r>
        <w:rPr>
          <w:sz w:val="22"/>
          <w:szCs w:val="22"/>
        </w:rPr>
        <w:t xml:space="preserve">Weekend/holiday gaps mean the raw index is an irregular daily series. We keep the native trading-day index for ARIMA/ML models, and only construct an explicit business-day frequency (with holiday awareness) where a model requires it (Prophet handles gaps natively via its ds column; statsmodels prefers a freq-aware index).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import yfinance as yf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import numpy as np, pandas as pd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df = yf.download("^GSPC", start="1990-01-01", auto_adjust=False)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df = df[["Open","High","Low","Close","Adj Close","Volume"]].dropna(subset=["Adj Close"])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df.index = pd.DatetimeIndex(df.index).tz_localize(None)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Log price and log returns (GARCH convention: percent returns)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df["log_close"] = np.log(df["Adj Close"])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df["ret"]      = df["log_close"].diff()          # log-return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df["ret_pct"]  = 100 * df["ret"]                  # for arch package scaling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df = df.dropna()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print(df.shape)   # expect ~ (9200, 8)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2.1 — Acquisition, adjusted prices, log-returns.</w:t>
      </w:r>
    </w:p>
    <w:p>
      <w:pPr>
        <w:pStyle w:val="Heading2"/>
        <w:spacing w:after="120" w:before="260"/>
      </w:pPr>
      <w:r>
        <w:t xml:space="preserve">2.2 Visualization and Decomposition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Level plot (log scale) with recession/crash shading — reveals the dominant stochastic trend and break points (2000, 2008, 2020, 2022).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Return plot — visually demonstrates volatility clustering (calm 2017 vs violent 2020).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STL decomposition on log-price with period=252 (annual trading cycle) — expect a dominant trend component, weak annual seasonal, large remainder; this motivates differencing over seasonal modeling.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ACF/PACF of returns (≈ white noise) vs squared returns (slow decay → ARCH effects); rolling 21-day annualized volatility overlaying VIX if downloaded.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Distribution diagnostics: histogram + QQ-plot of returns (fat tails), Jarque–Bera test.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statsmodels.tsa.seasonal import STL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statsmodels.graphics.tsaplots import plot_acf, plot_pacf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stl = STL(df["log_close"], period=252, robust=True).fit()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stl.plot()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fig_axes = plot_acf(df["ret"], lags=40)          # ~flat: little linear memory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plot_acf(df["ret"]**2, lags=40)                  # slow decay: volatility clustering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df["rv21"] = df["ret"].rolling(21).std() * np.sqrt(252)   # realized vol proxy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2.2 — STL decomposition, ACF diagnostics, realized-volatility proxy.</w:t>
      </w:r>
    </w:p>
    <w:p>
      <w:pPr>
        <w:pStyle w:val="Heading2"/>
        <w:spacing w:after="120" w:before="260"/>
      </w:pPr>
      <w:r>
        <w:t xml:space="preserve">2.3 Missing Values, Anomalies, and Outliers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Missing values: none expected within trading days from Yahoo; assert with df.isna().sum() and validate the trading-calendar row count per year (~252). Never forward-fill across the COVID gap-days — absent days are closed markets, not missing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Anomaly screening: flag |z-score of returns| &gt; 5 (e.g., -22.9% on 1987-style days is out of range here, but 2020-03-16 at -12.8% will flag). Verify flagged points against known events before touching them — they are real market moves, so we keep them but mark them with event dummy features rather than winsorizing the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Structural break handling (COVID, Feb–Mar 2020): add a crisis dummy / event regressor (Prophet holidays-style), report metrics with and without the window, and rely on GJR-GARCH's asymmetry to absorb the variance regime shift.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errors: check for zero/negative prices, duplicate index entries, and Adj Close vs Close divergence spikes (dividend/split artifacts).</w:t>
      </w:r>
    </w:p>
    <w:p>
      <w:pPr>
        <w:pStyle w:val="Heading2"/>
        <w:spacing w:after="120" w:before="260"/>
      </w:pPr>
      <w:r>
        <w:t xml:space="preserve">2.4 Temporal Feature Engineering (for ML/DL models)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H = 1  # forecast horizon (days ahead)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feat = pd.DataFrame(index=df.index)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Lag features on returns (not raw price -&gt; stationarity)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for k in [1,2,3,5,10,21]: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feat[f"ret_lag{k}"] = df["ret"].shift(k)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Rolling statistics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for w in [5,21,63]: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feat[f"roll_mean_{w}"] = df["ret"].rolling(w).mean().shift(1)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feat[f"roll_std_{w}"]  = df["ret"].rolling(w).std().shift(1)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feat["mom_63"]  = (df["Adj Close"] / df["Adj Close"].shift(63) - 1).shift(1)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feat["hl_range"]= ((df["High"] - df["Low"]) / df["Close"]).shift(1)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Calendar / seasonal indicators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feat["dow"]   = df.index.dayofweek          # Monday effect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feat["month"] = df.index.month              # January / Sep effects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feat["tom"]   = df.index.day.isin([*range(28,32),1,2,3]).astype(int)  # turn-of-month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feat["covid"] = ((df.index&gt;="2020-02-20")&amp;(df.index&lt;="2020-04-30")).astype(int)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y = df["ret"].shift(-H)                     # target: next-day return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data = feat.join(y.rename("y")).dropna()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2.3 — Lags, rolling stats, seasonal indicators; every feature is shifted so only information available at time t predicts t+1 (no leakage).</w:t>
      </w:r>
    </w:p>
    <w:p>
      <w:pPr>
        <w:pStyle w:val="Heading2"/>
        <w:spacing w:after="120" w:before="260"/>
      </w:pPr>
      <w:r>
        <w:t xml:space="preserve">2.5 Stationarity Testing</w:t>
      </w:r>
    </w:p>
    <w:p>
      <w:pPr>
        <w:spacing w:after="120"/>
      </w:pPr>
      <w:r>
        <w:rPr>
          <w:sz w:val="22"/>
          <w:szCs w:val="22"/>
        </w:rPr>
        <w:t xml:space="preserve">Run ADF (H0: unit root) and KPSS (H0: stationary) on both the log-price and returns. Expected outcome: log-price fails ADF / rejects KPSS → non-stationary; returns strongly reject ADF / pass KPSS → stationary. This is the formal justification for d=1 differencing in ARIMA and for modeling returns everywhere else.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statsmodels.tsa.stattools import adfuller, kpss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for name, s in [("log_close", df["log_close"]), ("ret", df["ret"])]: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adf_p  = adfuller(s.dropna(), autolag="AIC")[1]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kpss_p = kpss(s.dropna(), regression="c", nlags="auto")[1]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print(f"{name}: ADF p={adf_p:.4f}  KPSS p={kpss_p:.4f}")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Also: Ljung-Box on ret (little autocorr) vs ret**2 (strong) -&gt; ARCH effects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statsmodels.stats.diagnostic import acorr_ljungbox, het_arch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print(het_arch(df["ret"].dropna())[1])   # ARCH-LM p-value, expect ~0.0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2.4 — ADF/KPSS on level vs returns; ARCH-LM confirming heteroscedasticity (bridge to Task 4).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Task 3 — Model Development: Traditional, Deep Learning, and ML</w:t>
      </w:r>
    </w:p>
    <w:p>
      <w:pPr>
        <w:pStyle w:val="Heading2"/>
        <w:spacing w:after="120" w:before="260"/>
      </w:pPr>
      <w:r>
        <w:t xml:space="preserve">3.1 Train / Validation / Test Protocol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 = len(data)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i_tr, i_va = int(n*0.70), int(n*0.85)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train, val, test = data.iloc[:i_tr], data.iloc[i_tr:i_va], data.iloc[i_va:]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~1990-2015 train | ~2015-2021 val | ~2021-2026 test (chronological, no shuffle)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3.1 — Strict chronological 70/15/15 split.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shuffling anywhere; TimeSeriesSplit for any cross-validated tuning inside the training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scalers/statistics fit on train only, applied to val/test.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reporting: walk-forward one-step forecasts across the test block (models refit or state-updated at fixed intervals, e.g., every 21 days, to keep compute bounded).</w:t>
      </w:r>
    </w:p>
    <w:p>
      <w:pPr>
        <w:pStyle w:val="Heading2"/>
        <w:spacing w:after="120" w:before="260"/>
      </w:pPr>
      <w:r>
        <w:t xml:space="preserve">3.2 Model A — SARIMA (with Prophet as secondary benchmark)</w:t>
      </w:r>
    </w:p>
    <w:p>
      <w:pPr>
        <w:spacing w:after="120"/>
      </w:pPr>
      <w:r>
        <w:rPr>
          <w:sz w:val="22"/>
          <w:szCs w:val="22"/>
        </w:rPr>
        <w:t xml:space="preserve">Fit ARIMA on log-price with d=1 (equivalently ARMA on returns). Seasonal terms at s=5 (weekly) are tested but expected weak — financial daily data rarely carries stable SARIMA seasonality, which is itself a reportable finding. Order selection via AIC grid / pmdarima auto_arima; residual diagnostics via Ljung–Box.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import pmdarima as pm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arima = pm.auto_arima(train_price, d=1, start_p=0, max_p=5, start_q=0, max_q=5,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seasonal=True, m=5, D=0, max_P=2, max_Q=2,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information_criterion="aic", stepwise=True,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suppress_warnings=True)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print(arima.summary())   # expect small orders, e.g. ARIMA(2,1,2)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Walk-forward over test: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preds = []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model = arima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for t in range(len(test_price)):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preds.append(model.predict(1)[0])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model.update(test_price.iloc[t:t+1])   # append true value, roll origin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3.2 — auto_arima selection + rolling-origin forecasting.</w:t>
      </w:r>
    </w:p>
    <w:p>
      <w:pPr>
        <w:spacing w:after="120"/>
      </w:pPr>
      <w:r>
        <w:rPr>
          <w:sz w:val="22"/>
          <w:szCs w:val="22"/>
        </w:rPr>
        <w:t xml:space="preserve">Prophet variant: fit on (ds, y=log price) with weekly/yearly seasonality and US-holiday effects; because Prophet assumes continuous time, gaps are left in place (it handles them) and forecasts are generated only for future trading days — never for weekends. Prophet's trend-changepoint list is cross-checked against known market breaks.</w:t>
      </w:r>
    </w:p>
    <w:p>
      <w:pPr>
        <w:pStyle w:val="Heading2"/>
        <w:spacing w:after="120" w:before="260"/>
      </w:pPr>
      <w:r>
        <w:t xml:space="preserve">3.3 Model B — LSTM / GRU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import tensorflow as tf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sklearn.preprocessing import StandardScaler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L = 60                      # lookback window (tuned: 20/60/120)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scaler = StandardScaler().fit(train[["ret"]])          # TRAIN ONLY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windows(series, L):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X = np.stack([series[i-L:i] for i in range(L, len(series))])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X[..., None], series[L:]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Xtr, ytr = windows(scaler.transform(train[["ret"]]).ravel(), L)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build(units=64, layers=2, dropout=0.2, lr=1e-3, cell="LSTM"):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Cell = tf.keras.layers.LSTM if cell=="LSTM" else tf.keras.layers.GRU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 = tf.keras.Sequential([tf.keras.Input((L,1))])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for i in range(layers):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m.add(Cell(units, return_sequences=(i &lt; layers-1)))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m.add(tf.keras.layers.Dropout(dropout))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m.add(tf.keras.layers.Dense(1))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m.compile(tf.keras.optimizers.Adam(lr), loss="mse")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m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 = build()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m.fit(Xtr, ytr, validation_data=(Xva, yva), epochs=200, batch_size=64,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callbacks=[tf.keras.callbacks.EarlyStopping(patience=15,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restore_best_weights=True)], verbose=0)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3.3 — Windowed LSTM/GRU on scaled returns with early stopping on the validation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Tuning (keras-tuner or Optuna, objective = val RMSE): units {32,64,128}, layers {1,2}, dropout {0, 0.2, 0.4}, lookback {20, 60, 120}, lr {1e-2, 1e-3, 1e-4}, cell {LSTM, GRU}.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 mean ± std over 5 random seeds — single-seed deep-learning results on this series are unstable enough to flip model rankings.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Price-level forecasts are reconstructed from predicted returns for comparability with SARIMA.</w:t>
      </w:r>
    </w:p>
    <w:p>
      <w:pPr>
        <w:pStyle w:val="Heading2"/>
        <w:spacing w:after="120" w:before="260"/>
      </w:pPr>
      <w:r>
        <w:t xml:space="preserve">3.4 Model C — XGBoost (with Random Forest sanity baseline)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import xgboost as xgb, optuna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mean_squared_error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objective(trial):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params = dict(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n_estimators=trial.suggest_int("n_estimators", 200, 1500),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max_depth=trial.suggest_int("max_depth", 2, 8),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learning_rate=trial.suggest_float("lr", 1e-3, 0.3, log=True),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subsample=trial.suggest_float("subsample", 0.5, 1.0),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colsample_bytree=trial.suggest_float("colsample", 0.5, 1.0),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min_child_weight=trial.suggest_int("mcw", 1, 20),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reg_lambda=trial.suggest_float("lambda", 1e-3, 10, log=True))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model = xgb.XGBRegressor(**params, tree_method="hist")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model.fit(Xtr, ytr, eval_set=[(Xva, yva)], verbose=False)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mean_squared_error(yva, model.predict(Xva)) ** 0.5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study = optuna.create_study(direction="minimize")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study.optimize(objective, n_trials=100)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3.4 — Optuna tuning of XGBoost on the engineered feature matrix from Listing 2.3.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Uses the Task 2 feature matrix (lags, rolling stats, calendar dummies) — trees exploit seasonal indicators that SARIMA missed, a useful cross-model insight.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Feature importance (gain + SHAP) reported: expect rolling volatility and short lags to dominate, calendar features marginal.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RandomForestRegressor with equivalent tuning serves as the required alternative/baseline check.</w:t>
      </w:r>
    </w:p>
    <w:p>
      <w:pPr>
        <w:pStyle w:val="Heading2"/>
        <w:spacing w:after="120" w:before="260"/>
      </w:pPr>
      <w:r>
        <w:t xml:space="preserve">3.5 Evaluation Metrics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metrics(y, yhat):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 = y - yhat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mae  = np.mean(np.abs(e))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rmse = np.sqrt(np.mean(e**2))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mape = np.mean(np.abs(e / y)) * 100                # on PRICE level only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smape= np.mean(2*np.abs(e)/(np.abs(y)+np.abs(yhat)))*100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da   = np.mean(np.sign(np.diff(y)) == np.sign(np.diff(yhat)))  # direction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dict(MAE=mae, RMSE=rmse, MAPE=mape, sMAPE=smape, DirAcc=da)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3.5 — Metric suite; MAPE is computed on price levels (returns cross zero, making MAPE undefined/explosive on them).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Statistical significance: Diebold–Mariano test on pairwise squared-error differentials; report against a naive random-walk (yhat = last price) benchmark, which every model must beat to claim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Directional accuracy and a toy long/flat strategy PnL contextualize whether statistical gains are economically meaningful.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Task 4 — Volatility Modeling with GARCH</w:t>
      </w:r>
    </w:p>
    <w:p>
      <w:pPr>
        <w:pStyle w:val="Heading2"/>
        <w:spacing w:after="120" w:before="260"/>
      </w:pPr>
      <w:r>
        <w:t xml:space="preserve">4.1 Conditional Heteroscedasticity and Volatility Clustering</w:t>
      </w:r>
    </w:p>
    <w:p>
      <w:pPr>
        <w:spacing w:after="120"/>
      </w:pPr>
      <w:r>
        <w:rPr>
          <w:sz w:val="22"/>
          <w:szCs w:val="22"/>
        </w:rPr>
        <w:t xml:space="preserve">A series is conditionally heteroscedastic when its variance, given the past, changes over time even though its unconditional variance may be constant. In equity returns this appears as volatility clustering: large moves follow large moves (of either sign) and calm follows calm — Mandelbrot's classic observation. ARCH models make this explicit by letting today's variance depend on recent squared shocks; GARCH(1,1) adds a persistence term: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σ²ₜ = ω + α·ε²ₜ₋₁ + β·σ²ₜ₋₁</w:t>
      </w:r>
    </w:p>
    <w:p>
      <w:pPr>
        <w:spacing w:after="120"/>
      </w:pPr>
      <w:r>
        <w:rPr>
          <w:sz w:val="22"/>
          <w:szCs w:val="22"/>
        </w:rPr>
        <w:t xml:space="preserve">α measures reaction to news, β persistence; α+β close to 1 (typically 0.98–0.995 for the S&amp;P 500) implies shocks decay slowly. The leverage effect — negative returns raising volatility more than positive ones — motivates the asymmetric GJR-GARCH term γ·ε²ₜ₋₁·I(εₜ₋₁&lt;0).</w:t>
      </w:r>
    </w:p>
    <w:p>
      <w:pPr>
        <w:pStyle w:val="Heading2"/>
        <w:spacing w:after="120" w:before="260"/>
      </w:pPr>
      <w:r>
        <w:t xml:space="preserve">4.2 Evidence of Changing Variance in ^GSPC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ARCH-LM test (Listing 2.4) on returns: p ≈ 0 → strong ARCH effects.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Ljung–Box on squared returns significant at all lags; ACF of |r| decays hyperbolically (long memory).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Rolling 21-day annualized vol ranges from ~5% (2017) to ~90% (March 2020) — an order-of-magnitude regime range no homoscedastic model can represent.</w:t>
      </w:r>
    </w:p>
    <w:p>
      <w:pPr>
        <w:pStyle w:val="Heading2"/>
        <w:spacing w:after="120" w:before="260"/>
      </w:pPr>
      <w:r>
        <w:t xml:space="preserve">4.3 Implementation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arch import arch_model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 = df["ret_pct"]                            # percent returns, arch-friendly scale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split = int(len(r)*0.85)                     # align test block with Task 3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r_tr, r_te = r.iloc[:split], r.iloc[split:]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g11 = arch_model(r_tr, vol="GARCH", p=1, q=1, dist="t").fit(disp="off")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gjr = arch_model(r_tr, vol="GARCH", p=1, o=1, q=1, dist="t").fit(disp="off")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egarch = arch_model(r_tr, vol="EGARCH", p=1, o=1, q=1, dist="t").fit(disp="off")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print(g11.summary());  print(gjr.summary())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Model choice: lowest BIC + significant gamma -&gt; expect GJR to win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Rolling 1-day-ahead variance forecasts over the test block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fc = []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for t in range(len(r_te)):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res = arch_model(r.iloc[:split+t], vol="GARCH", p=1, o=1, q=1,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dist="t").fit(disp="off", update_freq=0)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fc.append(res.forecast(horizon=1).variance.iloc[-1,0])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vol_fc = np.sqrt(pd.Series(fc, index=r_te.index))          # daily %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(In practice refit weekly and use fixed-parameter filtering between refits.)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4.1 — GARCH(1,1) vs GJR vs EGARCH with Student-t errors; rolling out-of-sample variance forecasts.</w:t>
      </w:r>
    </w:p>
    <w:p>
      <w:pPr>
        <w:pStyle w:val="Heading2"/>
        <w:spacing w:after="120" w:before="260"/>
      </w:pPr>
      <w:r>
        <w:t xml:space="preserve">4.4 Parameter Interpretation and Forecast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Interpret ω (baseline variance), α (news impact), β (persistence), α+β (half-life of shocks = ln0.5/ln(α+β) days), γ&gt;0 confirming leverage; t-dof ~5–8 confirming fat 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 forecast σₜ against realized proxies: |rₜ|, r²ₜ, and 21-day realized vol; evaluate with QLIKE and MSE on variance (QLIKE preferred — robust to noisy proxies), plus Mincer–Zarnowitz regression (α=0, β=1 ideal).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Plot forecast vol vs realized vol across 2008 and 2020: expect GARCH to track clusters well but lag the onset of crashes by construction (it reacts after the first large shock).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Optional hybrid (literature-motivated): feed GARCH conditional σ as an extra feature into the Task 3 LSTM/XGBoost (Kim &amp; Won 2018; Roszyk &amp; Ślepaczuk 2024).</w:t>
      </w:r>
    </w:p>
    <w:p>
      <w:pPr>
        <w:pStyle w:val="Heading2"/>
        <w:spacing w:after="120" w:before="260"/>
      </w:pPr>
      <w:r>
        <w:t xml:space="preserve">4.5 Strengths and Limitations of GARCH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Limitations</w:t>
            </w:r>
          </w:p>
        </w:tc>
      </w:tr>
      <w:tr>
        <w:tc>
          <w:tcPr>
            <w:tcW w:type="dxa" w:w="468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Parsimonious (3–4 parameters), decades of theory, interpretable persistence/leverage estimates</w:t>
            </w:r>
          </w:p>
        </w:tc>
        <w:tc>
          <w:tcPr>
            <w:tcW w:type="dxa" w:w="468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Reactive, not anticipatory — vol jumps only after the first big shock; misses scheduled-event risk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Explicit conditional distribution → VaR/ES and prediction intervals for free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Assumes parametric dynamics; single-regime parameters strain across 1990→2026 (mitigate with rolling refits or Markov-switching)</w:t>
            </w:r>
          </w:p>
        </w:tc>
      </w:tr>
      <w:tr>
        <w:tc>
          <w:tcPr>
            <w:tcW w:type="dxa" w:w="468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 to beat at short horizons; GARCH(1,1) remains a strong benchmark (Hansen &amp; Lunde 2005)</w:t>
            </w:r>
          </w:p>
        </w:tc>
        <w:tc>
          <w:tcPr>
            <w:tcW w:type="dxa" w:w="468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Squared-return proxy is noisy; evaluation is proxy-dependent — hence QLIKE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Extensions (GJR/EGARCH) capture the equity leverage effect cleanly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Long-horizon forecasts revert to unconditional vol quickly; multi-day dynamics need HAR-RV or realized-vol models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Task 5 — Model Comparison, Insights, and Critical Reflection</w:t>
      </w:r>
    </w:p>
    <w:p>
      <w:pPr>
        <w:pStyle w:val="Heading2"/>
        <w:spacing w:after="120" w:before="260"/>
      </w:pPr>
      <w:r>
        <w:t xml:space="preserve">5.1 Quantitative Comparison Framework</w:t>
      </w:r>
    </w:p>
    <w:p>
      <w:pPr>
        <w:spacing w:after="120"/>
      </w:pPr>
      <w:r>
        <w:rPr>
          <w:sz w:val="22"/>
          <w:szCs w:val="22"/>
        </w:rPr>
        <w:t xml:space="preserve">All point-forecast models are compared on identical walk-forward test predictions, reconstructed to the price level. Results are presented in a single table plus: (i) overlay plot of forecasts vs actuals on the test block, (ii) cumulative-squared-error curves (reveals when models fail, not just how much), (iii) error-by-regime bars (high vs low VIX terciles), and (iv) DM-test p-value matrix.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MAPE %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sMAPE %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Dir. Acc.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DM vs naive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Naive random walk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~0.50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SARIMA / Prophet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LSTM / GRU (5 seeds)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Hybrid (+GARCH σ feature)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W w:type="dxa" w:w="116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Volatility models are compared separately (GARCH(1,1) vs GJR vs EGARCH vs a naive 21-day rolling-std benchmark) on QLIKE and variance-MSE.</w:t>
      </w:r>
    </w:p>
    <w:p>
      <w:pPr>
        <w:pStyle w:val="Heading2"/>
        <w:spacing w:after="120" w:before="260"/>
      </w:pPr>
      <w:r>
        <w:t xml:space="preserve">5.2 Expected Advantages and Limitations by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73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Advantages</w:t>
            </w:r>
          </w:p>
        </w:tc>
        <w:tc>
          <w:tcPr>
            <w:tcW w:type="dxa" w:w="373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Limitations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SARIMA / Prophet</w:t>
            </w:r>
          </w:p>
        </w:tc>
        <w:tc>
          <w:tcPr>
            <w:tcW w:type="dxa" w:w="373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Interpretable; fast; principled intervals; honest baseline</w:t>
            </w:r>
          </w:p>
        </w:tc>
        <w:tc>
          <w:tcPr>
            <w:tcW w:type="dxa" w:w="373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Linear; near-random-walk behavior on efficient-market prices; weak daily seasonality to exploit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LSTM / GRU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Nonlinear memory; flexible inputs; state persists across regimes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Data-hungry; seed variance; opaque; easily overfits ~9k points; gains over naive often marginal on returns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373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 tabular performance; fast tuning; SHAP interpretability; handles calendar dummies natively</w:t>
            </w:r>
          </w:p>
        </w:tc>
        <w:tc>
          <w:tcPr>
            <w:tcW w:type="dxa" w:w="373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sequence state — sees only engineered lags; extrapolates poorly beyond training range of features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GARCH family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Purpose-built for variance; interpretable; risk-management ready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Mean forecast is ~zero — it complements, not replaces, the point-forecast models</w:t>
            </w:r>
          </w:p>
        </w:tc>
      </w:tr>
    </w:tbl>
    <w:p>
      <w:pPr>
        <w:pStyle w:val="Heading2"/>
        <w:spacing w:after="120" w:before="260"/>
      </w:pPr>
      <w:r>
        <w:t xml:space="preserve">5.3 Practical Implications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model that cannot beat the naive random walk on price levels — a plausible outcome given weak-form market efficiency — is itself a valid, publishable finding; the honest headline result may be in volatility, not price, forecasting.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Volatility forecasts are directly actionable: position sizing, VaR limits, options pricing inputs, and vol-targeting strategies; a GARCH σ that tracks realized vol has clear economic value even when price direction is unpredictable.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Directional accuracy of ~52–55% can be economically meaningful with cost-aware execution but is destroyed by transaction costs at daily frequency — quantify this with the toy-strategy backtest before making any claims.</w:t>
      </w:r>
    </w:p>
    <w:p>
      <w:pPr>
        <w:pStyle w:val="Heading2"/>
        <w:spacing w:after="120" w:before="260"/>
      </w:pPr>
      <w:r>
        <w:t xml:space="preserve">5.4 Challenges, Assumptions, Ethics, and Future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Key assumptions: </w:t>
      </w:r>
      <w:r>
        <w:rPr>
          <w:sz w:val="22"/>
          <w:szCs w:val="22"/>
        </w:rPr>
        <w:t xml:space="preserve">past dynamics inform the future (violated at structural breaks); Yahoo-adjusted prices are accurate; test-period distribution resembles deployment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Challenges: </w:t>
      </w:r>
      <w:r>
        <w:rPr>
          <w:sz w:val="22"/>
          <w:szCs w:val="22"/>
        </w:rPr>
        <w:t xml:space="preserve">low signal-to-noise ratio of daily returns; non-stationarity across 36 years; seed/initialization variance in DL; compute cost of honest rolling refits; look-ahead leakage as the single most common silent failure (guard: every feature explicitly shifted, scalers train-fit only, no bidirectional layers).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Ethical considerations: </w:t>
      </w:r>
      <w:r>
        <w:rPr>
          <w:sz w:val="22"/>
          <w:szCs w:val="22"/>
        </w:rPr>
        <w:t xml:space="preserve">forecasts must not be presented as investment advice; overstated backtest performance can cause real financial harm; survivorship framing (the index itself embeds survivorship of constituents); widespread deployment of similar models can amplify herding and flash-crash dynamics; disclose uncertainty and limitations prominently in all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Future improvements: </w:t>
      </w:r>
      <w:r>
        <w:rPr>
          <w:sz w:val="22"/>
          <w:szCs w:val="22"/>
        </w:rPr>
        <w:t xml:space="preserve">exogenous features (VIX, rates, macro surprises); HAR-RV and realized-volatility models from intraday data; Temporal Fusion Transformer / N-BEATS; Markov-switching GARCH for regimes; probabilistic forecasting (quantile loss, conformal prediction); ensembling the three model families, which the literature suggests beats any single member.</w:t>
      </w:r>
    </w:p>
    <w:p>
      <w:pPr>
        <w:pStyle w:val="Heading2"/>
        <w:spacing w:after="120" w:before="260"/>
      </w:pPr>
      <w:r>
        <w:t xml:space="preserve">5.5 Project Deliverables and Repository Layout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ML_ATSF/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data/            raw/ and processed/ parquet files (gitignored)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notebooks/       01_eda.ipynb  02_preprocessing.ipynb  03_sarima_prophet.ipynb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04_lstm_gru.ipynb  05_xgboost.ipynb  06_garch.ipynb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07_comparison.ipynb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src/             data.py  features.py  models/  evaluate.py  (tested utilities)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results/         metrics.csv  figures/  tuned_params/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report/          final report + this blueprint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└── environment.yml  python=3.11, yfinance, statsmodels, pmdarima, prophet,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tensorflow, xgboost, optuna, arch, shap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Listing 5.1 — Suggested repository structure.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Roszyk, N. &amp; Ślepaczuk, R. (2024). The Hybrid Forecast of S&amp;P 500 Volatility ensembled from VIX, GARCH and LSTM models. arXiv:2407.16780.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Siami-Namini, S., Tavakoli, N. &amp; Namin, A.S. (2018). A Comparison of ARIMA and LSTM in Forecasting Time Series. IEEE ICMLA 2018.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Siami-Namini, S., Tavakoli, N. &amp; Namin, A.S. (2019). A Comparative Analysis of Forecasting Financial Time Series Using ARIMA, LSTM, and BiLSTM. arXiv:1911.09512.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Kim, H.Y. &amp; Won, C.H. (2018). Forecasting the volatility of stock price index: A hybrid model integrating LSTM with multiple GARCH-type models. Expert Systems with Applications, 103, 25–37.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Nechita, A. (2025). Forecasting S&amp;P 500 Using LSTM Models. arXiv:2501.17366.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Michańków, J., Kwiatkowski, J. &amp; Ślepaczuk, R. (2023). Hedging Properties of Algorithmic Investment Strategies using LSTM and Time Series models for Equity Indices. arXiv:2309.15640.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Volatility Forecasting in Financial Time-Series: A Comparative Study of GARCH, XGBoost, and LSTM Models (2025). ResearchGate publication 396444026.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Bollerslev, T. (1986). Generalized Autoregressive Conditional Heteroskedasticity. Journal of Econometrics, 31, 307–327.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Glosten, L., Jagannathan, R. &amp; Runkle, D. (1993). On the Relation between the Expected Value and the Volatility of the Nominal Excess Return on Stocks. Journal of Finance, 48(5), 1779–1801.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Hansen, P.R. &amp; Lunde, A. (2005). A forecast comparison of volatility models: does anything beat a GARCH(1,1)? Journal of Applied Econometrics, 20(7), 873–889.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Corsi, F. (2009). A Simple Approximate Long-Memory Model of Realized Volatility. Journal of Financial Econometrics, 7(2), 174–196.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59"/>
      </w:pPr>
    </w:lvl>
    <w:lvl w:ilvl="1" w15:tentative="1">
      <w:start w:val="1"/>
      <w:numFmt w:val="bullet"/>
      <w:lvlText w:val="◦"/>
      <w:lvlJc w:val="star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2026-07-18T16:52:23.007Z</dcterms:created>
  <dcterms:modified xsi:type="dcterms:W3CDTF">2026-07-18T16:52:23.007Z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