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rPr>
        <w:t>NovaTech Attendance and Punctuality Policy</w:t>
      </w:r>
    </w:p>
    <w:p>
      <w:r>
        <w:rPr>
          <w:i/>
          <w:color w:val="718096"/>
          <w:sz w:val="18"/>
        </w:rPr>
        <w:t>NovaTech Solutions Inc. — Internal HR Policy [FICTIONAL SAMPLE]</w:t>
      </w:r>
    </w:p>
    <w:p>
      <w:pPr>
        <w:pStyle w:val="Heading2"/>
      </w:pPr>
      <w:r>
        <w:rPr>
          <w:color w:val="2B6CB0"/>
        </w:rPr>
        <w:t>1. Purpose and Overview</w:t>
      </w:r>
    </w:p>
    <w:p>
      <w:r>
        <w:t>NovaTech Solutions expects all employees to maintain reliable, punctual attendance to ensure seamless customer service and cross-functional team productivity.</w:t>
      </w:r>
    </w:p>
    <w:p>
      <w:pPr>
        <w:pStyle w:val="Heading2"/>
      </w:pPr>
      <w:r>
        <w:rPr>
          <w:color w:val="2B6CB0"/>
        </w:rPr>
        <w:t>2. Core Working Hours and Punctuality</w:t>
      </w:r>
    </w:p>
    <w:p>
      <w:r>
        <w:t>The standard core business hours are from 10:00 AM to 4:00 PM local time. All employees are required to be available and actively working during these core hours. NovaTech provides a 15-minute grace period for daily swipe-in (until 10:15 AM). More than three late arrivals beyond the grace period in a single month will be flagged for review by the reporting manager.</w:t>
      </w:r>
    </w:p>
    <w:p>
      <w:pPr>
        <w:pStyle w:val="Heading2"/>
      </w:pPr>
      <w:r>
        <w:rPr>
          <w:color w:val="2B6CB0"/>
        </w:rPr>
        <w:t>3. Half-Day Work Calculations</w:t>
      </w:r>
    </w:p>
    <w:p>
      <w:r>
        <w:t>An employee who logs between 4 and 6 hours of active work on a business day will be credited with a half-day's attendance. Any working duration below 4 hours without prior approved leave will be logged as an unexcused absence.</w:t>
      </w:r>
    </w:p>
    <w:p>
      <w:pPr>
        <w:pStyle w:val="Heading2"/>
      </w:pPr>
      <w:r>
        <w:rPr>
          <w:color w:val="2B6CB0"/>
        </w:rPr>
        <w:t>4. Unexcused Absences and Disciplinary Escalation</w:t>
      </w:r>
    </w:p>
    <w:p>
      <w:r>
        <w:t>Failure to report to work or notify the reporting supervisor for three (3) consecutive business days is classified as job abandonment and voluntary resignation, initiating formal HR review and potential termination of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