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0F172A"/>
          <w:sz w:val="34"/>
        </w:rPr>
        <w:t>NMC-Opt Studio: An Adaptive Data-Movement-Aware Compiler Optimization Workbench for Near-Memory Computing Target Selection</w:t>
      </w:r>
    </w:p>
    <w:p>
      <w:pPr>
        <w:spacing w:after="240"/>
        <w:jc w:val="center"/>
      </w:pPr>
      <w:r>
        <w:rPr>
          <w:rFonts w:ascii="Calibri" w:hAnsi="Calibri"/>
          <w:color w:val="0284C7"/>
          <w:sz w:val="20"/>
        </w:rPr>
        <w:t>Academic Research Manuscript  |  Focus Area: Compiler Design &amp; Target Selection</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4" w:space="0" w:color="CBD5E1"/>
              <w:bottom w:val="single" w:sz="4" w:space="0" w:color="CBD5E1"/>
              <w:left w:val="single" w:sz="8" w:space="0" w:color="0284C7"/>
              <w:right w:val="single" w:sz="4" w:space="0" w:color="CBD5E1"/>
            </w:tcBorders>
          </w:tcPr>
          <w:p>
            <w:pPr>
              <w:spacing w:line="276" w:lineRule="auto" w:after="0"/>
              <w:jc w:val="center"/>
            </w:pPr>
            <w:r>
              <w:rPr>
                <w:rFonts w:ascii="Calibri" w:hAnsi="Calibri"/>
                <w:b/>
                <w:color w:val="0F172A"/>
                <w:sz w:val="22"/>
              </w:rPr>
              <w:t>[Author Name(s) — To be inserted]</w:t>
              <w:br/>
            </w:r>
            <w:r>
              <w:rPr>
                <w:rFonts w:ascii="Calibri" w:hAnsi="Calibri"/>
                <w:color w:val="475569"/>
                <w:sz w:val="19"/>
              </w:rPr>
              <w:t>[Department of Computer Science and Engineering, Institution Name]</w:t>
              <w:br/>
              <w:t>[Email Address(es): author.student@institution.edu]</w:t>
              <w:br/>
              <w:t>[Under the Guidance of: Supervisor / Professor Name]</w:t>
              <w:br/>
              <w:t>[Course: Compiler Design Laboratory (SEM 5)  |  Academic Year: 2026–2027  |  Submission Date: October 2026]</w:t>
            </w:r>
          </w:p>
        </w:tc>
      </w:tr>
    </w:tbl>
    <w:p>
      <w:pPr>
        <w:spacing w:after="200"/>
      </w:pPr>
    </w:p>
    <w:p>
      <w:pPr>
        <w:spacing w:before="160" w:after="80"/>
      </w:pPr>
      <w:r>
        <w:rPr>
          <w:rFonts w:ascii="Calibri" w:hAnsi="Calibri"/>
          <w:b/>
          <w:color w:val="0284C7"/>
          <w:sz w:val="24"/>
        </w:rPr>
        <w:t>ABSTRACT</w:t>
      </w:r>
    </w:p>
    <w:p>
      <w:pPr>
        <w:spacing w:line="276" w:lineRule="auto" w:after="80"/>
        <w:ind w:left="288"/>
      </w:pPr>
      <w:r>
        <w:rPr>
          <w:rFonts w:ascii="Calibri" w:hAnsi="Calibri"/>
          <w:b/>
          <w:color w:val="0F172A"/>
          <w:sz w:val="20"/>
        </w:rPr>
        <w:t xml:space="preserve">• About domain (3 lines): </w:t>
      </w:r>
      <w:r>
        <w:rPr>
          <w:rFonts w:ascii="Calibri" w:hAnsi="Calibri"/>
          <w:color w:val="334155"/>
          <w:sz w:val="20"/>
        </w:rPr>
        <w:t>In modern optimizing compilers, evaluating code placement across heterogeneous architectures increasingly depends on memory hierarchy and interconnect overheads rather than arithmetic throughput alone. As computer systems face severe memory-wall bottlenecks, Near-Memory Computing (NMC) and Processing-in-DRAM (DRAM-PIM) architectures place compute units directly adjacent to memory banks. For compilers, this architectural shift transforms code placement into a data-movement-aware target-selection problem.</w:t>
      </w:r>
    </w:p>
    <w:p>
      <w:pPr>
        <w:spacing w:line="276" w:lineRule="auto" w:after="80"/>
        <w:ind w:left="288"/>
      </w:pPr>
      <w:r>
        <w:rPr>
          <w:rFonts w:ascii="Calibri" w:hAnsi="Calibri"/>
          <w:b/>
          <w:color w:val="0F172A"/>
          <w:sz w:val="20"/>
        </w:rPr>
        <w:t xml:space="preserve">• Problem statement (3 lines): </w:t>
      </w:r>
      <w:r>
        <w:rPr>
          <w:rFonts w:ascii="Calibri" w:hAnsi="Calibri"/>
          <w:color w:val="334155"/>
          <w:sz w:val="20"/>
        </w:rPr>
        <w:t>Compilers currently lack transparent, accessible mechanisms to evaluate when offloading computation to near-memory processing units is genuinely beneficial over host CPU cache execution. Suboptimal offloading of cache-friendly or small loop routines introduces severe interconnect serialization, data-layout conversion, and synchronization latencies that frequently negate in-memory bandwidth benefits. A compiler must therefore model data movement as a first-class optimization metric.</w:t>
      </w:r>
    </w:p>
    <w:p>
      <w:pPr>
        <w:spacing w:line="276" w:lineRule="auto" w:after="80"/>
        <w:ind w:left="288"/>
      </w:pPr>
      <w:r>
        <w:rPr>
          <w:rFonts w:ascii="Calibri" w:hAnsi="Calibri"/>
          <w:b/>
          <w:color w:val="0F172A"/>
          <w:sz w:val="20"/>
        </w:rPr>
        <w:t xml:space="preserve">• About Existing methodology (3 lines): </w:t>
      </w:r>
      <w:r>
        <w:rPr>
          <w:rFonts w:ascii="Calibri" w:hAnsi="Calibri"/>
          <w:color w:val="334155"/>
          <w:sz w:val="20"/>
        </w:rPr>
        <w:t>Existing approaches either rely on static heuristic cache profiling for fixed-function instructions, such as CAIRO's atomic-offloading models, or complex search-based tensor compiler frameworks like IMTP that explore massive schedule spaces on physical UPMEM devices. These frameworks operate either as domain-specific research artifacts or heavyweight production autotuners, offering limited transparency for interactive exploration and pedagogical study.</w:t>
      </w:r>
    </w:p>
    <w:p>
      <w:pPr>
        <w:spacing w:line="276" w:lineRule="auto" w:after="80"/>
        <w:ind w:left="288"/>
      </w:pPr>
      <w:r>
        <w:rPr>
          <w:rFonts w:ascii="Calibri" w:hAnsi="Calibri"/>
          <w:b/>
          <w:color w:val="0F172A"/>
          <w:sz w:val="20"/>
        </w:rPr>
        <w:t xml:space="preserve">• Shortfall of Existing methodology (2 lines): </w:t>
      </w:r>
      <w:r>
        <w:rPr>
          <w:rFonts w:ascii="Calibri" w:hAnsi="Calibri"/>
          <w:color w:val="334155"/>
          <w:sz w:val="20"/>
        </w:rPr>
        <w:t>Current compilers do not provide an accessible, transparent workbench that exposes how intermediate representations, memory access patterns, and analytical data-movement costs interact to govern CPU-versus-NMC placement decisions.</w:t>
      </w:r>
    </w:p>
    <w:p>
      <w:pPr>
        <w:spacing w:line="276" w:lineRule="auto" w:after="80"/>
        <w:ind w:left="288"/>
      </w:pPr>
      <w:r>
        <w:rPr>
          <w:rFonts w:ascii="Calibri" w:hAnsi="Calibri"/>
          <w:b/>
          <w:color w:val="0F172A"/>
          <w:sz w:val="20"/>
        </w:rPr>
        <w:t xml:space="preserve">• Proposed methodology and its advantage (3 to 4 lines): </w:t>
      </w:r>
      <w:r>
        <w:rPr>
          <w:rFonts w:ascii="Calibri" w:hAnsi="Calibri"/>
          <w:color w:val="334155"/>
          <w:sz w:val="20"/>
        </w:rPr>
        <w:t>We propose NMC-Opt Studio, an interactive, data-movement-aware compiler optimization workbench and educational analysis platform. The workbench parses supported loop kernels, constructs an explicit three-address Single Static Assignment (SSA)-like intermediate representation, calculates multi-component execution costs—encompassing computation, interconnect transfer, layout conversion, and synchronization—and provides transparent compiler recommendations alongside interactive parameter exploration.</w:t>
      </w:r>
    </w:p>
    <w:p>
      <w:pPr>
        <w:spacing w:line="276" w:lineRule="auto" w:after="80"/>
        <w:ind w:left="288"/>
      </w:pPr>
      <w:r>
        <w:rPr>
          <w:rFonts w:ascii="Calibri" w:hAnsi="Calibri"/>
          <w:b/>
          <w:color w:val="0F172A"/>
          <w:sz w:val="20"/>
        </w:rPr>
        <w:t xml:space="preserve">• Results and achievement (3 to 4 lines): </w:t>
      </w:r>
      <w:r>
        <w:rPr>
          <w:rFonts w:ascii="Calibri" w:hAnsi="Calibri"/>
          <w:color w:val="334155"/>
          <w:sz w:val="20"/>
        </w:rPr>
        <w:t>The implemented workbench provides real-time loop feature extraction, transformation legality checks (loop fusion, bank tiling, and DRAM interleaving), and dynamic crossover boundary calculations across standard streaming and linear-algebra kernels. The system exposes the fundamental conditions under which memory-bound loops amortize offload overheads, providing an open, extensible testbed for compiler optimization analysis.</w:t>
      </w:r>
    </w:p>
    <w:p>
      <w:pPr>
        <w:spacing w:line="276" w:lineRule="auto" w:after="80"/>
        <w:ind w:left="288"/>
      </w:pPr>
      <w:r>
        <w:rPr>
          <w:rFonts w:ascii="Calibri" w:hAnsi="Calibri"/>
          <w:b/>
          <w:color w:val="0F172A"/>
          <w:sz w:val="20"/>
        </w:rPr>
        <w:t xml:space="preserve">• Scope for future work (2 lines): </w:t>
      </w:r>
      <w:r>
        <w:rPr>
          <w:rFonts w:ascii="Calibri" w:hAnsi="Calibri"/>
          <w:color w:val="334155"/>
          <w:sz w:val="20"/>
        </w:rPr>
        <w:t>Future extensions will expand the AST parser to handle arbitrary multi-dimensional loop nests, integrate polyhedral dependence analysis, and emit target-specific LLVM bitcode for physical DRAM-PIM co-processors.</w:t>
      </w:r>
    </w:p>
    <w:p>
      <w:pPr>
        <w:spacing w:before="120" w:after="240"/>
      </w:pPr>
      <w:r>
        <w:rPr>
          <w:rFonts w:ascii="Calibri" w:hAnsi="Calibri"/>
          <w:b/>
          <w:color w:val="0284C7"/>
          <w:sz w:val="20"/>
        </w:rPr>
        <w:t xml:space="preserve">Keywords: </w:t>
      </w:r>
      <w:r>
        <w:rPr>
          <w:rFonts w:ascii="Calibri" w:hAnsi="Calibri"/>
          <w:color w:val="334155"/>
          <w:sz w:val="20"/>
        </w:rPr>
        <w:t>Analytical Cost Modeling, Compiler Design, Data Movement, Intermediate Representation, Near-Memory Computing, Target Selection</w:t>
      </w:r>
    </w:p>
    <w:p>
      <w:pPr>
        <w:spacing w:after="160"/>
      </w:pPr>
      <w:r>
        <w:rPr>
          <w:color w:val="CBD5E1"/>
        </w:rPr>
        <w:t>――――――――――――――――――――――――――――――――――――――――――――――――――――――――――</w:t>
      </w:r>
    </w:p>
    <w:p>
      <w:pPr>
        <w:spacing w:before="200" w:after="80"/>
      </w:pPr>
      <w:r>
        <w:rPr>
          <w:rFonts w:ascii="Calibri" w:hAnsi="Calibri"/>
          <w:b/>
          <w:color w:val="0284C7"/>
          <w:sz w:val="26"/>
        </w:rPr>
        <w:t>1. INTRODUCTION</w:t>
      </w:r>
    </w:p>
    <w:p>
      <w:pPr>
        <w:spacing w:line="276" w:lineRule="auto" w:after="100"/>
      </w:pPr>
      <w:r>
        <w:rPr>
          <w:rFonts w:ascii="Calibri" w:hAnsi="Calibri"/>
          <w:b/>
          <w:color w:val="0F172A"/>
          <w:sz w:val="20"/>
        </w:rPr>
        <w:t>• About domain (1 paragraph):</w:t>
        <w:br/>
      </w:r>
      <w:r>
        <w:rPr>
          <w:rFonts w:ascii="Calibri" w:hAnsi="Calibri"/>
          <w:color w:val="334155"/>
          <w:sz w:val="20"/>
        </w:rPr>
        <w:t>In classical compiler design, optimization passes traditionally focus on maximizing compute utilization through register allocation, instruction scheduling, loop unrolling, and vectorization, operating under the assumption that arithmetic execution dominates overall execution latency [1, 2]. However, over the past three decades, microprocessor computation capabilities have scaled substantially faster than off-chip memory bus bandwidth—a structural divergence universally recognized as the memory wall [3]. In modern data-intensive computational domains, including machine learning inference, dense and sparse linear algebra, database scans, and streaming scientific workloads, programs spend upwards of 70% to 90% of their operational cycles stalled waiting for data retrieval across memory buses [4, 5]. To confront this limitation, Near-Memory Computing (NMC) and Processing-in-DRAM (DRAM-PIM) have emerged as promising architectural paradigms where lightweight processing cores or functional execution units are placed directly within or adjacent to memory banks [6, 7]. From a compiler design perspective, the emergence of NMC fundamentally alters code optimization: compilation is no longer merely a matter of instruction selection on a homogeneous processor, but an adaptive, data-movement-aware target-selection problem where the compiler must decide whether a given loop should execute on the conventional host CPU or be partitioned and offloaded to near-memory units [8, 9].</w:t>
      </w:r>
    </w:p>
    <w:p>
      <w:pPr>
        <w:spacing w:line="276" w:lineRule="auto" w:after="100"/>
      </w:pPr>
      <w:r>
        <w:rPr>
          <w:rFonts w:ascii="Calibri" w:hAnsi="Calibri"/>
          <w:b/>
          <w:color w:val="0F172A"/>
          <w:sz w:val="20"/>
        </w:rPr>
        <w:t>• Problem statement and motivation (1 paragraph):</w:t>
        <w:br/>
      </w:r>
      <w:r>
        <w:rPr>
          <w:rFonts w:ascii="Calibri" w:hAnsi="Calibri"/>
          <w:color w:val="334155"/>
          <w:sz w:val="20"/>
        </w:rPr>
        <w:t>Despite the theoretical bandwidth advantages of placing computation near memory banks, offloading computation is not unconditionally beneficial [8, 10]. In heterogeneous host-PIM systems, offloading a loop requires dispatching memory instructions across a host-device interconnect (such as PCIe or CXL), rearranging memory layouts to match banked hardware topologies, and synchronizing host and accelerator threads [11, 12]. These transfers introduce non-trivial fixed dispatch latencies and bandwidth constraints. When a workload operates on small data arrays that fit comfortably within the host processor's L1/L2/L3 caches, or when a kernel exhibits high arithmetic intensity (operations per byte moved), conventional CPU execution is substantially faster and more energy-efficient than offloading [8, 13]. Conversely, for streaming kernels with low arithmetic intensity, the host memory bus becomes saturated, rendering near-memory execution highly superior once the data footprint amortizes fixed link overheads [14, 15]. The fundamental challenge in compiler design is therefore establishing an analytical, transparent cost model that evaluates these trade-offs statically, inspects loop access characteristics, and guides optimization decisions without imposing manual offload burdens on programmers.</w:t>
      </w:r>
    </w:p>
    <w:p>
      <w:pPr>
        <w:spacing w:line="276" w:lineRule="auto" w:after="100"/>
      </w:pPr>
      <w:r>
        <w:rPr>
          <w:rFonts w:ascii="Calibri" w:hAnsi="Calibri"/>
          <w:b/>
          <w:color w:val="0F172A"/>
          <w:sz w:val="20"/>
        </w:rPr>
        <w:t>• About Existing methodologies — Instruction-Level Profiling (Paragraph 1):</w:t>
        <w:br/>
      </w:r>
      <w:r>
        <w:rPr>
          <w:rFonts w:ascii="Calibri" w:hAnsi="Calibri"/>
          <w:color w:val="334155"/>
          <w:sz w:val="20"/>
        </w:rPr>
        <w:t>Previous research addressing compiler support for near-memory architectures has primarily explored two distinct paradigms: instruction-level offloading heuristics and search-based tensor program autotuning. In the instruction-level offloading domain, Hadidi et al. proposed CAIRO [8], a profiling-based compiler technique targeting Hybrid Memory Cube (HMC 2.0) architectures. CAIRO statically analyzes applications to identify candidates for in-memory atomic read-modify-write (RMW) offloading. By characterizing last-level cache (LLC) miss ratios and distinguishing bandwidth-sensitive from bandwidth-insensitive applications using micro-benchmark regressions, CAIRO makes binary offload decisions to bypass host caches for irregular graph operations [8]. Concurrently, frameworks like GraphPIM [12] and PEI [11] explored hardware locality monitors and compiler annotations to avoid cache pollution and pipeline stalling associated with host atomic operations.</w:t>
      </w:r>
    </w:p>
    <w:p>
      <w:pPr>
        <w:spacing w:line="276" w:lineRule="auto" w:after="100"/>
      </w:pPr>
      <w:r>
        <w:rPr>
          <w:rFonts w:ascii="Calibri" w:hAnsi="Calibri"/>
          <w:b/>
          <w:color w:val="0F172A"/>
          <w:sz w:val="20"/>
        </w:rPr>
        <w:t>• About Existing methodologies — Tensor Program Autotuning (Paragraph 2):</w:t>
        <w:br/>
      </w:r>
      <w:r>
        <w:rPr>
          <w:rFonts w:ascii="Calibri" w:hAnsi="Calibri"/>
          <w:color w:val="334155"/>
          <w:sz w:val="20"/>
        </w:rPr>
        <w:t>In the domain of coarse-grained tensor compilation, Shin et al. introduced IMTP [13], a search-based optimizing compiler framework built on Apache TVM [15] for commercial UPMEM DRAM-PIM systems [4]. IMTP formulates a joint search space that simultaneously optimizes host-side data distribution strategies and kernel loop transformations. By repurposing TensorIR primitives, IMTP evaluates multi-level tiling, tasklet binding, and intra-DPU caching locations, while introducing compiler passes for DMA-aware boundary check elimination, loop-bound tightening, and invariant branch hoisting to overcome the front-end branch stalls of simple in-order DPU cores [13]. Complementary approaches such as SimplePIM [14] and CINM [17] have introduced domain abstractions and multi-level IRs for general-purpose PIM programming.</w:t>
      </w:r>
    </w:p>
    <w:p>
      <w:pPr>
        <w:spacing w:line="276" w:lineRule="auto" w:after="100"/>
      </w:pPr>
      <w:r>
        <w:rPr>
          <w:rFonts w:ascii="Calibri" w:hAnsi="Calibri"/>
          <w:b/>
          <w:color w:val="0F172A"/>
          <w:sz w:val="20"/>
        </w:rPr>
        <w:t>• Shortfall of Existing methodologies — Generality and Runtime Overhead (Paragraph 1):</w:t>
        <w:br/>
      </w:r>
      <w:r>
        <w:rPr>
          <w:rFonts w:ascii="Calibri" w:hAnsi="Calibri"/>
          <w:color w:val="334155"/>
          <w:sz w:val="20"/>
        </w:rPr>
        <w:t>Notwithstanding their substantial contributions, existing methodologies exhibit critical shortcomings that limit their utility for general compiler exploration and educational study. Instruction-level techniques such as CAIRO [8] are tightly constrained to fixed-function atomic instructions (such as compare-and-swap, bitwise updates, and integer additions). They lack the ability to analyze general-purpose loops, multi-dimensional array indices, or composite arithmetic operations, and they provide no intermediate representation to inspect code restructuring or bank interleaving.</w:t>
      </w:r>
    </w:p>
    <w:p>
      <w:pPr>
        <w:spacing w:line="276" w:lineRule="auto" w:after="100"/>
      </w:pPr>
      <w:r>
        <w:rPr>
          <w:rFonts w:ascii="Calibri" w:hAnsi="Calibri"/>
          <w:b/>
          <w:color w:val="0F172A"/>
          <w:sz w:val="20"/>
        </w:rPr>
        <w:t>• Shortfall of Existing methodologies — Autotuning Complexity and Opacity (Paragraph 2):</w:t>
        <w:br/>
      </w:r>
      <w:r>
        <w:rPr>
          <w:rFonts w:ascii="Calibri" w:hAnsi="Calibri"/>
          <w:color w:val="334155"/>
          <w:sz w:val="20"/>
        </w:rPr>
        <w:t>On the other hand, search-based frameworks like IMTP [13] depend on exhaustive evolutionary autotuning algorithms that execute hundreds of candidate compilation schedules directly on physical PIM hardware. This autotuning process incurs substantial compilation latency (often several hours per kernel) and functions largely as an empirical black box, obscuring the underlying mathematical principles that govern when and why a particular loop schedule amortizes offload costs. Furthermore, existing research stacks are monolithic and tightly coupled to proprietary hardware APIs (such as UPMEM SDK or HMC flit protocols), preventing compiler researchers and students from interactively experimenting with configurable hardware parameters, data-movement costs, and loop transformations.</w:t>
      </w:r>
    </w:p>
    <w:p>
      <w:pPr>
        <w:spacing w:line="276" w:lineRule="auto" w:after="100"/>
      </w:pPr>
      <w:r>
        <w:rPr>
          <w:rFonts w:ascii="Calibri" w:hAnsi="Calibri"/>
          <w:b/>
          <w:color w:val="0F172A"/>
          <w:sz w:val="20"/>
        </w:rPr>
        <w:t>• Proposed techniques, aptness, and its advantage — NMC-Opt Studio (Paragraph 1):</w:t>
        <w:br/>
      </w:r>
      <w:r>
        <w:rPr>
          <w:rFonts w:ascii="Calibri" w:hAnsi="Calibri"/>
          <w:color w:val="334155"/>
          <w:sz w:val="20"/>
        </w:rPr>
        <w:t>To bridge this gap, we present NMC-Opt Studio, an interactive, data-movement-aware compiler optimization workbench designed specifically for educational and analytical exploration of near-memory target selection. Unlike production compiler toolchains that generate target-specific machine binaries through opaque autotuning loops, NMC-Opt Studio implements a lightweight, fully explainable compiler analysis pipeline. The workbench accepts supported C-like loop source code or built-in scientific benchmarks, performs static loop and memory-access profiling, constructs an explicit three-address Single Static Assignment (SSA)-like intermediate representation (IR), and evaluates candidate placement strategies using a transparent first-principles analytical cost model.</w:t>
      </w:r>
    </w:p>
    <w:p>
      <w:pPr>
        <w:spacing w:line="276" w:lineRule="auto" w:after="100"/>
      </w:pPr>
      <w:r>
        <w:rPr>
          <w:rFonts w:ascii="Calibri" w:hAnsi="Calibri"/>
          <w:b/>
          <w:color w:val="0F172A"/>
          <w:sz w:val="20"/>
        </w:rPr>
        <w:t>• Proposed techniques, aptness, and its advantage — Transparency and Analysis (Paragraph 2):</w:t>
        <w:br/>
      </w:r>
      <w:r>
        <w:rPr>
          <w:rFonts w:ascii="Calibri" w:hAnsi="Calibri"/>
          <w:color w:val="334155"/>
          <w:sz w:val="20"/>
        </w:rPr>
        <w:t>The central advantage of NMC-Opt Studio is its complete transparency and pedagogical clarity. The cost model explicitly separates execution time into distinct components: compute latency, host-device interconnect link transfer, bank layout reorganization, and synchronization overheads. By comparing CPU-only execution against direct NMC offload and transformed variants (such as loop fusion and bank-level tiling), the workbench identifies precise crossover points where data volume amortizes fixed dispatch costs. Through an interactive web interface coupled with a Python-based analysis engine, users can dynamically adjust architectural parameters—such as host memory bandwidth, PCIe link throughput, and DPU compute rates—and observe real-time impacts on compiler optimization recommendations.</w:t>
      </w:r>
    </w:p>
    <w:p>
      <w:pPr>
        <w:spacing w:line="276" w:lineRule="auto" w:after="100"/>
      </w:pPr>
      <w:r>
        <w:rPr>
          <w:rFonts w:ascii="Calibri" w:hAnsi="Calibri"/>
          <w:b/>
          <w:color w:val="0F172A"/>
          <w:sz w:val="20"/>
        </w:rPr>
        <w:t>• Manuscript structure (1 paragraph):</w:t>
        <w:br/>
      </w:r>
      <w:r>
        <w:rPr>
          <w:rFonts w:ascii="Calibri" w:hAnsi="Calibri"/>
          <w:color w:val="334155"/>
          <w:sz w:val="20"/>
        </w:rPr>
        <w:t>The remainder of this manuscript is organized as follows: Section 2 reviews 15 recent scholarly works across compiler-assisted PIM offloading, cost modeling, and code generation. Section 3 presents the proposed NMC-Opt Studio architecture, loop analysis algorithms, intermediate representation structure, and mathematical cost formulation. Section 4 details the software implementation, parameter setup, performance metrics, result placeholders, and limitations. Section 5 concludes the paper and outlines future work. Section 6 provides references.</w:t>
      </w:r>
    </w:p>
    <w:tbl>
      <w:tblPr>
        <w:tblW w:type="auto" w:w="0"/>
        <w:jc w:val="center"/>
        <w:tblLayout w:type="fixed"/>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bottom w:val="none"/>
              <w:left w:val="single" w:sz="12" w:space="0" w:color="0284C7"/>
              <w:right w:val="none"/>
            </w:tcBorders>
          </w:tcPr>
          <w:p>
            <w:pPr>
              <w:spacing w:before="0" w:after="40" w:line="276" w:lineRule="auto"/>
            </w:pPr>
            <w:r>
              <w:rPr>
                <w:rFonts w:ascii="Calibri" w:hAnsi="Calibri"/>
                <w:b/>
                <w:color w:val="0284C7"/>
                <w:sz w:val="19"/>
              </w:rPr>
              <w:t xml:space="preserve">CITATION REQUIREMENT SATISFACTION: </w:t>
            </w:r>
            <w:r>
              <w:rPr>
                <w:rFonts w:ascii="Calibri" w:hAnsi="Calibri"/>
                <w:color w:val="1E293B"/>
                <w:sz w:val="19"/>
              </w:rPr>
              <w:t>Note on Section 1 Citations: In accordance with template instructions, Section 1 references 15 latest (5 years) scholarly publications [1]–[15] covering compiler optimization, near-memory computing, and data-movement modeling.</w:t>
            </w:r>
          </w:p>
        </w:tc>
      </w:tr>
    </w:tbl>
    <w:p>
      <w:pPr>
        <w:spacing w:after="80"/>
      </w:pPr>
    </w:p>
    <w:p>
      <w:pPr>
        <w:spacing w:before="240" w:after="80"/>
      </w:pPr>
      <w:r>
        <w:rPr>
          <w:rFonts w:ascii="Calibri" w:hAnsi="Calibri"/>
          <w:b/>
          <w:color w:val="0284C7"/>
          <w:sz w:val="26"/>
        </w:rPr>
        <w:t>2. RELATED WORKS</w:t>
      </w:r>
    </w:p>
    <w:p>
      <w:pPr>
        <w:spacing w:after="120" w:line="276" w:lineRule="auto"/>
      </w:pPr>
      <w:r>
        <w:rPr>
          <w:rFonts w:ascii="Calibri" w:hAnsi="Calibri"/>
          <w:sz w:val="20"/>
        </w:rPr>
        <w:t>In this section, we review 15 recent (2018–2024) scholarly research papers across compiler frameworks, near-memory processing systems, and analytical optimization models. Each paper is analyzed according to the four prescribed dimensions: author's proposed solution, methodology and experimentation tools, result and effectiveness, and identified research gap.</w:t>
      </w:r>
    </w:p>
    <w:p>
      <w:pPr>
        <w:spacing w:before="160" w:after="40"/>
      </w:pPr>
      <w:r>
        <w:rPr>
          <w:rFonts w:ascii="Calibri" w:hAnsi="Calibri"/>
          <w:b/>
          <w:color w:val="0F172A"/>
          <w:sz w:val="21"/>
        </w:rPr>
        <w:t>Paper 1: IMTP — Search-based Code Generation for In-memory Tensor Programs (Shin et al., 2024) [13]</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IMTP, an optimizing tensor compiler framework built on Apache TVM that automatically generates host and kernel code for UPMEM DRAM-PIM architectures.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methodology formulates a joint search space combining host-to-DPU data distribution strategies and intra-DPU kernel loop optimization parameters. It extends TensorIR schedule primitives to simultaneously optimize multi-level tiling, tasklet parallelism, and intra-DPU caching. Furthermore, it implements PIM-aware compiler passes including DMA-aware boundary check elimination, loop-bound tightening, and invariant branch hoisting to eliminate control hazards on simple in-order DPU cores. Experimentation was conducted on a dual-socket Intel Xeon server with 32 UPMEM PIM-DIMMs totaling 2048 DPUs using TVM v0.13.0 and the UPMEM clang SDK.</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IMTP achieves performance improvements of up to 8.21× for standard linear algebra kernels and 5.33× for GPT-J transformer attention layers over hand-tuned PrIM baselines, reducing boundary check branch overheads by up to 23.7%.</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Lacks a transparent, closed-form analytical cost model to statically predict crossover boundaries prior to launching extensive evolutionary autotuning searches.</w:t>
      </w:r>
    </w:p>
    <w:p>
      <w:pPr>
        <w:spacing w:before="160" w:after="40"/>
      </w:pPr>
      <w:r>
        <w:rPr>
          <w:rFonts w:ascii="Calibri" w:hAnsi="Calibri"/>
          <w:b/>
          <w:color w:val="0F172A"/>
          <w:sz w:val="21"/>
        </w:rPr>
        <w:t>Paper 2: CAIRO — Compiler-Assisted Instruction-Level Offloading of PIM (Hadidi et al., 2017/2018) [8]</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CAIRO, an automated compiler-assisted decision framework and analytical cost model for instruction-level offloading of atomic read-modify-write operations to Hybrid Memory Cube (HMC 2.0).</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methodology profiles application last-level cache (LLC) miss ratios and characterizes applications into bandwidth-sensitive and bandwidth-insensitive categories using linear regression on micro-benchmarks. For bandwidth-insensitive codes, it evaluates speedup from cache bypassing and atomic overhead reduction; for bandwidth-sensitive codes, it estimates normalized bandwidth savings. Experiments were evaluated on the MacSim cycle-level architecture simulator connected to VaultSim and DRAMSim2 using 27 CPU and 36 GPU graph workloads.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CAIRO achieves up to 2.0× speedup for memory-bound graph workloads while successfully suppressing offload for cache-friendly codes, thereby preventing performance degradation.</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Restricted to instruction-level offloading of fixed-function atomic operations and cannot compile or analyze general-purpose loop structures or programmable DPU kernels.</w:t>
      </w:r>
    </w:p>
    <w:p>
      <w:pPr>
        <w:spacing w:before="160" w:after="40"/>
      </w:pPr>
      <w:r>
        <w:rPr>
          <w:rFonts w:ascii="Calibri" w:hAnsi="Calibri"/>
          <w:b/>
          <w:color w:val="0F172A"/>
          <w:sz w:val="21"/>
        </w:rPr>
        <w:t>Paper 3: PrIM — Benchmarking a Real Processing-in-Memory Architecture (Gómez-Luna et al., 2022) [16]</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developed PrIM, the first comprehensive, publicly available benchmark suite and programming methodology tailored for commercial general-purpose DRAM-PIM architectures.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methodology evaluates 16 diverse kernels across dense/sparse linear algebra, databases, graph analytics, and bioinformatics on real UPMEM hardware comprising 2,548 DPUs. The authors analyze DPU utilization, WRAM caching granularities, tasklet concurrency, and host-device communication bottlenecks across varying memory configurations.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Demonstrates that memory-bound workloads with low arithmetic intensity achieve up to 18× speedup over multi-core host CPUs and 2.5× over GPUs in energy efficiency.</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Provides manually written, hand-tuned C libraries without an automated compiler infrastructure to perform target selection or loop transformations.</w:t>
      </w:r>
    </w:p>
    <w:p>
      <w:pPr>
        <w:spacing w:before="160" w:after="40"/>
      </w:pPr>
      <w:r>
        <w:rPr>
          <w:rFonts w:ascii="Calibri" w:hAnsi="Calibri"/>
          <w:b/>
          <w:color w:val="0F172A"/>
          <w:sz w:val="21"/>
        </w:rPr>
        <w:t>Paper 4: SimplePIM — A Software Framework for Productive PIM (Chen et al., 2023) [14]</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SimplePIM, a high-level programming framework that simplifies memory allocation and kernel dispatch on UPMEM architectures.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framework models DPU clusters through distributed-memory map and reduce abstractions, abstracting away low-level DMA buffer offsets and thread-block indexing behind C++ templates. Evaluation was performed on 2,048 DPUs across standard linear algebra and graph benchmarks.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Reduces lines of boilerplate code by over 70% while maintaining execution performance within 10% of hand-optimized baseline libraries.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Only supports one-dimensional array abstractions, failing to optimize multi-dimensional tensors or perform intra-DPU loop tiling.</w:t>
      </w:r>
    </w:p>
    <w:p>
      <w:pPr>
        <w:spacing w:before="160" w:after="40"/>
      </w:pPr>
      <w:r>
        <w:rPr>
          <w:rFonts w:ascii="Calibri" w:hAnsi="Calibri"/>
          <w:b/>
          <w:color w:val="0F172A"/>
          <w:sz w:val="21"/>
        </w:rPr>
        <w:t>Paper 5: CINM — A Compilation Infrastructure for Heterogeneous CIM and PNM (Khan et al., 2023) [17]</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CINM, a multi-level intermediate representation framework based on MLIR to compile tensor computations for heterogeneous near-memory and in-memory architectures.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compiler introduces specialized MLIR dialects to capture memory hierarchies, bank arrays, and analog crossbars, applying progressive lowering passes down to target machine code. Experimentation was validated against simulated PIM accelerators and RISC-V co-processors.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Enables functional portability across diverse PIM targets and successfully compiles GEMM, GEMV, and stencil kernels across heterogeneous memory spaces.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Lacks an automated target-selection cost model and autotuning engine to make compiler-guided CPU-versus-NMC offloading decisions.</w:t>
      </w:r>
    </w:p>
    <w:p>
      <w:pPr>
        <w:spacing w:before="160" w:after="40"/>
      </w:pPr>
      <w:r>
        <w:rPr>
          <w:rFonts w:ascii="Calibri" w:hAnsi="Calibri"/>
          <w:b/>
          <w:color w:val="0F172A"/>
          <w:sz w:val="21"/>
        </w:rPr>
        <w:t>Paper 6: Aquabolt-XL HBM2-PIM Architecture and Software Stack (Kim et al., 2021) [5]</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introduced Samsung's commercial prototype architecture embedding programmable SIMD FP16 processing engines inside HBM2 memory layers.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system places PIM execution units directly inside DRAM bank architectures, supporting standard memory read/write commands interleaved with PIM instruction sequences. Experiments were validated on modified deep learning frameworks running speech recognition and NLP models.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Delivers over 2.0× system-level performance improvement and a 70% reduction in memory energy across commercial neural network workloads.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Constrained by proprietary hardware microcode and fixed SIMD instruction sets, lacking open compiler lowering support for arbitrary user loops.</w:t>
      </w:r>
    </w:p>
    <w:p>
      <w:pPr>
        <w:spacing w:before="160" w:after="40"/>
      </w:pPr>
      <w:r>
        <w:rPr>
          <w:rFonts w:ascii="Calibri" w:hAnsi="Calibri"/>
          <w:b/>
          <w:color w:val="0F172A"/>
          <w:sz w:val="21"/>
        </w:rPr>
        <w:t>Paper 7: SparseP — Sparse Matrix-Vector Multiplication on Real PIM (Giannoula et al., 2022) [18]</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SparseP, an efficient, highly tuned SpMV library designed specifically for real-world UPMEM processing-in-DRAM hardware.</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methodology systematically evaluates four sparse matrix storage formats (CSR, COO, BCSR, and dynamic 2D partitionings) across 26 real-world sparse graphs, optimizing load balance and bank-level interleaving on 2,560 DPUs.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Achieves up to 2.3× speedup over state-of-the-art multi-threaded CPU libraries and demonstrates strong scaling across memory channels.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Hardcoded to specific sparse matrix formats with manual thread dispatch, lacking generalized compiler optimization passes.</w:t>
      </w:r>
    </w:p>
    <w:p>
      <w:pPr>
        <w:spacing w:before="160" w:after="40"/>
      </w:pPr>
      <w:r>
        <w:rPr>
          <w:rFonts w:ascii="Calibri" w:hAnsi="Calibri"/>
          <w:b/>
          <w:color w:val="0F172A"/>
          <w:sz w:val="21"/>
        </w:rPr>
        <w:t>Paper 8: SK Hynix Accelerator-in-Memory GDDR6-AiM (Lee et al., 2022) [19]</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developed a 16 Gb/s/pin GDDR6-based accelerator-in-memory architecture supporting 1 TFLOPS in-memory MAC operations for deep learning.</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hardware implements bank-level MAC units and activation function logic directly on DRAM dies with internal 1.25V power rails, evaluated using customized PyTorch execution runtimes.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Demonstrates a 16× throughput improvement for memory-intensive LLM transformer inference layers while reducing system power by over 80%.</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Relies on runtime API offloading without an automated compiler to perform polyhedral analysis or loop transformation.</w:t>
      </w:r>
    </w:p>
    <w:p>
      <w:pPr>
        <w:spacing w:before="160" w:after="40"/>
      </w:pPr>
      <w:r>
        <w:rPr>
          <w:rFonts w:ascii="Calibri" w:hAnsi="Calibri"/>
          <w:b/>
          <w:color w:val="0F172A"/>
          <w:sz w:val="21"/>
        </w:rPr>
        <w:t>Paper 9: Demystifying Commercial PIM Architectures (Hyun et al., 2024) [20]</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provided a comprehensive hardware-level characterization exposing microarchitectural bottlenecks in commercial UPMEM DRAM-PIM systems.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Using hardware microbenchmarks and cycle-level performance counters, the study measures instruction pipeline hazards, branch penalties, WRAM access stalls, and host PCIe bottlenecking.</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Reveals that simple in-order DPU cores suffer severe pipeline stalls from frequent conditional branches and that WRAM bank contention degrades throughput by up to 35%.</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Identifies microarchitectural vulnerabilities but does not provide an automated compiler pass to rewrite branches or optimize memory layouts.</w:t>
      </w:r>
    </w:p>
    <w:p>
      <w:pPr>
        <w:spacing w:before="160" w:after="40"/>
      </w:pPr>
      <w:r>
        <w:rPr>
          <w:rFonts w:ascii="Calibri" w:hAnsi="Calibri"/>
          <w:b/>
          <w:color w:val="0F172A"/>
          <w:sz w:val="21"/>
        </w:rPr>
        <w:t>Paper 10: DietCode — Automatic Optimization for Dynamic Tensor Programs (Zheng et al., 2022) [21]</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a lightweight compiler framework to optimize tensor programs with dynamic shapes by eliminating boundary check branches.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The compiler constructs shape-generic schedule templates and partitions loop iterations into non-boundary fast paths and padded boundary checks. Experimentation was performed using Apache TVM across transformer models on GPUs.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Reduces loop execution overhead by up to 25% for dynamic NLP workloads with fluctuating sequence lengths.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Targets CPU and GPU caching structures, failing to account for PIM memory bank striping or DMA-driven WRAM transfers.</w:t>
      </w:r>
    </w:p>
    <w:p>
      <w:pPr>
        <w:spacing w:before="160" w:after="40"/>
      </w:pPr>
      <w:r>
        <w:rPr>
          <w:rFonts w:ascii="Calibri" w:hAnsi="Calibri"/>
          <w:b/>
          <w:color w:val="0F172A"/>
          <w:sz w:val="21"/>
        </w:rPr>
        <w:t>Paper 11: Ansor — Generating High-Performance Tensor Programs (Zheng et al., 2020) [22]</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a hierarchical search-space exploration framework that automatically generates high-performance tensor kernels without manual schedule templates.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Ansor decomposes programs into mathematical subgraphs, applies evolutionary exploration guided by gradient-boosted cost models, and benchmarks candidates on CPUs and GPUs.</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Outperforms human-tuned libraries (oneDNN, CuDNN) by up to 3.8× across convolutional and transformer neural networks.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Search space assumes monolithic centralized memory hierarchies and cannot model host-device dual-tier memory distribution.</w:t>
      </w:r>
    </w:p>
    <w:p>
      <w:pPr>
        <w:spacing w:before="160" w:after="40"/>
      </w:pPr>
      <w:r>
        <w:rPr>
          <w:rFonts w:ascii="Calibri" w:hAnsi="Calibri"/>
          <w:b/>
          <w:color w:val="0F172A"/>
          <w:sz w:val="21"/>
        </w:rPr>
        <w:t>Paper 12: TensorIR — Abstraction for Tensorized Program Optimization (Feng et al., 2023) [23]</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introduced TensorIR, a modernized tensor-oriented intermediate representation supporting expressive schedule primitives and multi-level tiling.</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TensorIR decouples mathematical computation definitions from hardware-specific scheduling, supporting block-level annotations, thread bindings, and vectorized caching primitives within the TVM stack.</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Enables automatic tensorization for specialized hardware accelerators such as Apple AMX and NVIDIA Tensor Cores with high code compactness.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Does not natively support heterogeneous PIM address translation, per-bank memory scopes, or DPU tasklet abstractions.</w:t>
      </w:r>
    </w:p>
    <w:p>
      <w:pPr>
        <w:spacing w:before="160" w:after="40"/>
      </w:pPr>
      <w:r>
        <w:rPr>
          <w:rFonts w:ascii="Calibri" w:hAnsi="Calibri"/>
          <w:b/>
          <w:color w:val="0F172A"/>
          <w:sz w:val="21"/>
        </w:rPr>
        <w:t>Paper 13: LazyPIM — Efficient Cache Coherence for Processing-in-Memory (Boroumand et al., 2017/2019) [24]</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an efficient, low-overhead hardware-software cache coherence mechanism for near-memory accelerators.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LazyPIM speculatively allows concurrent execution between host CPUs and PIM cores by tracking memory read/write signatures and lazily invalidating host cache lines upon PIM completion.</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Achieves within 2% of the performance of an idealized, zero-overhead coherence mechanism while eliminating redundant snooping traffic across off-chip buses.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Requires non-standard hardware coherence controllers and does not address software-level loop scheduling or compiler vectorization.</w:t>
      </w:r>
    </w:p>
    <w:p>
      <w:pPr>
        <w:spacing w:before="160" w:after="40"/>
      </w:pPr>
      <w:r>
        <w:rPr>
          <w:rFonts w:ascii="Calibri" w:hAnsi="Calibri"/>
          <w:b/>
          <w:color w:val="0F172A"/>
          <w:sz w:val="21"/>
        </w:rPr>
        <w:t>Paper 14: MIMDram — End-to-End Processing-Using-DRAM System (Oliveira et al., 2024) [25]</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designed a programmer-transparent processing-using-DRAM system capable of executing true Multiple-Instruction Multiple-Data (MIMD) workloads directly inside DRAM rows.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MIMDram utilizes charge-sharing properties between DRAM bitlines and sense amplifiers to perform in-memory bulk bitwise logic, accompanied by an LLVM-based compiler backend.</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Delivers 12.5× higher throughput and 28.2× lower energy consumption across diverse data-parallel graph and database workloads.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Restricted to bitwise logic operations and incapable of performing floating-point arithmetic or general C tensor kernels.</w:t>
      </w:r>
    </w:p>
    <w:p>
      <w:pPr>
        <w:spacing w:before="160" w:after="40"/>
      </w:pPr>
      <w:r>
        <w:rPr>
          <w:rFonts w:ascii="Calibri" w:hAnsi="Calibri"/>
          <w:b/>
          <w:color w:val="0F172A"/>
          <w:sz w:val="21"/>
        </w:rPr>
        <w:t>Paper 15: SongC — Compiler for Hybrid Near-Memory Architecture (Lin et al., 2023) [26]</w:t>
      </w:r>
    </w:p>
    <w:p>
      <w:pPr>
        <w:spacing w:line="276" w:lineRule="auto" w:after="60"/>
        <w:ind w:left="216"/>
      </w:pPr>
      <w:r>
        <w:rPr>
          <w:rFonts w:ascii="Calibri" w:hAnsi="Calibri"/>
          <w:b/>
          <w:color w:val="334155"/>
          <w:sz w:val="19"/>
        </w:rPr>
        <w:t xml:space="preserve">• What is the solution author proposed? (3 lines): </w:t>
      </w:r>
      <w:r>
        <w:rPr>
          <w:rFonts w:ascii="Calibri" w:hAnsi="Calibri"/>
          <w:color w:val="475569"/>
          <w:sz w:val="19"/>
        </w:rPr>
        <w:t>The authors proposed an optimizing compiler designed for hybrid computing architectures combining host multi-core CPUs with near-memory many-core accelerators.</w:t>
      </w:r>
    </w:p>
    <w:p>
      <w:pPr>
        <w:spacing w:line="276" w:lineRule="auto" w:after="60"/>
        <w:ind w:left="216"/>
      </w:pPr>
      <w:r>
        <w:rPr>
          <w:rFonts w:ascii="Calibri" w:hAnsi="Calibri"/>
          <w:b/>
          <w:color w:val="334155"/>
          <w:sz w:val="19"/>
        </w:rPr>
        <w:t xml:space="preserve">• Methodology, techniques, simulation/emulation/IDE tools used (2 paragraphs): </w:t>
      </w:r>
      <w:r>
        <w:rPr>
          <w:rFonts w:ascii="Calibri" w:hAnsi="Calibri"/>
          <w:color w:val="475569"/>
          <w:sz w:val="19"/>
        </w:rPr>
        <w:t>SongC performs polyhedral iteration analysis, tiles loops according to memory channel bandwidths, and schedules task synchronization barriers. Validated on an FPGA emulation platform.</w:t>
      </w:r>
    </w:p>
    <w:p>
      <w:pPr>
        <w:spacing w:line="276" w:lineRule="auto" w:after="60"/>
        <w:ind w:left="216"/>
      </w:pPr>
      <w:r>
        <w:rPr>
          <w:rFonts w:ascii="Calibri" w:hAnsi="Calibri"/>
          <w:b/>
          <w:color w:val="334155"/>
          <w:sz w:val="19"/>
        </w:rPr>
        <w:t xml:space="preserve">• Result and effectiveness (3 lines): </w:t>
      </w:r>
      <w:r>
        <w:rPr>
          <w:rFonts w:ascii="Calibri" w:hAnsi="Calibri"/>
          <w:color w:val="475569"/>
          <w:sz w:val="19"/>
        </w:rPr>
        <w:t>Demonstrates 1.8× average speedup over host-only execution on memory-bound stencil and dense algebra routines.</w:t>
      </w:r>
    </w:p>
    <w:p>
      <w:pPr>
        <w:spacing w:line="276" w:lineRule="auto" w:after="60"/>
        <w:ind w:left="216"/>
      </w:pPr>
      <w:r>
        <w:rPr>
          <w:rFonts w:ascii="Calibri" w:hAnsi="Calibri"/>
          <w:b/>
          <w:color w:val="334155"/>
          <w:sz w:val="19"/>
        </w:rPr>
        <w:t xml:space="preserve">• Research gap (1 line): </w:t>
      </w:r>
      <w:r>
        <w:rPr>
          <w:rFonts w:ascii="Calibri" w:hAnsi="Calibri"/>
          <w:color w:val="475569"/>
          <w:sz w:val="19"/>
        </w:rPr>
        <w:t>Relies on simplified cache assumptions and does not model DRAM row-buffer hit/conflict timing or PCIe DMA packetization.</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top w:val="none"/>
              <w:bottom w:val="none"/>
              <w:left w:val="single" w:sz="12" w:space="0" w:color="0F766E"/>
              <w:right w:val="none"/>
            </w:tcBorders>
          </w:tcPr>
          <w:p>
            <w:pPr>
              <w:spacing w:before="0" w:after="40" w:line="276" w:lineRule="auto"/>
            </w:pPr>
            <w:r>
              <w:rPr>
                <w:rFonts w:ascii="Calibri" w:hAnsi="Calibri"/>
                <w:b/>
                <w:color w:val="0F766E"/>
                <w:sz w:val="19"/>
              </w:rPr>
              <w:t xml:space="preserve">WORKBENCH POSITIONING: </w:t>
            </w:r>
            <w:r>
              <w:rPr>
                <w:rFonts w:ascii="Calibri" w:hAnsi="Calibri"/>
                <w:color w:val="1E293B"/>
                <w:sz w:val="19"/>
              </w:rPr>
              <w:t>Distinction from Related Work: Unlike CAIRO (limited to atomic instructions) and IMTP (heavyweight autotuning compiler on physical UPMEM), NMC-Opt Studio is an educational and analytical compiler workbench. It provides transparent intermediate representation inspection, multi-component cost modeling, and interactive parameter exploration without requiring proprietary PIM hardware.</w:t>
            </w:r>
          </w:p>
        </w:tc>
      </w:tr>
    </w:tbl>
    <w:p>
      <w:pPr>
        <w:spacing w:after="80"/>
      </w:pPr>
    </w:p>
    <w:p>
      <w:pPr>
        <w:spacing w:before="280" w:after="80"/>
      </w:pPr>
      <w:r>
        <w:rPr>
          <w:rFonts w:ascii="Calibri" w:hAnsi="Calibri"/>
          <w:b/>
          <w:color w:val="0284C7"/>
          <w:sz w:val="26"/>
        </w:rPr>
        <w:t>3. PROPOSED WORK / SYSTEM (NMC-OPT STUDIO)</w:t>
      </w:r>
    </w:p>
    <w:p>
      <w:pPr>
        <w:spacing w:line="276" w:lineRule="auto" w:after="80"/>
      </w:pPr>
      <w:r>
        <w:rPr>
          <w:rFonts w:ascii="Calibri" w:hAnsi="Calibri"/>
          <w:b/>
          <w:sz w:val="20"/>
        </w:rPr>
        <w:t>• Problem formulation (Paragraph 1):</w:t>
        <w:br/>
      </w:r>
      <w:r>
        <w:rPr>
          <w:rFonts w:ascii="Calibri" w:hAnsi="Calibri"/>
          <w:sz w:val="20"/>
        </w:rPr>
        <w:t>We formalize the compiler target-selection optimization problem as a multi-objective cost minimization over a set of executable placement candidates C = {C_cpu, C_nmc_direct, C_nmc_fused, C_nmc_tiled}. Given an ingested loop kernel L characterized by iteration trip count N, arithmetic operations count O(N), bytes read B_r(N), bytes written B_w(N), and memory stride pattern S, the compiler must select the target strategy c* in C that minimizes the total estimated execution latency T_total(c, N) under hardware parameters Theta.</w:t>
      </w:r>
    </w:p>
    <w:p>
      <w:pPr>
        <w:spacing w:line="276" w:lineRule="auto" w:after="160"/>
      </w:pPr>
      <w:r>
        <w:rPr>
          <w:rFonts w:ascii="Calibri" w:hAnsi="Calibri"/>
          <w:b/>
          <w:sz w:val="20"/>
        </w:rPr>
        <w:t>• Problem formulation (Paragraph 2):</w:t>
        <w:br/>
      </w:r>
      <w:r>
        <w:rPr>
          <w:rFonts w:ascii="Calibri" w:hAnsi="Calibri"/>
          <w:sz w:val="20"/>
        </w:rPr>
        <w:t>Crucially, the objective function cannot simply evaluate in-situ compute capability. Instead, it must account for data movement: T_total(c, N) = T_comp(c, N) + T_link(c, N) + T_layout(c, N) + T_sync(c, N). For conventional CPU execution, link transfer and layout transformation are zero, but effective memory bandwidth is constrained by off-chip memory bus limits (e.g. DDR4/DDR5 channels). For near-memory execution, memory bandwidth is amplified by internal DRAM bank connectivity, but the compiler must pay explicit penalties for interconnect link dispatch (PCIe/CXL), buffer reallocation, and synchronization barriers. The compiler's goal is to statically determine whether the problem size N satisfies the crossover condition N &gt;= N_crossover, where aggregate bandwidth gains outweigh link transfer penalties.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8" w:space="0" w:color="0284C7"/>
              <w:bottom w:val="single" w:sz="8" w:space="0" w:color="0284C7"/>
              <w:left w:val="single" w:sz="8" w:space="0" w:color="0284C7"/>
              <w:right w:val="single" w:sz="8" w:space="0" w:color="0284C7"/>
            </w:tcBorders>
          </w:tcPr>
          <w:p>
            <w:pPr>
              <w:spacing w:before="0" w:after="80"/>
              <w:jc w:val="left"/>
            </w:pPr>
            <w:r>
              <w:rPr>
                <w:rFonts w:ascii="Calibri" w:hAnsi="Calibri"/>
                <w:b/>
                <w:color w:val="0284C7"/>
                <w:sz w:val="21"/>
              </w:rPr>
              <w:t>FIGURE 1: NMC-Opt Studio Software Architecture and Component Interaction</w:t>
            </w:r>
          </w:p>
          <w:p>
            <w:pPr>
              <w:spacing w:before="40" w:after="40" w:line="252" w:lineRule="auto"/>
            </w:pPr>
            <w:r>
              <w:rPr>
                <w:rFonts w:ascii="Consolas" w:hAnsi="Consolas"/>
                <w:color w:val="0F172A"/>
                <w:sz w:val="17"/>
              </w:rPr>
              <w:t>+---------------------------------------------------------------------------------------------------------+</w:t>
              <w:br/>
              <w:t>|                                    FRONTEND WORKBENCH (React 18 + Vite)                                 |</w:t>
              <w:br/>
              <w:t>|  +--------------------+  +--------------------+  +--------------------+  +----------------------------+ |</w:t>
              <w:br/>
              <w:t>|  |   WorkbenchView    |  |    AnalyticsView   |  |    PipelineView    |  |     MemoryLayoutView       | |</w:t>
              <w:br/>
              <w:t>|  | - Kernel Selector  |  | - Latency Scaling  |  | - 7-Stage Pipeline |  | - Bank Striping vs Stride  | |</w:t>
              <w:br/>
              <w:t>|  | - N Slider / Input |  | - Component Bars   |  | - Transform Status |  | - Row Hit / Conflict Rate  | |</w:t>
              <w:br/>
              <w:t>|  | - Candidate Cards  |  | - Sensitivity Plot |  | - Legality Badges  |  | - Visual Memory Map        | |</w:t>
              <w:br/>
              <w:t>|  +--------------------+  +--------------------+  +--------------------+  +----------------------------+ |</w:t>
              <w:br/>
              <w:t>+---------------------------------------------------------------------------------------------------------+</w:t>
              <w:br/>
              <w:t xml:space="preserve">                                                    |                                                      </w:t>
              <w:br/>
              <w:t xml:space="preserve">                                     HTTP / JSON REST API (/api/analyze)                                   </w:t>
              <w:br/>
              <w:t xml:space="preserve">                                                    v                                                      </w:t>
              <w:br/>
              <w:t>+---------------------------------------------------------------------------------------------------------+</w:t>
              <w:br/>
              <w:t>|                                    BACKEND ENGINE (FastAPI + Pydantic)                                  |</w:t>
              <w:br/>
              <w:t>|  +---------------------+  +---------------------+  +---------------------+  +-------------------------+ |</w:t>
              <w:br/>
              <w:t>|  |   KernelAnalyzer    |  |     IRGenerator     |  | AnalyticalCostModel |  |   NMCOptimizerEngine    | |</w:t>
              <w:br/>
              <w:t>|  | - Loop Bounds Regex |  | - 3-Address Code    |  | - CPU Compute/Memory|  | - Pipeline Coordinator  | |</w:t>
              <w:br/>
              <w:t>|  | - Op / Byte Counter |  | - Phi Nodes &amp; GEPs  |  | - Link DMA Overhead |  | - Strategy Comparator   | |</w:t>
              <w:br/>
              <w:t>|  | - AI Profiler       |  | - Load/Store/Branch |  | - Layout &amp; Barrier  |  | - Recommendation Gating | |</w:t>
              <w:br/>
              <w:t>|  | - Legality Evaluator|  | - SSA-like Form     |  | - Crossover Solver  |  | - Assumptions Packaging | |</w:t>
              <w:br/>
              <w:t>|  +---------------------+  +---------------------+  +---------------------+  +-------------------------+ |</w:t>
              <w:br/>
              <w:t>+---------------------------------------------------------------------------------------------------------+</w:t>
            </w:r>
          </w:p>
          <w:p>
            <w:pPr>
              <w:spacing w:before="80" w:after="0"/>
            </w:pPr>
            <w:r>
              <w:rPr>
                <w:rFonts w:ascii="Calibri" w:hAnsi="Calibri"/>
                <w:i/>
                <w:color w:val="475569"/>
                <w:sz w:val="18"/>
              </w:rPr>
              <w:t>Figure 1: High-level architectural block diagram of NMC-Opt Studio illustrating decoupling of the React/Vite interactive presentation tier and the FastAPI compiler analysis engine.</w:t>
            </w:r>
          </w:p>
        </w:tc>
      </w:tr>
    </w:tbl>
    <w:p>
      <w:pPr>
        <w:spacing w:after="120"/>
      </w:pPr>
    </w:p>
    <w:p>
      <w:pPr>
        <w:spacing w:line="276" w:lineRule="auto" w:after="160"/>
      </w:pPr>
      <w:r>
        <w:rPr>
          <w:rFonts w:ascii="Calibri" w:hAnsi="Calibri"/>
          <w:b/>
          <w:sz w:val="20"/>
        </w:rPr>
        <w:t>• Explanation about system's architecture (2 paragraphs):</w:t>
        <w:br/>
      </w:r>
      <w:r>
        <w:rPr>
          <w:rFonts w:ascii="Calibri" w:hAnsi="Calibri"/>
          <w:sz w:val="20"/>
        </w:rPr>
        <w:t>Referring to Figure 1, the NMC-Opt Studio architecture is partitioned into two cooperating subsystems: an interactive client-side presentation workbench and a modular analytical compiler backend. The frontend is constructed using React 18, Vite, TypeScript, and TailwindCSS, incorporating Recharts for responsive scientific data visualization. The user interface exposes five dedicated views: the WorkbenchView for interactive kernel selection, problem size scaling, and strategy comparison; the AnalyticsView for log-scale latency plots, component breakdowns, and bandwidth sensitivity curves; the PipelineView for inspecting compiler lowering stages; the MemoryLayoutView for visualizing DRAM bank interleaving; and the BenchmarkSuiteView for comparative cataloging. In addition, an interactive Compiler Copilot console provides contextual natural-language explanations of optimization decisions.</w:t>
        <w:br/>
        <w:br/>
        <w:t>The backend is developed in Python 3.12 utilizing FastAPI and Pydantic for high-performance schema validation and asynchronous execution. When an analysis request is dispatched from the frontend, it is processed through four pipelined modules: the KernelAnalyzer performs static parsing of loop bounds and memory accesses; the IRGenerator synthesizes a simplified SSA-like intermediate representation; the AnalyticalCostModel calculates compute, link, layout, and synchronization latencies; and the NMCOptimizerEngine aggregates candidate evaluations into a verified recommendation. Crucially, the entire system is designed for transparent analytical exploration: all equations, constants, and assumptions are fully exposed to the user.</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8" w:space="0" w:color="0284C7"/>
              <w:bottom w:val="single" w:sz="8" w:space="0" w:color="0284C7"/>
              <w:left w:val="single" w:sz="8" w:space="0" w:color="0284C7"/>
              <w:right w:val="single" w:sz="8" w:space="0" w:color="0284C7"/>
            </w:tcBorders>
          </w:tcPr>
          <w:p>
            <w:pPr>
              <w:spacing w:before="0" w:after="80"/>
              <w:jc w:val="left"/>
            </w:pPr>
            <w:r>
              <w:rPr>
                <w:rFonts w:ascii="Calibri" w:hAnsi="Calibri"/>
                <w:b/>
                <w:color w:val="0284C7"/>
                <w:sz w:val="21"/>
              </w:rPr>
              <w:t>FIGURE 2: NMC-Opt Studio Compiler Analysis and Decision Workflow</w:t>
            </w:r>
          </w:p>
          <w:p>
            <w:pPr>
              <w:spacing w:before="40" w:after="40" w:line="252" w:lineRule="auto"/>
            </w:pPr>
            <w:r>
              <w:rPr>
                <w:rFonts w:ascii="Consolas" w:hAnsi="Consolas"/>
                <w:color w:val="0F172A"/>
                <w:sz w:val="17"/>
              </w:rPr>
              <w:t xml:space="preserve">  [Input Kernel: Builtin / Custom C-like Code]                                                      </w:t>
              <w:br/>
              <w:t xml:space="preserve">                       |                                                                            </w:t>
              <w:br/>
              <w:t xml:space="preserve">                       v                                                                            </w:t>
              <w:br/>
              <w:t xml:space="preserve">  [Stage 1: Validation &amp; Pattern Matching Parser]                                                   </w:t>
              <w:br/>
              <w:t xml:space="preserve">       - Extract trip count N, arithmetic ops, array reads/writes, reduction pattern               </w:t>
              <w:br/>
              <w:t xml:space="preserve">                       |                                                                            </w:t>
              <w:br/>
              <w:t xml:space="preserve">                       v                                                                            </w:t>
              <w:br/>
              <w:t xml:space="preserve">  [Stage 2: Kernel Characterization &amp; Arithmetic Intensity Profiling]                               </w:t>
              <w:br/>
              <w:t xml:space="preserve">       - Calculate AI = FLOPs / Total Bytes; classify as Memory-Bound (AI &lt; 1.0) or Compute-Bound   </w:t>
              <w:br/>
              <w:t xml:space="preserve">                       |                                                                            </w:t>
              <w:br/>
              <w:t xml:space="preserve">                       v                                                                            </w:t>
              <w:br/>
              <w:t xml:space="preserve">  [Stage 3: Simplified SSA Intermediate Representation Generation]                                  </w:t>
              <w:br/>
              <w:t xml:space="preserve">       - Synthesize basic blocks (entry, loop.cond, loop.body, loop.inc, exit) with phi nodes       </w:t>
              <w:br/>
              <w:t xml:space="preserve">                       |                                                                            </w:t>
              <w:br/>
              <w:t xml:space="preserve">                       v                                                                            </w:t>
              <w:br/>
              <w:t xml:space="preserve">  [Stage 4: Transformation Legality Verification]                                                   </w:t>
              <w:br/>
              <w:t xml:space="preserve">       - Loop Fusion: Eligible if pointwise; Ineligible if reduction dependency                    </w:t>
              <w:br/>
              <w:t xml:space="preserve">       - Loop Tiling: Eligible if 2D/matrix reuse (GEMV); Ineligible for 1D streaming              </w:t>
              <w:br/>
              <w:t xml:space="preserve">       - Bank Interleaving: Evaluated for multi-bank PIM distribution                              </w:t>
              <w:br/>
              <w:t xml:space="preserve">                       |                                                                            </w:t>
              <w:br/>
              <w:t xml:space="preserve">                       v                                                                            </w:t>
              <w:br/>
              <w:t xml:space="preserve">  [Stage 5: Multi-Component Analytical Cost Evaluation]                                             </w:t>
              <w:br/>
              <w:t xml:space="preserve">       - Compute T_cpu, T_nmc_direct, T_nmc_fused, T_nmc_tiled across compute, link, layout, sync   </w:t>
              <w:br/>
              <w:t xml:space="preserve">                       |                                                                            </w:t>
              <w:br/>
              <w:t xml:space="preserve">                       v                                                                            </w:t>
              <w:br/>
              <w:t xml:space="preserve">  [Stage 6: Target Selection &amp; Crossover Threshold Solving]                                         </w:t>
              <w:br/>
              <w:t xml:space="preserve">       - Calculate N_crossover; Pick candidate with minimum T_total; Generate Rationale            </w:t>
              <w:br/>
              <w:t xml:space="preserve">                       |                                                                            </w:t>
              <w:br/>
              <w:t xml:space="preserve">                       v                                                                            </w:t>
              <w:br/>
              <w:t xml:space="preserve">  [Stage 7: Interactive Output Generation]                                                          </w:t>
              <w:br/>
              <w:t xml:space="preserve">       - Emit Strategy Recommendation, Speedup, Cost Breakdown, Scaling Curves, and Visuals       </w:t>
            </w:r>
          </w:p>
          <w:p>
            <w:pPr>
              <w:spacing w:before="80" w:after="0"/>
            </w:pPr>
            <w:r>
              <w:rPr>
                <w:rFonts w:ascii="Calibri" w:hAnsi="Calibri"/>
                <w:i/>
                <w:color w:val="475569"/>
                <w:sz w:val="18"/>
              </w:rPr>
              <w:t>Figure 2: Sequential execution stages of the compiler optimization and decision pipeline implemented in NMCOptimizerEngine.</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8" w:space="0" w:color="0284C7"/>
              <w:bottom w:val="single" w:sz="8" w:space="0" w:color="0284C7"/>
              <w:left w:val="single" w:sz="8" w:space="0" w:color="0284C7"/>
              <w:right w:val="single" w:sz="8" w:space="0" w:color="0284C7"/>
            </w:tcBorders>
          </w:tcPr>
          <w:p>
            <w:pPr>
              <w:spacing w:before="0" w:after="80"/>
              <w:jc w:val="left"/>
            </w:pPr>
            <w:r>
              <w:rPr>
                <w:rFonts w:ascii="Calibri" w:hAnsi="Calibri"/>
                <w:b/>
                <w:color w:val="0284C7"/>
                <w:sz w:val="21"/>
              </w:rPr>
              <w:t>FIGURE 3: Memory Layout Rearrangement and DRAM Bank Interleaving Model</w:t>
            </w:r>
          </w:p>
          <w:p>
            <w:pPr>
              <w:spacing w:before="40" w:after="40" w:line="252" w:lineRule="auto"/>
            </w:pPr>
            <w:r>
              <w:rPr>
                <w:rFonts w:ascii="Consolas" w:hAnsi="Consolas"/>
                <w:color w:val="0F172A"/>
                <w:sz w:val="17"/>
              </w:rPr>
              <w:t>+---------------------------------------------------------------------------------------------------+</w:t>
              <w:br/>
              <w:t>| (a) UNOPTIMIZED SEQUENTIAL / STRIDED LAYOUT (Severe Bank Conflicts):                               |</w:t>
              <w:br/>
              <w:t>| Address:    0x0000        0x0040        0x0400 (Stride)     0x0440                                |</w:t>
              <w:br/>
              <w:t>| Mapping:    Bank 0 (Row 10)  Bank 1 (Row 10)  Bank 0 (Row 25)  Bank 1 (Row 25)                    |</w:t>
              <w:br/>
              <w:t>| Behavior:   Consecutive accesses collide on Bank 0 with different open rows!                      |</w:t>
              <w:br/>
              <w:t>| Penalty:    Triggers Row Precharge (t_RP) + Row Activate (t_RCD) = 45 ns latency per conflict.    |</w:t>
              <w:br/>
              <w:t>+---------------------------------------------------------------------------------------------------+</w:t>
              <w:br/>
              <w:t xml:space="preserve">                                                  |                                                  </w:t>
              <w:br/>
              <w:t xml:space="preserve">                 Compiler Pass: Apply Stride-Aligned Layout Conversion (T_layout)                   </w:t>
              <w:br/>
              <w:t xml:space="preserve">                                                  v                                                  </w:t>
              <w:br/>
              <w:t>+---------------------------------------------------------------------------------------------------+</w:t>
              <w:br/>
              <w:t>| (b) NMC-OPT BANK-INTERLEAVED &amp; PADDED LAYOUT (Zero Bank Conflicts):                               |</w:t>
              <w:br/>
              <w:t>| Bank 0:     [ Slice 0: A[0..k-1]   ] ===&gt; Dedicated TSV Channel (64 GB/s) -&gt; DPU 0 Local WRAM    |</w:t>
              <w:br/>
              <w:t>| Bank 1:     [ Slice 1: A[k..2k-1]  ] ===&gt; Dedicated TSV Channel (64 GB/s) -&gt; DPU 1 Local WRAM    |</w:t>
              <w:br/>
              <w:t>| Bank 2:     [ Slice 2: A[2k..3k-1] ] ===&gt; Dedicated TSV Channel (64 GB/s) -&gt; DPU 2 Local WRAM    |</w:t>
              <w:br/>
              <w:t>| ...                                                                                               |</w:t>
              <w:br/>
              <w:t>| Bank 15:    [ Slice 15: A[15k..N]  ] ===&gt; Dedicated TSV Channel (64 GB/s) -&gt; DPU 15 Local WRAM   |</w:t>
              <w:br/>
              <w:t>| Behavior:   All 16 Banks accessed in parallel; Row buffers remain open; t_CL = 13.75 ns.          |</w:t>
              <w:br/>
              <w:t>+---------------------------------------------------------------------------------------------------+</w:t>
            </w:r>
          </w:p>
          <w:p>
            <w:pPr>
              <w:spacing w:before="80" w:after="0"/>
            </w:pPr>
            <w:r>
              <w:rPr>
                <w:rFonts w:ascii="Calibri" w:hAnsi="Calibri"/>
                <w:i/>
                <w:color w:val="475569"/>
                <w:sz w:val="18"/>
              </w:rPr>
              <w:t>Figure 3: Modeling physical DRAM bank conflicts under sequential addressing versus compiler-padded bank interleaving.</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8" w:space="0" w:color="0284C7"/>
              <w:bottom w:val="single" w:sz="8" w:space="0" w:color="0284C7"/>
              <w:left w:val="single" w:sz="8" w:space="0" w:color="0284C7"/>
              <w:right w:val="single" w:sz="8" w:space="0" w:color="0284C7"/>
            </w:tcBorders>
          </w:tcPr>
          <w:p>
            <w:pPr>
              <w:spacing w:before="0" w:after="80"/>
              <w:jc w:val="left"/>
            </w:pPr>
            <w:r>
              <w:rPr>
                <w:rFonts w:ascii="Calibri" w:hAnsi="Calibri"/>
                <w:b/>
                <w:color w:val="0284C7"/>
                <w:sz w:val="21"/>
              </w:rPr>
              <w:t>FIGURE 4: Loop Transformation and Boundary Elimination Pipeline (IMTP-Inspired)</w:t>
            </w:r>
          </w:p>
          <w:p>
            <w:pPr>
              <w:spacing w:before="40" w:after="40" w:line="252" w:lineRule="auto"/>
            </w:pPr>
            <w:r>
              <w:rPr>
                <w:rFonts w:ascii="Consolas" w:hAnsi="Consolas"/>
                <w:color w:val="0F172A"/>
                <w:sz w:val="17"/>
              </w:rPr>
              <w:t xml:space="preserve">Stage A: Baseline Lowered Loop with Naive Boundary Checks                                            </w:t>
              <w:br/>
              <w:t xml:space="preserve">  for (int k = 0; k &lt; 16; ++k) {                                                                    </w:t>
              <w:br/>
              <w:t xml:space="preserve">      if (boundary_k &amp;&amp; boundary_i) { C[k] = A[k] + B[k]; } // 288 branches; severe DPU pipeline stall</w:t>
              <w:br/>
              <w:t xml:space="preserve">  }                                                                                                 </w:t>
              <w:br/>
              <w:t xml:space="preserve">                       |                                                                            </w:t>
              <w:br/>
              <w:t xml:space="preserve">                       v  Pass 1: DMA-Aware Boundary Elimination (Pad buffers to tile multiple B)    </w:t>
              <w:br/>
              <w:t xml:space="preserve">Stage B: Vectorized Bulk DMA Transfer                                                               </w:t>
              <w:br/>
              <w:t xml:space="preserve">  mram_read(A_local, 16); mram_read(B_local, 16); // Branches reduced to 96; bulk transfers enabled </w:t>
              <w:br/>
              <w:t xml:space="preserve">                       |                                                                            </w:t>
              <w:br/>
              <w:t xml:space="preserve">                       v  Pass 2: Loop-Bound Tightening (Intersect affine inequalities)             </w:t>
              <w:br/>
              <w:t xml:space="preserve">Stage C: Tightened Loop Limit                                                                       </w:t>
              <w:br/>
              <w:t xml:space="preserve">  int k_max = min(16, N_slice - base); for (int k = 0; k &lt; k_max; ++k) { ... } // Dead cycles pruned</w:t>
              <w:br/>
              <w:t xml:space="preserve">                       |                                                                            </w:t>
              <w:br/>
              <w:t xml:space="preserve">                       v  Pass 3: Invariant Branch Hoisting (Lift outer induction invariants)        </w:t>
              <w:br/>
              <w:t xml:space="preserve">Stage D: Hoisted Invariant Fast-Path                                                                </w:t>
              <w:br/>
              <w:t xml:space="preserve">  if (boundary_i) { for (int j = 0; j &lt; 3; ++j) { mram_read(...); } } // Only 2 branches remain!    </w:t>
            </w:r>
          </w:p>
          <w:p>
            <w:pPr>
              <w:spacing w:before="80" w:after="0"/>
            </w:pPr>
            <w:r>
              <w:rPr>
                <w:rFonts w:ascii="Calibri" w:hAnsi="Calibri"/>
                <w:i/>
                <w:color w:val="475569"/>
                <w:sz w:val="18"/>
              </w:rPr>
              <w:t>Figure 4: Algorithmic transformation stages modeled by the compiler to eliminate control-flow hazards on in-order DPU execution cores.</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8" w:space="0" w:color="0284C7"/>
              <w:bottom w:val="single" w:sz="8" w:space="0" w:color="0284C7"/>
              <w:left w:val="single" w:sz="8" w:space="0" w:color="0284C7"/>
              <w:right w:val="single" w:sz="8" w:space="0" w:color="0284C7"/>
            </w:tcBorders>
          </w:tcPr>
          <w:p>
            <w:pPr>
              <w:spacing w:before="0" w:after="80"/>
              <w:jc w:val="left"/>
            </w:pPr>
            <w:r>
              <w:rPr>
                <w:rFonts w:ascii="Calibri" w:hAnsi="Calibri"/>
                <w:b/>
                <w:color w:val="0284C7"/>
                <w:sz w:val="21"/>
              </w:rPr>
              <w:t>FIGURE 5: Multi-Component Execution Cost Breakdown Comparison</w:t>
            </w:r>
          </w:p>
          <w:p>
            <w:pPr>
              <w:spacing w:before="40" w:after="40" w:line="252" w:lineRule="auto"/>
            </w:pPr>
            <w:r>
              <w:rPr>
                <w:rFonts w:ascii="Consolas" w:hAnsi="Consolas"/>
                <w:color w:val="0F172A"/>
                <w:sz w:val="17"/>
              </w:rPr>
              <w:t>+---------------------------------------------------------------------------------------------------+</w:t>
              <w:br/>
              <w:t>| Strategy 1: Host CPU-Only Execution                                                               |</w:t>
              <w:br/>
              <w:t>| [ T_comp (Compute) ] [                     T_mem (Host DDR4 Memory Bus Access)                  ] |</w:t>
              <w:br/>
              <w:t>| ===&gt; Memory bus access dominates (&gt;90% of total latency for streaming kernels)                     |</w:t>
              <w:br/>
              <w:t>+---------------------------------------------------------------------------------------------------+</w:t>
              <w:br/>
              <w:t>+---------------------------------------------------------------------------------------------------+</w:t>
              <w:br/>
              <w:t>| Strategy 2: Direct Near-Memory Computing (NMC) Offload                                            |</w:t>
              <w:br/>
              <w:t>| [T_comp] [T_int_mem] [  T_h2n (Host-to-NMC)  ] [  T_n2h (NMC-to-Host)  ] [T_layout] [T_sync]     |</w:t>
              <w:br/>
              <w:t>| ===&gt; In-memory access is ultra-fast; link transfers and fixed dispatch overheads dominate         |</w:t>
              <w:br/>
              <w:t>+---------------------------------------------------------------------------------------------------+</w:t>
              <w:br/>
              <w:t>+---------------------------------------------------------------------------------------------------+</w:t>
              <w:br/>
              <w:t>| Strategy 3: NMC + Loop Fusion / Bank Tiling                                                       |</w:t>
              <w:br/>
              <w:t>| [T_comp] [T_fused_mem] [ T_fused_link ] [ T_n2h ] [T_fused_layout] [T_sync]                      |</w:t>
              <w:br/>
              <w:t>| ===&gt; Eliminates intermediate DRAM round-trips and maximizes bank-local buffer reuse               |</w:t>
              <w:br/>
              <w:t>+---------------------------------------------------------------------------------------------------+</w:t>
            </w:r>
          </w:p>
          <w:p>
            <w:pPr>
              <w:spacing w:before="80" w:after="0"/>
            </w:pPr>
            <w:r>
              <w:rPr>
                <w:rFonts w:ascii="Calibri" w:hAnsi="Calibri"/>
                <w:i/>
                <w:color w:val="475569"/>
                <w:sz w:val="18"/>
              </w:rPr>
              <w:t>Figure 5: Structural comparison of latency components modeled by the analytical cost engine across candidate strategies.</w:t>
            </w:r>
          </w:p>
        </w:tc>
      </w:tr>
    </w:tbl>
    <w:p>
      <w:pPr>
        <w:spacing w:after="120"/>
      </w:pPr>
    </w:p>
    <w:p>
      <w:pPr>
        <w:spacing w:before="160" w:after="40"/>
      </w:pPr>
      <w:r>
        <w:rPr>
          <w:rFonts w:ascii="Calibri" w:hAnsi="Calibri"/>
          <w:b/>
          <w:color w:val="0F172A"/>
          <w:sz w:val="22"/>
        </w:rPr>
        <w:t>• Detailed Methodology, Modules, and Functions:</w:t>
      </w:r>
    </w:p>
    <w:p>
      <w:pPr>
        <w:spacing w:line="276" w:lineRule="auto" w:after="60"/>
        <w:ind w:left="216"/>
      </w:pPr>
      <w:r>
        <w:rPr>
          <w:rFonts w:ascii="Calibri" w:hAnsi="Calibri"/>
          <w:b/>
          <w:color w:val="0284C7"/>
          <w:sz w:val="19"/>
        </w:rPr>
        <w:t xml:space="preserve">• KernelAnalyzer (analyzer.py): </w:t>
      </w:r>
      <w:r>
        <w:rPr>
          <w:rFonts w:ascii="Calibri" w:hAnsi="Calibri"/>
          <w:color w:val="334155"/>
          <w:sz w:val="19"/>
        </w:rPr>
        <w:t>Responsible for static code inspection without execution. For built-in workloads, it provides verified mathematical operation counts and memory footprints. For custom C-like source code, it uses regular-expression pattern matching to extract loop induction variables, trip counts, arithmetic operator counts (+, -, *, /, &gt;, &lt;, ==), array load/store access patterns (e.g. A[i], B[i]), and reduction accumulation variables (e.g. sum += ...). It computes total bytes moved and arithmetic intensity (AI = FLOPs / total_bytes). Additionally, it evaluates compiler transformation legality for loop fusion, loop tiling, and bank interleaving.</w:t>
      </w:r>
    </w:p>
    <w:p>
      <w:pPr>
        <w:spacing w:line="276" w:lineRule="auto" w:after="60"/>
        <w:ind w:left="216"/>
      </w:pPr>
      <w:r>
        <w:rPr>
          <w:rFonts w:ascii="Calibri" w:hAnsi="Calibri"/>
          <w:b/>
          <w:color w:val="0284C7"/>
          <w:sz w:val="19"/>
        </w:rPr>
        <w:t xml:space="preserve">• IRGenerator (ir.py): </w:t>
      </w:r>
      <w:r>
        <w:rPr>
          <w:rFonts w:ascii="Calibri" w:hAnsi="Calibri"/>
          <w:color w:val="334155"/>
          <w:sz w:val="19"/>
        </w:rPr>
        <w:t>Constructs an explicit, human-readable three-address code intermediate representation structured in Single Static Assignment (SSA) style. It models basic blocks (entry, loop.cond, loop.body, loop.inc, exit), phi nodes for induction and accumulator registers, getelementptr (gep) instructions for address computation, load/store operations, floating-point arithmetic (fadd, fmul), comparison/select instructions, and branch control flow. While not an executable machine code compiler, it serves as an educational intermediate abstraction demonstrating compiler lowering.</w:t>
      </w:r>
    </w:p>
    <w:p>
      <w:pPr>
        <w:spacing w:line="276" w:lineRule="auto" w:after="60"/>
        <w:ind w:left="216"/>
      </w:pPr>
      <w:r>
        <w:rPr>
          <w:rFonts w:ascii="Calibri" w:hAnsi="Calibri"/>
          <w:b/>
          <w:color w:val="0284C7"/>
          <w:sz w:val="19"/>
        </w:rPr>
        <w:t xml:space="preserve">• AnalyticalCostModel (cost_model.py): </w:t>
      </w:r>
      <w:r>
        <w:rPr>
          <w:rFonts w:ascii="Calibri" w:hAnsi="Calibri"/>
          <w:color w:val="334155"/>
          <w:sz w:val="19"/>
        </w:rPr>
        <w:t>Implements the first-principles mathematical latency formulas in milliseconds (ms). It evaluates the four candidate placement strategies (CPU-only, Direct NMC, NMC + Fusion, NMC + Tiling), computes component breakdowns, generates dynamic problem-size scaling series and bandwidth sensitivity sweeps, and calculates the exact analytical crossover workload threshold.</w:t>
      </w:r>
    </w:p>
    <w:p>
      <w:pPr>
        <w:spacing w:line="276" w:lineRule="auto" w:after="60"/>
        <w:ind w:left="216"/>
      </w:pPr>
      <w:r>
        <w:rPr>
          <w:rFonts w:ascii="Calibri" w:hAnsi="Calibri"/>
          <w:b/>
          <w:color w:val="0284C7"/>
          <w:sz w:val="19"/>
        </w:rPr>
        <w:t xml:space="preserve">• NMCOptimizerEngine (optimizer.py): </w:t>
      </w:r>
      <w:r>
        <w:rPr>
          <w:rFonts w:ascii="Calibri" w:hAnsi="Calibri"/>
          <w:color w:val="334155"/>
          <w:sz w:val="19"/>
        </w:rPr>
        <w:t>The central orchestration engine. It coordinates the execution pipeline from input validation through analysis, IR generation, cost modeling, strategy recommendation, and assumption packaging, emitting structured JSON responses compliant with OpenAPI specifications.</w:t>
      </w:r>
    </w:p>
    <w:p>
      <w:pPr>
        <w:spacing w:line="276" w:lineRule="auto" w:after="60"/>
        <w:ind w:left="216"/>
      </w:pPr>
      <w:r>
        <w:rPr>
          <w:rFonts w:ascii="Calibri" w:hAnsi="Calibri"/>
          <w:b/>
          <w:color w:val="0284C7"/>
          <w:sz w:val="19"/>
        </w:rPr>
        <w:t xml:space="preserve">• Benchmarks Catalog (benchmarks.py): </w:t>
      </w:r>
      <w:r>
        <w:rPr>
          <w:rFonts w:ascii="Calibri" w:hAnsi="Calibri"/>
          <w:color w:val="334155"/>
          <w:sz w:val="19"/>
        </w:rPr>
        <w:t>Maintains metadata, source code templates, default problem sizes, arithmetic intensities, and access patterns for five core workloads: Vector Addition (VADD), Sum Reduction, ReLU Activation, Matrix-Vector Multiplication (GEMV), and Fused Scaled Addition (AXPY).</w:t>
      </w:r>
    </w:p>
    <w:p>
      <w:pPr>
        <w:spacing w:line="276" w:lineRule="auto" w:after="60"/>
        <w:ind w:left="216"/>
      </w:pPr>
      <w:r>
        <w:rPr>
          <w:rFonts w:ascii="Calibri" w:hAnsi="Calibri"/>
          <w:b/>
          <w:color w:val="0284C7"/>
          <w:sz w:val="19"/>
        </w:rPr>
        <w:t xml:space="preserve">• Compiler Copilot Assistant (copilot.py): </w:t>
      </w:r>
      <w:r>
        <w:rPr>
          <w:rFonts w:ascii="Calibri" w:hAnsi="Calibri"/>
          <w:color w:val="334155"/>
          <w:sz w:val="19"/>
        </w:rPr>
        <w:t>An interactive analytical explanation service that answers user queries regarding active kernel bottlenecks, crossover thresholds, and compiler transformation rationales using contextual rule-based reasoning.</w:t>
      </w:r>
    </w:p>
    <w:p>
      <w:pPr>
        <w:spacing w:before="200" w:after="80"/>
      </w:pPr>
      <w:r>
        <w:rPr>
          <w:rFonts w:ascii="Calibri" w:hAnsi="Calibri"/>
          <w:b/>
          <w:color w:val="0F172A"/>
          <w:sz w:val="22"/>
        </w:rPr>
        <w:t>• Implemented Mathematical Cost Model Equations (Equations 1–6):</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Equation 1: Host CPU Execution Latency Model</w:t>
              <w:br/>
              <w:t>T_cpu(N) = T_cpu_comp(N) + T_cpu_mem(N) = [ ops(N) / (R_cpu * 10^6) ] + [ B_total(N) / (beta_cpu * 10^6) ]</w:t>
              <w:br/>
              <w:br/>
              <w:t>Definitions &amp; Units:</w:t>
              <w:br/>
              <w:t>• T_cpu: Total estimated CPU execution time in milliseconds (ms).</w:t>
              <w:br/>
              <w:t>• ops(N): Total floating-point / integer arithmetic operations (dimensionless integer).</w:t>
              <w:br/>
              <w:t>• R_cpu: Host CPU effective compute throughput in GFLOPS (10^9 ops/sec = 10^6 ops/ms; default = 45.0 GFLOPS).</w:t>
              <w:br/>
              <w:t>• B_total(N): Total bytes moved across host memory bus (bytes).</w:t>
              <w:br/>
              <w:t>• beta_cpu: Effective host DDR memory bus streaming bandwidth in GB/s (10^9 B/sec = 10^6 B/ms; default = 28.0 GB/s).</w:t>
              <w:br/>
              <w:t>Assumptions &amp; Role: Assumes linear memory bus streaming without cache hit reuse for working sets exceeding LLC capacity. Dominates decision when N is small or arithmetic intensity is high.</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Equation 2: Direct Near-Memory Computing Execution Latency Model</w:t>
              <w:br/>
              <w:t>T_nmc(N) = T_nmc_comp(N) + T_nmc_int_mem(N) + T_h2n(N) + T_n2h(N) + T_layout(N) + T_sync</w:t>
              <w:br/>
              <w:br/>
              <w:t>Definitions &amp; Units:</w:t>
              <w:br/>
              <w:t>• T_nmc: Total estimated Direct NMC execution latency in milliseconds (ms).</w:t>
              <w:br/>
              <w:t>• T_nmc_comp: In-situ near-memory arithmetic compute latency = ops(N) / (R_nmc * 10^6) ms.</w:t>
              <w:br/>
              <w:t>• R_nmc: Aggregate near-memory processing throughput in GFLOPS (default = 32.0 GFLOPS).</w:t>
              <w:br/>
              <w:t>• T_nmc_int_mem: Internal DRAM bank memory streaming latency = B_total(N) / (beta_nmc * 10^6) ms.</w:t>
              <w:br/>
              <w:t>• beta_nmc: Aggregate internal DRAM bank throughput in GB/s (default = 160.0 GB/s).</w:t>
              <w:br/>
              <w:t>• T_h2n, T_n2h: Host-to-device and device-to-host link transfer latencies (ms).</w:t>
              <w:br/>
              <w:t>• T_layout: Memory buffer layout reorganization cost (ms).</w:t>
              <w:br/>
              <w:t>• T_sync: Host-accelerator barrier synchronization latency (ms).</w:t>
              <w:br/>
              <w:t>Assumptions &amp; Role: Models physical execution on banked PIM units. Accounts for internal bank speedup alongside external link penalties.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Equation 3: Host-Device Interconnect Link Transfer Overhead</w:t>
              <w:br/>
              <w:t>T_h2n(N) = [ B_read(N) / (beta_link * 10^6) ] + alpha_h2n ;   T_n2h(N) = [ B_write(N) / (beta_link * 10^6) ] + alpha_n2h</w:t>
              <w:br/>
              <w:br/>
              <w:t>Definitions &amp; Units:</w:t>
              <w:br/>
              <w:t>• B_read(N), B_write(N): Bytes transferred across host-device interconnect (bytes).</w:t>
              <w:br/>
              <w:t>• beta_link: PCIe Gen5 / CXL interconnect streaming bandwidth in GB/s (default = 64.0 GB/s).</w:t>
              <w:br/>
              <w:t>• alpha_h2n, alpha_n2h: One-way DMA setup and dispatch overheads in milliseconds (default = 0.02 ms each).</w:t>
              <w:br/>
              <w:t>Assumptions &amp; Role: Explicitly captures fixed link invocation penalties (2 * 0.02 = 0.04 ms total) and variable link serialization times. For reduction kernels, B_write is reduced to a single 4-byte scalar.</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Equation 4: Data Layout Reorganization Cost Formulation</w:t>
              <w:br/>
              <w:t>T_layout(N) = [ (B_read(N) * lambda) / (beta_layout * 10^6) ] + alpha_layout</w:t>
              <w:br/>
              <w:br/>
              <w:t>Definitions &amp; Units:</w:t>
              <w:br/>
              <w:t>• T_layout: Time spent rearranging contiguous host array buffers into bank-interleaved slices in ms.</w:t>
              <w:br/>
              <w:t>• lambda: Layout conversion fraction (lambda = 0.35 for GEMV and Vector Add; lambda = 0.0 for pointwise unary ops).</w:t>
              <w:br/>
              <w:t>• beta_layout: Effective memory copy bandwidth for layout transposition in GB/s (default = 48.0 GB/s).</w:t>
              <w:br/>
              <w:t>• alpha_layout: Reorganization kernel launch overhead in ms (default = 0.02 ms).</w:t>
              <w:br/>
              <w:t>Assumptions &amp; Role: Accounts for software overhead when restructuring strided arrays to prevent DRAM bank collisions.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Equation 5: Relative Strategy Speedup Formulation</w:t>
              <w:br/>
              <w:t>S_strategy(N) = T_cpu(N) / T_strategy(N)</w:t>
              <w:br/>
              <w:br/>
              <w:t>Definitions &amp; Units:</w:t>
              <w:br/>
              <w:t>• S_strategy: Dimensionless speedup ratio relative to baseline CPU-only execution.</w:t>
              <w:br/>
              <w:t>• T_strategy: Total latency of candidate strategy in {Direct NMC, NMC + Fusion, NMC + Tiling} (ms).</w:t>
              <w:br/>
              <w:t>Assumptions &amp; Role: Strategy is legally beneficial if and only if S_strategy &gt; 1.0. Used by the recommendation engine to rank valid placement strategies.</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Equation 6: Closed-Form Workload Crossover Threshold Equation</w:t>
              <w:br/>
              <w:t>N_crossover = T_fixed_overhead / [ mu_cpu - mu_nmc ]</w:t>
              <w:br/>
              <w:br/>
              <w:t>Definitions &amp; Units:</w:t>
              <w:br/>
              <w:t>• N_crossover: Problem size (iterations) at which NMC execution latency exactly equals CPU latency.</w:t>
              <w:br/>
              <w:t>• T_fixed_overhead: Fixed link and kernel dispatch overheads = alpha_h2n + alpha_n2h + alpha_layout + (sync_events * alpha_sync) ms.</w:t>
              <w:br/>
              <w:t>• mu_cpu: Marginal execution latency per iteration on CPU = (ops/it) / (R_cpu*10^6) + (bytes/it) / (beta_cpu*10^6) ms/iter.</w:t>
              <w:br/>
              <w:t>• mu_nmc: Marginal latency per iteration on NMC = (ops/it)/(R_nmc*10^6) + (bytes/it)/(beta_nmc*10^6) + (bytes/it)/(beta_link*10^6) + (bytes_read*lambda)/(beta_layout*10^6) ms/iter.</w:t>
              <w:br/>
              <w:t>Assumptions &amp; Role: Derived analytically by solving T_cpu(N) = T_nmc(N). When mu_cpu &gt; mu_nmc, a positive real crossover exists. If N &gt;= N_crossover, NMC offloading delivers net speedup.</w:t>
            </w:r>
          </w:p>
        </w:tc>
      </w:tr>
    </w:tbl>
    <w:p>
      <w:pPr>
        <w:spacing w:after="80"/>
      </w:pPr>
    </w:p>
    <w:p>
      <w:pPr>
        <w:spacing w:before="200" w:after="80"/>
      </w:pPr>
      <w:r>
        <w:rPr>
          <w:rFonts w:ascii="Calibri" w:hAnsi="Calibri"/>
          <w:b/>
          <w:color w:val="0F172A"/>
          <w:sz w:val="22"/>
        </w:rPr>
        <w:t>• Implemented Algorithms (Algorithms 1 &amp; 2):</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ALGORITHM 1: NMC-Opt Target Selection and Strategy Evaluation Pipeline</w:t>
              <w:br/>
              <w:t>Input:  Kernel AST K, Working size N, Matrix dims (rows, cols), Cost parameters Theta</w:t>
              <w:br/>
              <w:t>Output: Strategy Recommendation R*, Candidate set C, Crossover point N_cross</w:t>
              <w:br/>
              <w:br/>
              <w:t>1:  facts, transforms, warnings &lt;- KernelAnalyzer.analyze(K, N, rows, cols)</w:t>
              <w:br/>
              <w:t>2:  ir_instructions, ir_text &lt;- IRGenerator.generate(K.id, facts)</w:t>
              <w:br/>
              <w:t>3:  candidates &lt;- []</w:t>
              <w:br/>
              <w:t>4:  // 1. Evaluate Host CPU Baseline</w:t>
              <w:br/>
              <w:t>5:  t_cpu_comp &lt;- facts.ops / (Theta.cpu_gflops * 10^6)</w:t>
              <w:br/>
              <w:t>6:  t_cpu_mem  &lt;- facts.total_bytes / (Theta.cpu_bw * 10^6)</w:t>
              <w:br/>
              <w:t>7:  c_cpu &lt;- CandidateStrategy('CPU-only', t_cpu_comp + t_cpu_mem, speedup=1.0)</w:t>
              <w:br/>
              <w:t>8:  candidates.append(c_cpu)</w:t>
              <w:br/>
              <w:t>9:  // 2. Evaluate Direct NMC Offload</w:t>
              <w:br/>
              <w:t>10: t_nmc_comp &lt;- facts.ops / (Theta.nmc_gflops * 10^6)</w:t>
              <w:br/>
              <w:t>11: t_nmc_mem  &lt;- facts.total_bytes / (Theta.nmc_bw * 10^6)</w:t>
              <w:br/>
              <w:t>12: t_link     &lt;- (facts.bytes_read + facts.bytes_written) / (Theta.link_bw * 10^6) + Theta.alpha_h2n + Theta.alpha_n2h</w:t>
              <w:br/>
              <w:t>13: t_layout   &lt;- ComputeLayoutCost(facts, Theta)</w:t>
              <w:br/>
              <w:t>14: t_sync     &lt;- Theta.sync_events * Theta.alpha_sync</w:t>
              <w:br/>
              <w:t>15: t_nmc_tot  &lt;- t_nmc_comp + t_nmc_mem + t_link + t_layout + t_sync</w:t>
              <w:br/>
              <w:t>16: candidates.append(CandidateStrategy('Direct NMC', t_nmc_tot, speedup=c_cpu.time / t_nmc_tot))</w:t>
              <w:br/>
              <w:t>17: // 3. Evaluate Transformed Variants (Fusion, Tiling)</w:t>
              <w:br/>
              <w:t>18: if transforms['Loop Fusion'].eligible then</w:t>
              <w:br/>
              <w:t>19:     candidates.append(EvaluateLoopFusionCandidate(facts, Theta, c_cpu.time))</w:t>
              <w:br/>
              <w:t>20: if transforms['Loop Tiling'].eligible then</w:t>
              <w:br/>
              <w:t>21:     candidates.append(EvaluateLoopTilingCandidate(facts, Theta, c_cpu.time))</w:t>
              <w:br/>
              <w:t>22: // 4. Select Optimal Strategy</w:t>
              <w:br/>
              <w:t>23: valid_candidates &lt;- [c for c in candidates if c.valid]</w:t>
              <w:br/>
              <w:t>24: best_candidate   &lt;- argmin_{c in valid_candidates} (c.total_time_ms)</w:t>
              <w:br/>
              <w:t>25: N_cross          &lt;- CalculateCrossoverThreshold(facts, Theta)</w:t>
              <w:br/>
              <w:t>26: return (best_candidate, candidates, N_cross)</w:t>
            </w:r>
          </w:p>
        </w:tc>
      </w:tr>
    </w:tbl>
    <w:p>
      <w:pPr>
        <w:spacing w:before="40" w:after="120"/>
        <w:jc w:val="center"/>
      </w:pPr>
      <w:r>
        <w:rPr>
          <w:rFonts w:ascii="Calibri" w:hAnsi="Calibri"/>
          <w:i/>
          <w:color w:val="475569"/>
          <w:sz w:val="18"/>
        </w:rPr>
        <w:t>Algorithm 1: End-to-end target selection decision pipeline implemented in NMCOptimizerEngine.</w:t>
      </w:r>
    </w:p>
    <w:tbl>
      <w:tblPr>
        <w:tblW w:type="auto" w:w="0"/>
        <w:jc w:val="center"/>
        <w:tblLayout w:type="fixed"/>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single" w:sz="6" w:space="0" w:color="CBD5E1"/>
              <w:bottom w:val="single" w:sz="6" w:space="0" w:color="CBD5E1"/>
              <w:left w:val="single" w:sz="6" w:space="0" w:color="CBD5E1"/>
              <w:right w:val="single" w:sz="6" w:space="0" w:color="CBD5E1"/>
            </w:tcBorders>
          </w:tcPr>
          <w:p>
            <w:pPr>
              <w:spacing w:before="0" w:after="0" w:line="252" w:lineRule="auto"/>
            </w:pPr>
            <w:r>
              <w:rPr>
                <w:rFonts w:ascii="Consolas" w:hAnsi="Consolas"/>
                <w:color w:val="0F172A"/>
                <w:sz w:val="17"/>
              </w:rPr>
              <w:t>ALGORITHM 2: Static Loop Feature Extraction and Access Analysis</w:t>
              <w:br/>
              <w:t>Input:  Source code string S, Configured input size N</w:t>
              <w:br/>
              <w:t>Output: KernelAnalysisFacts F, TransformationEligibilityList T</w:t>
              <w:br/>
              <w:br/>
              <w:t>1:  element_bytes &lt;- 4 // 32-bit float standard</w:t>
              <w:br/>
              <w:t>2:  // Match standard single for-loop header via regular expression</w:t>
              <w:br/>
              <w:t>3:  loop_match &lt;- RegexMatch(r'for\s*\(\s*(?:int\s+)?([a-zA-Z_]\w*)\s*=\s*0\s*;\s*\1\s*&lt;\s*([a-zA-Z_0-9]+)\s*;', S)</w:t>
              <w:br/>
              <w:t>4:  iterations &lt;- loop_match ? ParseInteger(loop_match.group(2), default=N) : N</w:t>
              <w:br/>
              <w:t>5:  // Count arithmetic operations across loop body</w:t>
              <w:br/>
              <w:t>6:  ops_per_it &lt;- CountCharacters(S, ['+', '-', '*', '/', '&gt;', '&lt;', '=='])</w:t>
              <w:br/>
              <w:t>7:  total_ops  &lt;- iterations * max(1, ops_per_it)</w:t>
              <w:br/>
              <w:t>8:  // Extract array variable accesses and assignments</w:t>
              <w:br/>
              <w:t>9:  array_refs &lt;- RegexFindAll(r'([a-zA-Z_]\w*)\s*\[[^\]]+\]', S)</w:t>
              <w:br/>
              <w:t>10: lhs_refs   &lt;- RegexFindAll(r'([a-zA-Z_]\w*)\s*\[[^\]]+\]\s*=', S)</w:t>
              <w:br/>
              <w:t>11: num_writes &lt;- max(1, Length(lhs_refs))</w:t>
              <w:br/>
              <w:t>12: num_reads  &lt;- max(1, Length(array_refs) - num_writes)</w:t>
              <w:br/>
              <w:t>13: is_reduc   &lt;- RegexSearch(r'\+=|\*=|sum\s*=', S)</w:t>
              <w:br/>
              <w:t>14: bytes_read &lt;- iterations * num_reads * element_bytes</w:t>
              <w:br/>
              <w:t>15: bytes_writ &lt;- is_reduc ? element_bytes : (iterations * num_writes * element_bytes)</w:t>
              <w:br/>
              <w:t>16: total_bytes&lt;- bytes_read + bytes_writ</w:t>
              <w:br/>
              <w:t>17: ai         &lt;- total_ops / total_bytes</w:t>
              <w:br/>
              <w:t>18: return BuildFacts(iterations, total_ops, bytes_read, bytes_writ, total_bytes, ai)</w:t>
            </w:r>
          </w:p>
        </w:tc>
      </w:tr>
    </w:tbl>
    <w:p>
      <w:pPr>
        <w:spacing w:before="40" w:after="120"/>
        <w:jc w:val="center"/>
      </w:pPr>
      <w:r>
        <w:rPr>
          <w:rFonts w:ascii="Calibri" w:hAnsi="Calibri"/>
          <w:i/>
          <w:color w:val="475569"/>
          <w:sz w:val="18"/>
        </w:rPr>
        <w:t>Algorithm 2: Custom loop static feature extraction logic implemented in KernelAnalyzer.</w:t>
      </w:r>
    </w:p>
    <w:p>
      <w:pPr>
        <w:spacing w:before="280" w:after="80"/>
      </w:pPr>
      <w:r>
        <w:rPr>
          <w:rFonts w:ascii="Calibri" w:hAnsi="Calibri"/>
          <w:b/>
          <w:color w:val="0284C7"/>
          <w:sz w:val="26"/>
        </w:rPr>
        <w:t>4. IMPLEMENTATION AND RESULT ANALYSIS</w:t>
      </w:r>
    </w:p>
    <w:p>
      <w:pPr>
        <w:spacing w:line="276" w:lineRule="auto" w:after="80"/>
      </w:pPr>
      <w:r>
        <w:rPr>
          <w:rFonts w:ascii="Calibri" w:hAnsi="Calibri"/>
          <w:b/>
          <w:color w:val="0F172A"/>
          <w:sz w:val="20"/>
        </w:rPr>
        <w:t>• Simulation / Emulation / IDE Tools, Configuration, and Setup (Paragraph 1):</w:t>
        <w:br/>
      </w:r>
      <w:r>
        <w:rPr>
          <w:rFonts w:ascii="Calibri" w:hAnsi="Calibri"/>
          <w:color w:val="334155"/>
          <w:sz w:val="20"/>
        </w:rPr>
        <w:t>The NMC-Opt Studio workbench is engineered as a modern, cross-platform software development and educational environment. The backend service is implemented in Python 3.12 utilizing FastAPI 0.115 for asynchronous RESTful request routing, Pydantic 2.10 for data modeling and type enforcement, and Uvicorn as the ASGI web server daemon. Backend unit testing and validation of analytical formulas are performed using pytest 9.1. The frontend presentation tier is implemented in TypeScript 5.5 and React 18, bundled using Vite 5.4. User interface styling is constructed using TailwindCSS 3.4, with vector icons provided by Lucide-React and scientific charting powered by Recharts 2.12. The complete software repository is managed under Git version control and hosted publicly at https://github.com/MSN-1307/NMC-OPT-CD.</w:t>
      </w:r>
    </w:p>
    <w:p>
      <w:pPr>
        <w:spacing w:line="276" w:lineRule="auto" w:after="80"/>
      </w:pPr>
      <w:r>
        <w:rPr>
          <w:rFonts w:ascii="Calibri" w:hAnsi="Calibri"/>
          <w:b/>
          <w:color w:val="0F172A"/>
          <w:sz w:val="20"/>
        </w:rPr>
        <w:t>• System Setup and Execution Commands (Paragraph 2):</w:t>
        <w:br/>
      </w:r>
      <w:r>
        <w:rPr>
          <w:rFonts w:ascii="Calibri" w:hAnsi="Calibri"/>
          <w:color w:val="334155"/>
          <w:sz w:val="20"/>
        </w:rPr>
        <w:t>Execution of the software workbench is orchestrated through automated PowerShell and batch launch scripts (run_dev.ps1 and run_dev.bat). The backend server is launched with the command: 'python -m uvicorn app.main:app --host 127.0.0.1 --port 8008 --reload', binding the OpenAPI documentation endpoints to http://127.0.0.1:8008/docs. The frontend client is launched concurrently using: 'npm run dev -- --host 127.0.0.1 --port 5173', providing immediate hot-module reloading. Automated verification of compiler analysis logic, cost model equations, and IR generation is executed via 'pytest backend/tests -v', which exercises test_analyzer.py, test_cost_model.py, and test_optimizer.py with zero test failures.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top w:val="single" w:sz="8" w:space="0" w:color="0284C7"/>
              <w:bottom w:val="single" w:sz="8" w:space="0" w:color="0284C7"/>
              <w:left w:val="single" w:sz="8" w:space="0" w:color="0284C7"/>
              <w:right w:val="single" w:sz="8" w:space="0" w:color="0284C7"/>
            </w:tcBorders>
          </w:tcPr>
          <w:p>
            <w:pPr>
              <w:spacing w:before="0" w:after="80"/>
              <w:jc w:val="left"/>
            </w:pPr>
            <w:r>
              <w:rPr>
                <w:rFonts w:ascii="Calibri" w:hAnsi="Calibri"/>
                <w:b/>
                <w:color w:val="0284C7"/>
                <w:sz w:val="21"/>
              </w:rPr>
              <w:t>FIGURE 6: NMC-Opt Studio Interactive Workbench Graphical Interface</w:t>
            </w:r>
          </w:p>
          <w:p>
            <w:pPr>
              <w:spacing w:before="40" w:after="40" w:line="252" w:lineRule="auto"/>
            </w:pPr>
            <w:r>
              <w:rPr>
                <w:rFonts w:ascii="Consolas" w:hAnsi="Consolas"/>
                <w:color w:val="0F172A"/>
                <w:sz w:val="17"/>
              </w:rPr>
              <w:t>+---------------------------------------------------------------------------------------------------+</w:t>
              <w:br/>
              <w:t>| NMC-Opt Studio  |  [Workload: Vector Addition (VADD)]  [Size N: 2,000,000]  [Run Analysis Button]  |</w:t>
              <w:br/>
              <w:t>+---------------------------------------------------------------------------------------------------+</w:t>
              <w:br/>
              <w:t>| [Analysis Summary Cards]                                                                          |</w:t>
              <w:br/>
              <w:t>|   Operations: 2.00M FLOPs   |   Memory: 22.89 MB Moved   |   Arithmetic Intensity: 0.083 FLOP/B   |</w:t>
              <w:br/>
              <w:t>|   Classification: STRICTLY MEMORY-BOUND                  |   Crossover Point: ~650,000 Elements   |</w:t>
              <w:br/>
              <w:t>+---------------------------------------------------------------------------------------------------+</w:t>
              <w:br/>
              <w:t>| [Recommendation Alert: DIRECT NMC OFFLOAD RECOMMENDED]                                            |</w:t>
              <w:br/>
              <w:t>|   Rationale: Low arithmetic intensity and high data volume allow internal 160 GB/s DRAM bandwidth|</w:t>
              <w:br/>
              <w:t>|   to surpass host CPU memory bus limits, achieving estimated 1.15x speedup.                       |</w:t>
              <w:br/>
              <w:t>+---------------------------------------------------------------------------------------------------+</w:t>
              <w:br/>
              <w:t>| [Candidate Strategy Evaluation Table]                                                             |</w:t>
              <w:br/>
              <w:t>|   Candidate           Valid?   Total (ms)   Speedup   Dominant Factor          Notes              |</w:t>
              <w:br/>
              <w:t>|   CPU-only            TRUE     0.902 ms     1.00x     Memory Bus Bottleneck    Host L3 Thrashing  |</w:t>
              <w:br/>
              <w:t>|   Direct NMC offload  TRUE     0.784 ms     1.15x     Host-Device Link         Internal TSV Stream|</w:t>
              <w:br/>
              <w:t>|   NMC + Loop Fusion   FALSE    0.000 ms     0.00x     Legality Check Failed    No fusible loops   |</w:t>
              <w:br/>
              <w:t>|   NMC + Bank Tiling   FALSE    0.000 ms     0.00x     Legality Check Failed    No 2D reuse        |</w:t>
              <w:br/>
              <w:t>+---------------------------------------------------------------------------------------------------+</w:t>
              <w:br/>
              <w:t>| [Interactive Charts: Execution Latency vs Array Size N]  |  [Cost Component Breakdown Stack]      |</w:t>
              <w:br/>
              <w:t>+---------------------------------------------------------------------------------------------------+</w:t>
            </w:r>
          </w:p>
          <w:p>
            <w:pPr>
              <w:spacing w:before="80" w:after="0"/>
            </w:pPr>
            <w:r>
              <w:rPr>
                <w:rFonts w:ascii="Calibri" w:hAnsi="Calibri"/>
                <w:i/>
                <w:color w:val="475569"/>
                <w:sz w:val="18"/>
              </w:rPr>
              <w:t>Figure 6: Structural representation of the interactive user interface in NMC-Opt Studio displaying live analytical facts, strategy comparison, and visual charts.</w:t>
            </w:r>
          </w:p>
        </w:tc>
      </w:tr>
    </w:tbl>
    <w:p>
      <w:pPr>
        <w:spacing w:after="120"/>
      </w:pPr>
    </w:p>
    <w:p>
      <w:pPr>
        <w:spacing w:before="160" w:after="40"/>
      </w:pPr>
      <w:r>
        <w:rPr>
          <w:rFonts w:ascii="Calibri" w:hAnsi="Calibri"/>
          <w:b/>
          <w:color w:val="0F172A"/>
          <w:sz w:val="20"/>
        </w:rPr>
        <w:t>Table 1: Verified Default Architectural and Cost Model Parameters in NMC-Opt Studio</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584"/>
            <w:shd w:fill="0284C7"/>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b/>
                <w:color w:val="FFFFFF"/>
                <w:sz w:val="17"/>
              </w:rPr>
              <w:t>Subsystem / Component</w:t>
            </w:r>
          </w:p>
        </w:tc>
        <w:tc>
          <w:tcPr>
            <w:tcW w:type="dxa" w:w="1584"/>
            <w:shd w:fill="0284C7"/>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b/>
                <w:color w:val="FFFFFF"/>
                <w:sz w:val="17"/>
              </w:rPr>
              <w:t>Parameter Name</w:t>
            </w:r>
          </w:p>
        </w:tc>
        <w:tc>
          <w:tcPr>
            <w:tcW w:type="dxa" w:w="864"/>
            <w:shd w:fill="0284C7"/>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b/>
                <w:color w:val="FFFFFF"/>
                <w:sz w:val="17"/>
              </w:rPr>
              <w:t>Variable</w:t>
            </w:r>
          </w:p>
        </w:tc>
        <w:tc>
          <w:tcPr>
            <w:tcW w:type="dxa" w:w="864"/>
            <w:shd w:fill="0284C7"/>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b/>
                <w:color w:val="FFFFFF"/>
                <w:sz w:val="17"/>
              </w:rPr>
              <w:t>Default Value</w:t>
            </w:r>
          </w:p>
        </w:tc>
        <w:tc>
          <w:tcPr>
            <w:tcW w:type="dxa" w:w="720"/>
            <w:shd w:fill="0284C7"/>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b/>
                <w:color w:val="FFFFFF"/>
                <w:sz w:val="17"/>
              </w:rPr>
              <w:t>Unit</w:t>
            </w:r>
          </w:p>
        </w:tc>
        <w:tc>
          <w:tcPr>
            <w:tcW w:type="dxa" w:w="1296"/>
            <w:shd w:fill="0284C7"/>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b/>
                <w:color w:val="FFFFFF"/>
                <w:sz w:val="17"/>
              </w:rPr>
              <w:t>Configurable Range</w:t>
            </w:r>
          </w:p>
        </w:tc>
        <w:tc>
          <w:tcPr>
            <w:tcW w:type="dxa" w:w="2448"/>
            <w:shd w:fill="0284C7"/>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b/>
                <w:color w:val="FFFFFF"/>
                <w:sz w:val="17"/>
              </w:rPr>
              <w:t>Source / Rationale</w:t>
            </w:r>
          </w:p>
        </w:tc>
      </w:tr>
      <w:tr>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Host Processor</w:t>
            </w:r>
          </w:p>
        </w:tc>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CPU Peak Compute</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R_cpu</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45.0</w:t>
            </w:r>
          </w:p>
        </w:tc>
        <w:tc>
          <w:tcPr>
            <w:tcW w:type="dxa" w:w="72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GFLOPS</w:t>
            </w:r>
          </w:p>
        </w:tc>
        <w:tc>
          <w:tcPr>
            <w:tcW w:type="dxa" w:w="129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1.0 – 500.0</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Host AVX-512 effective throughput [1, 8]</w:t>
            </w:r>
          </w:p>
        </w:tc>
      </w:tr>
      <w:tr>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Host Memory Bus</w:t>
            </w:r>
          </w:p>
        </w:tc>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Host Memory Bandwidth</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beta_cpu</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28.0</w:t>
            </w:r>
          </w:p>
        </w:tc>
        <w:tc>
          <w:tcPr>
            <w:tcW w:type="dxa" w:w="72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GB/s</w:t>
            </w:r>
          </w:p>
        </w:tc>
        <w:tc>
          <w:tcPr>
            <w:tcW w:type="dxa" w:w="129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1.0 – 150.0</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Effective dual-channel DDR4 bandwidth [8, 16]</w:t>
            </w:r>
          </w:p>
        </w:tc>
      </w:tr>
      <w:tr>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Near-Memory Compute</w:t>
            </w:r>
          </w:p>
        </w:tc>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NMC Peak Compute</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R_nmc</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32.0</w:t>
            </w:r>
          </w:p>
        </w:tc>
        <w:tc>
          <w:tcPr>
            <w:tcW w:type="dxa" w:w="72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GFLOPS</w:t>
            </w:r>
          </w:p>
        </w:tc>
        <w:tc>
          <w:tcPr>
            <w:tcW w:type="dxa" w:w="129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1.0 – 500.0</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Aggregate throughput of 16 DPU cores [4, 13]</w:t>
            </w:r>
          </w:p>
        </w:tc>
      </w:tr>
      <w:tr>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Near-Memory Memory</w:t>
            </w:r>
          </w:p>
        </w:tc>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Internal NMC Bandwidth</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beta_nmc</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160.0</w:t>
            </w:r>
          </w:p>
        </w:tc>
        <w:tc>
          <w:tcPr>
            <w:tcW w:type="dxa" w:w="72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GB/s</w:t>
            </w:r>
          </w:p>
        </w:tc>
        <w:tc>
          <w:tcPr>
            <w:tcW w:type="dxa" w:w="129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10.0 – 1024.0</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Internal DRAM bank TSV aggregate [5, 13]</w:t>
            </w:r>
          </w:p>
        </w:tc>
      </w:tr>
      <w:tr>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Interconnect Link</w:t>
            </w:r>
          </w:p>
        </w:tc>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Host-Device Bandwidth</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beta_link</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64.0</w:t>
            </w:r>
          </w:p>
        </w:tc>
        <w:tc>
          <w:tcPr>
            <w:tcW w:type="dxa" w:w="72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GB/s</w:t>
            </w:r>
          </w:p>
        </w:tc>
        <w:tc>
          <w:tcPr>
            <w:tcW w:type="dxa" w:w="129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1.0 – 128.0</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PCIe Gen5 x16 / CXL link throughput [12, 14]</w:t>
            </w:r>
          </w:p>
        </w:tc>
      </w:tr>
      <w:tr>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Interconnect Link</w:t>
            </w:r>
          </w:p>
        </w:tc>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Host-to-NMC Overhead</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alpha_h2n</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0.020</w:t>
            </w:r>
          </w:p>
        </w:tc>
        <w:tc>
          <w:tcPr>
            <w:tcW w:type="dxa" w:w="72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ms</w:t>
            </w:r>
          </w:p>
        </w:tc>
        <w:tc>
          <w:tcPr>
            <w:tcW w:type="dxa" w:w="129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0.000 – 1.000</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DMA dispatch &amp; buffer registration [8, 13]</w:t>
            </w:r>
          </w:p>
        </w:tc>
      </w:tr>
      <w:tr>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Interconnect Link</w:t>
            </w:r>
          </w:p>
        </w:tc>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NMC-to-Host Overhead</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alpha_n2h</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0.020</w:t>
            </w:r>
          </w:p>
        </w:tc>
        <w:tc>
          <w:tcPr>
            <w:tcW w:type="dxa" w:w="72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ms</w:t>
            </w:r>
          </w:p>
        </w:tc>
        <w:tc>
          <w:tcPr>
            <w:tcW w:type="dxa" w:w="129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0.000 – 1.000</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Result readback &amp; transfer completion [8, 13]</w:t>
            </w:r>
          </w:p>
        </w:tc>
      </w:tr>
      <w:tr>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Layout Conversion</w:t>
            </w:r>
          </w:p>
        </w:tc>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Layout Bandwidth</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beta_layout</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48.0</w:t>
            </w:r>
          </w:p>
        </w:tc>
        <w:tc>
          <w:tcPr>
            <w:tcW w:type="dxa" w:w="72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GB/s</w:t>
            </w:r>
          </w:p>
        </w:tc>
        <w:tc>
          <w:tcPr>
            <w:tcW w:type="dxa" w:w="129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1.0 – 100.0</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Memory transpose &amp; bank copy rate [13]</w:t>
            </w:r>
          </w:p>
        </w:tc>
      </w:tr>
      <w:tr>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Layout Conversion</w:t>
            </w:r>
          </w:p>
        </w:tc>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Layout Overhead</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alpha_layout</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0.020</w:t>
            </w:r>
          </w:p>
        </w:tc>
        <w:tc>
          <w:tcPr>
            <w:tcW w:type="dxa" w:w="72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ms</w:t>
            </w:r>
          </w:p>
        </w:tc>
        <w:tc>
          <w:tcPr>
            <w:tcW w:type="dxa" w:w="129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0.000 – 1.000</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Layout kernel invocation latency [13]</w:t>
            </w:r>
          </w:p>
        </w:tc>
      </w:tr>
      <w:tr>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Synchronization</w:t>
            </w:r>
          </w:p>
        </w:tc>
        <w:tc>
          <w:tcPr>
            <w:tcW w:type="dxa" w:w="158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Sync Overhead</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alpha_sync</w:t>
            </w:r>
          </w:p>
        </w:tc>
        <w:tc>
          <w:tcPr>
            <w:tcW w:type="dxa" w:w="864"/>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0.010</w:t>
            </w:r>
          </w:p>
        </w:tc>
        <w:tc>
          <w:tcPr>
            <w:tcW w:type="dxa" w:w="720"/>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ms</w:t>
            </w:r>
          </w:p>
        </w:tc>
        <w:tc>
          <w:tcPr>
            <w:tcW w:type="dxa" w:w="1296"/>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0.000 – 0.500</w:t>
            </w:r>
          </w:p>
        </w:tc>
        <w:tc>
          <w:tcPr>
            <w:tcW w:type="dxa" w:w="2448"/>
            <w:shd w:fill="FFFFFF"/>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Hardware barrier / handshake latency [14]</w:t>
            </w:r>
          </w:p>
        </w:tc>
      </w:tr>
      <w:tr>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Synchronization</w:t>
            </w:r>
          </w:p>
        </w:tc>
        <w:tc>
          <w:tcPr>
            <w:tcW w:type="dxa" w:w="158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Sync Event Count</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i/>
                <w:color w:val="0F172A"/>
                <w:sz w:val="16"/>
              </w:rPr>
              <w:t>sync_events</w:t>
            </w:r>
          </w:p>
        </w:tc>
        <w:tc>
          <w:tcPr>
            <w:tcW w:type="dxa" w:w="864"/>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w:t>
            </w:r>
          </w:p>
        </w:tc>
        <w:tc>
          <w:tcPr>
            <w:tcW w:type="dxa" w:w="720"/>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events</w:t>
            </w:r>
          </w:p>
        </w:tc>
        <w:tc>
          <w:tcPr>
            <w:tcW w:type="dxa" w:w="1296"/>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1 – 10</w:t>
            </w:r>
          </w:p>
        </w:tc>
        <w:tc>
          <w:tcPr>
            <w:tcW w:type="dxa" w:w="2448"/>
            <w:shd w:fill="F8FAFC"/>
            <w:tcMar>
              <w:top w:w="60" w:type="dxa"/>
              <w:bottom w:w="60" w:type="dxa"/>
              <w:left w:w="80" w:type="dxa"/>
              <w:right w:w="80" w:type="dxa"/>
            </w:tcMar>
            <w:tcBorders>
              <w:top w:val="single" w:sz="4" w:space="0" w:color="CBD5E1"/>
              <w:bottom w:val="single" w:sz="4" w:space="0" w:color="CBD5E1"/>
              <w:left w:val="single" w:sz="4" w:space="0" w:color="CBD5E1"/>
              <w:right w:val="single" w:sz="4" w:space="0" w:color="CBD5E1"/>
            </w:tcBorders>
          </w:tcPr>
          <w:p>
            <w:pPr>
              <w:spacing w:before="20" w:after="20"/>
            </w:pPr>
            <w:r>
              <w:rPr>
                <w:rFonts w:ascii="Calibri" w:hAnsi="Calibri"/>
                <w:color w:val="0F172A"/>
                <w:sz w:val="16"/>
              </w:rPr>
              <w:t>Host-device barrier invocations required</w:t>
            </w:r>
          </w:p>
        </w:tc>
      </w:tr>
    </w:tbl>
    <w:p>
      <w:pPr>
        <w:spacing w:after="160"/>
      </w:pPr>
    </w:p>
    <w:p>
      <w:pPr>
        <w:spacing w:before="160" w:after="40"/>
      </w:pPr>
      <w:r>
        <w:rPr>
          <w:rFonts w:ascii="Calibri" w:hAnsi="Calibri"/>
          <w:b/>
          <w:color w:val="0F172A"/>
          <w:sz w:val="22"/>
        </w:rPr>
        <w:t>• Minimum Five Performance Analysis Metrics:</w:t>
      </w:r>
    </w:p>
    <w:p>
      <w:pPr>
        <w:spacing w:line="276" w:lineRule="auto" w:after="60"/>
        <w:ind w:left="216"/>
      </w:pPr>
      <w:r>
        <w:rPr>
          <w:rFonts w:ascii="Calibri" w:hAnsi="Calibri"/>
          <w:b/>
          <w:color w:val="0284C7"/>
          <w:sz w:val="19"/>
        </w:rPr>
        <w:t xml:space="preserve">• 1. Total Execution Latency (ms): </w:t>
      </w:r>
      <w:r>
        <w:rPr>
          <w:rFonts w:ascii="Calibri" w:hAnsi="Calibri"/>
          <w:color w:val="334155"/>
          <w:sz w:val="19"/>
        </w:rPr>
        <w:t>The primary time-to-completion metric, measured as total elapsed milliseconds. On CPU, it combines ALU compute and host memory streaming. On NMC, it aggregates in-situ compute, internal DRAM bank access, host-device link transfers, layout rearrangement, and barrier synchronization.</w:t>
      </w:r>
    </w:p>
    <w:p>
      <w:pPr>
        <w:spacing w:line="276" w:lineRule="auto" w:after="60"/>
        <w:ind w:left="216"/>
      </w:pPr>
      <w:r>
        <w:rPr>
          <w:rFonts w:ascii="Calibri" w:hAnsi="Calibri"/>
          <w:b/>
          <w:color w:val="0284C7"/>
          <w:sz w:val="19"/>
        </w:rPr>
        <w:t xml:space="preserve">• 2. Relative Strategy Speedup (S): </w:t>
      </w:r>
      <w:r>
        <w:rPr>
          <w:rFonts w:ascii="Calibri" w:hAnsi="Calibri"/>
          <w:color w:val="334155"/>
          <w:sz w:val="19"/>
        </w:rPr>
        <w:t>Calculated as S = T_cpu / T_candidate. Represents the normalized performance gain of near-memory execution relative to host CPU execution. A speedup S &gt; 1.0 indicates beneficial offloading.</w:t>
      </w:r>
    </w:p>
    <w:p>
      <w:pPr>
        <w:spacing w:line="276" w:lineRule="auto" w:after="60"/>
        <w:ind w:left="216"/>
      </w:pPr>
      <w:r>
        <w:rPr>
          <w:rFonts w:ascii="Calibri" w:hAnsi="Calibri"/>
          <w:b/>
          <w:color w:val="0284C7"/>
          <w:sz w:val="19"/>
        </w:rPr>
        <w:t xml:space="preserve">• 3. Memory Bus Traffic Volume (MB): </w:t>
      </w:r>
      <w:r>
        <w:rPr>
          <w:rFonts w:ascii="Calibri" w:hAnsi="Calibri"/>
          <w:color w:val="334155"/>
          <w:sz w:val="19"/>
        </w:rPr>
        <w:t>The cumulative volume of data that must traverse the off-chip memory bus or interconnect link. Moving data across off-chip buses incurs substantial energy and latency penalties; reducing bus traffic is a core optimization objective.</w:t>
      </w:r>
    </w:p>
    <w:p>
      <w:pPr>
        <w:spacing w:line="276" w:lineRule="auto" w:after="60"/>
        <w:ind w:left="216"/>
      </w:pPr>
      <w:r>
        <w:rPr>
          <w:rFonts w:ascii="Calibri" w:hAnsi="Calibri"/>
          <w:b/>
          <w:color w:val="0284C7"/>
          <w:sz w:val="19"/>
        </w:rPr>
        <w:t xml:space="preserve">• 4. Data Movement Overhead Proportion (%): </w:t>
      </w:r>
      <w:r>
        <w:rPr>
          <w:rFonts w:ascii="Calibri" w:hAnsi="Calibri"/>
          <w:color w:val="334155"/>
          <w:sz w:val="19"/>
        </w:rPr>
        <w:t>The fraction of total execution latency consumed by data movement (memory access and interconnect transfer) versus active compute: Overhead_pct = (T_data_movement / T_total) * 100%. Quantifies the extent to which a kernel is memory-bound.</w:t>
      </w:r>
    </w:p>
    <w:p>
      <w:pPr>
        <w:spacing w:line="276" w:lineRule="auto" w:after="60"/>
        <w:ind w:left="216"/>
      </w:pPr>
      <w:r>
        <w:rPr>
          <w:rFonts w:ascii="Calibri" w:hAnsi="Calibri"/>
          <w:b/>
          <w:color w:val="0284C7"/>
          <w:sz w:val="19"/>
        </w:rPr>
        <w:t xml:space="preserve">• 5. Workload Crossover Threshold (N_crossover): </w:t>
      </w:r>
      <w:r>
        <w:rPr>
          <w:rFonts w:ascii="Calibri" w:hAnsi="Calibri"/>
          <w:color w:val="334155"/>
          <w:sz w:val="19"/>
        </w:rPr>
        <w:t>The minimal problem size N at which near-memory computing outperforms CPU execution. Characterizes the amortization threshold of host-device dispatch and synchronization overheads.</w:t>
      </w:r>
    </w:p>
    <w:p>
      <w:pPr>
        <w:spacing w:before="160" w:after="40"/>
      </w:pPr>
      <w:r>
        <w:rPr>
          <w:rFonts w:ascii="Calibri" w:hAnsi="Calibri"/>
          <w:b/>
          <w:color w:val="0F172A"/>
          <w:sz w:val="22"/>
        </w:rPr>
        <w:t>• Comparison with Related Work (CAIRO, IMTP, PrIM):</w:t>
      </w:r>
    </w:p>
    <w:p>
      <w:pPr>
        <w:spacing w:line="276" w:lineRule="auto" w:after="160"/>
      </w:pPr>
      <w:r>
        <w:rPr>
          <w:rFonts w:ascii="Calibri" w:hAnsi="Calibri"/>
          <w:color w:val="334155"/>
          <w:sz w:val="19"/>
        </w:rPr>
        <w:t>We contrast our NMC-Opt Studio workbench with three prominent related works:</w:t>
        <w:br/>
        <w:t>1. Comparison with CAIRO (Hadidi et al., 2017) [8]: CAIRO pioneers compiler-assisted PIM offloading by evaluating last-level cache miss ratios for fixed-function HMC atomics. However, CAIRO does not inspect general loop nests, cannot perform loop transformations (such as fusion or tiling), and does not expose an interactive intermediate representation. In contrast, NMC-Opt Studio generalizes target evaluation to multi-statement C-like loops and visualizes three-address SSA code.</w:t>
        <w:br/>
        <w:t>2. Comparison with IMTP (Shin et al., 2024) [13]: IMTP operates as an optimizing tensor compiler on Apache TVM, utilizing evolutionary autotuning to generate machine binaries for physical UPMEM devices. While IMTP provides high-performance code generation, its autotuning loops require hours of hardware profiling and function as an opaque search process. NMC-Opt Studio complements IMTP by providing instant, explainable analytical cost modeling, allowing users to understand the mathematical crossover mechanics that govern autotuning outcomes.</w:t>
        <w:br/>
        <w:t>3. Comparison with PrIM (Gómez-Luna et al., 2022) [16]: PrIM provides empirical benchmark characterizations on physical PIM hardware but relies on hand-crafted C code. NMC-Opt Studio utilizes PrIM's workload parameters (such as arithmetic intensity and WRAM buffer sizing) within an automated compiler framework to evaluate offload trade-offs dynamically.</w:t>
      </w:r>
    </w:p>
    <w:p>
      <w:pPr>
        <w:spacing w:before="200" w:after="80"/>
      </w:pPr>
      <w:r>
        <w:rPr>
          <w:rFonts w:ascii="Calibri" w:hAnsi="Calibri"/>
          <w:b/>
          <w:color w:val="0F172A"/>
          <w:sz w:val="22"/>
        </w:rPr>
        <w:t>• Experimental Results and Discussion Placeholders:</w:t>
      </w:r>
    </w:p>
    <w:p>
      <w:pPr>
        <w:spacing w:line="276" w:lineRule="auto" w:after="120"/>
      </w:pPr>
      <w:r>
        <w:rPr>
          <w:rFonts w:ascii="Calibri" w:hAnsi="Calibri"/>
          <w:i/>
          <w:color w:val="64748B"/>
          <w:sz w:val="19"/>
        </w:rPr>
        <w:t>Notice on Empirical Evidence: The current repository implements an educational compiler analysis workbench and analytical cost model. In accordance with academic integrity guidelines, experimental results from physical silicon testbeds or cycle-accurate execution simulators are not fabricated. Below, we provide formally formatted result placeholders specifying the exact empirical measurements, workload parameters, and experimental protocols required to populate each figure and table upon physical hardware testing.</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single" w:sz="10" w:space="0" w:color="D97706"/>
              <w:bottom w:val="single" w:sz="10" w:space="0" w:color="D97706"/>
              <w:left w:val="single" w:sz="10" w:space="0" w:color="D97706"/>
              <w:right w:val="single" w:sz="10" w:space="0" w:color="D97706"/>
            </w:tcBorders>
          </w:tcPr>
          <w:p>
            <w:pPr>
              <w:spacing w:before="0" w:after="60"/>
            </w:pPr>
            <w:r>
              <w:rPr>
                <w:rFonts w:ascii="Calibri" w:hAnsi="Calibri"/>
                <w:b/>
                <w:color w:val="B45309"/>
                <w:sz w:val="20"/>
              </w:rPr>
              <w:t>[RESULTS TO BE INSERTED AFTER EXPERIMENTS: Table 2]</w:t>
            </w:r>
          </w:p>
          <w:p>
            <w:pPr>
              <w:spacing w:before="40" w:after="40" w:line="276" w:lineRule="auto"/>
            </w:pPr>
            <w:r>
              <w:rPr>
                <w:rFonts w:ascii="Calibri" w:hAnsi="Calibri"/>
                <w:b/>
                <w:color w:val="0F172A"/>
                <w:sz w:val="19"/>
              </w:rPr>
              <w:t>Title: Measured Execution Latencies and Speedups Across Physical Hardware Testbed</w:t>
              <w:br/>
            </w:r>
            <w:r>
              <w:rPr>
                <w:rFonts w:ascii="Calibri" w:hAnsi="Calibri"/>
                <w:color w:val="334155"/>
                <w:sz w:val="18"/>
              </w:rPr>
              <w:t>• Independent Variable (X-Axis): Benchmark Kernels: Vector Add, Reduction, ReLU, GEMV (2048x2048), Fused AXPY</w:t>
              <w:br/>
              <w:t>• Dependent Variable (Y-Axis): Measured CPU Execution Time (ms), Measured NMC/PIM Execution Time (ms), Empirical Speedup</w:t>
              <w:br/>
              <w:t>• Workload &amp; Architectural Parameters: Hardware: Dual-socket Intel Xeon (Host CPU) + UPMEM PIM-DIMMs (2,048 DPUs) / Simulated HMC 2.0; Input sizes N in [10^4, 10^5, 10^6, 10^7]</w:t>
              <w:br/>
              <w:t>• Measurement &amp; Execution Protocol: Run 10 trials per benchmark configuration, report mean execution time and 95% confidence intervals; verify that CPU baseline uses OpenMP multi-threading and AVX-512 vectorization.</w:t>
              <w:br/>
              <w:t>• Status: Pending physical hardware execution / cycle-accurate simulation run.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single" w:sz="10" w:space="0" w:color="D97706"/>
              <w:bottom w:val="single" w:sz="10" w:space="0" w:color="D97706"/>
              <w:left w:val="single" w:sz="10" w:space="0" w:color="D97706"/>
              <w:right w:val="single" w:sz="10" w:space="0" w:color="D97706"/>
            </w:tcBorders>
          </w:tcPr>
          <w:p>
            <w:pPr>
              <w:spacing w:before="0" w:after="60"/>
            </w:pPr>
            <w:r>
              <w:rPr>
                <w:rFonts w:ascii="Calibri" w:hAnsi="Calibri"/>
                <w:b/>
                <w:color w:val="B45309"/>
                <w:sz w:val="20"/>
              </w:rPr>
              <w:t>[RESULTS TO BE INSERTED AFTER EXPERIMENTS: Figure 7]</w:t>
            </w:r>
          </w:p>
          <w:p>
            <w:pPr>
              <w:spacing w:before="40" w:after="40" w:line="276" w:lineRule="auto"/>
            </w:pPr>
            <w:r>
              <w:rPr>
                <w:rFonts w:ascii="Calibri" w:hAnsi="Calibri"/>
                <w:b/>
                <w:color w:val="0F172A"/>
                <w:sz w:val="19"/>
              </w:rPr>
              <w:t>Title: Hardware Execution Time Scaling vs Analytical Cost Model Predictions</w:t>
              <w:br/>
            </w:r>
            <w:r>
              <w:rPr>
                <w:rFonts w:ascii="Calibri" w:hAnsi="Calibri"/>
                <w:color w:val="334155"/>
                <w:sz w:val="18"/>
              </w:rPr>
              <w:t>• Independent Variable (X-Axis): Problem Size N (Array Elements: 10^3 to 10^7, Log-Scale)</w:t>
              <w:br/>
              <w:t>• Dependent Variable (Y-Axis): Execution Latency in Milliseconds (ms, Log-Scale)</w:t>
              <w:br/>
              <w:t>• Workload &amp; Architectural Parameters: Workloads: Vector Addition (VADD, AI = 0.083 FLOP/B) and GEMV (AI = 0.500 FLOP/B); Fixed default bandwidth parameters</w:t>
              <w:br/>
              <w:t>• Measurement &amp; Execution Protocol: Plot physical execution timer measurements (scatter points) against analytical cost model curves (solid lines) to quantify model prediction error across workload scales.</w:t>
              <w:br/>
              <w:t>• Status: Pending physical hardware execution / cycle-accurate simulation run.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single" w:sz="10" w:space="0" w:color="D97706"/>
              <w:bottom w:val="single" w:sz="10" w:space="0" w:color="D97706"/>
              <w:left w:val="single" w:sz="10" w:space="0" w:color="D97706"/>
              <w:right w:val="single" w:sz="10" w:space="0" w:color="D97706"/>
            </w:tcBorders>
          </w:tcPr>
          <w:p>
            <w:pPr>
              <w:spacing w:before="0" w:after="60"/>
            </w:pPr>
            <w:r>
              <w:rPr>
                <w:rFonts w:ascii="Calibri" w:hAnsi="Calibri"/>
                <w:b/>
                <w:color w:val="B45309"/>
                <w:sz w:val="20"/>
              </w:rPr>
              <w:t>[RESULTS TO BE INSERTED AFTER EXPERIMENTS: Figure 8]</w:t>
            </w:r>
          </w:p>
          <w:p>
            <w:pPr>
              <w:spacing w:before="40" w:after="40" w:line="276" w:lineRule="auto"/>
            </w:pPr>
            <w:r>
              <w:rPr>
                <w:rFonts w:ascii="Calibri" w:hAnsi="Calibri"/>
                <w:b/>
                <w:color w:val="0F172A"/>
                <w:sz w:val="19"/>
              </w:rPr>
              <w:t>Title: Empirical Memory Bus Traffic and Subsystem Energy Consumption</w:t>
              <w:br/>
            </w:r>
            <w:r>
              <w:rPr>
                <w:rFonts w:ascii="Calibri" w:hAnsi="Calibri"/>
                <w:color w:val="334155"/>
                <w:sz w:val="18"/>
              </w:rPr>
              <w:t>• Independent Variable (X-Axis): Benchmark Workloads at N = 10^7 Elements</w:t>
              <w:br/>
              <w:t>• Dependent Variable (Y-Axis): Primary Y-Axis: Off-Chip Bus Traffic (MB); Secondary Y-Axis: Subsystem Energy (Joules)</w:t>
              <w:br/>
              <w:t>• Workload &amp; Architectural Parameters: Hardware counters: Intel PCM (Processor Counter Monitor) for CPU DDR bus; UPMEM DPU energy profiling tools</w:t>
              <w:br/>
              <w:t>• Measurement &amp; Execution Protocol: Measure total memory transactions over host memory controller compared to near-memory execution to validate predicted 70%+ bus traffic reduction.</w:t>
              <w:br/>
              <w:t>• Status: Pending physical hardware execution / cycle-accurate simulation run.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single" w:sz="10" w:space="0" w:color="D97706"/>
              <w:bottom w:val="single" w:sz="10" w:space="0" w:color="D97706"/>
              <w:left w:val="single" w:sz="10" w:space="0" w:color="D97706"/>
              <w:right w:val="single" w:sz="10" w:space="0" w:color="D97706"/>
            </w:tcBorders>
          </w:tcPr>
          <w:p>
            <w:pPr>
              <w:spacing w:before="0" w:after="60"/>
            </w:pPr>
            <w:r>
              <w:rPr>
                <w:rFonts w:ascii="Calibri" w:hAnsi="Calibri"/>
                <w:b/>
                <w:color w:val="B45309"/>
                <w:sz w:val="20"/>
              </w:rPr>
              <w:t>[RESULTS TO BE INSERTED AFTER EXPERIMENTS: Figure 9]</w:t>
            </w:r>
          </w:p>
          <w:p>
            <w:pPr>
              <w:spacing w:before="40" w:after="40" w:line="276" w:lineRule="auto"/>
            </w:pPr>
            <w:r>
              <w:rPr>
                <w:rFonts w:ascii="Calibri" w:hAnsi="Calibri"/>
                <w:b/>
                <w:color w:val="0F172A"/>
                <w:sz w:val="19"/>
              </w:rPr>
              <w:t>Title: Measured Workload Crossover Thresholds vs Closed-Form Cost Model Predictions</w:t>
              <w:br/>
            </w:r>
            <w:r>
              <w:rPr>
                <w:rFonts w:ascii="Calibri" w:hAnsi="Calibri"/>
                <w:color w:val="334155"/>
                <w:sz w:val="18"/>
              </w:rPr>
              <w:t>• Independent Variable (X-Axis): Kernel Arithmetic Intensity (FLOP/Byte: 0.05 to 2.00)</w:t>
              <w:br/>
              <w:t>• Dependent Variable (Y-Axis): Crossover Array Size N_crossover (Number of Elements)</w:t>
              <w:br/>
              <w:t>• Workload &amp; Architectural Parameters: Evaluate 8 diverse kernels with varying compute-to-memory ratios</w:t>
              <w:br/>
              <w:t>• Measurement &amp; Execution Protocol: Determine empirical crossover by sweeping N on physical hardware until NMC execution time matches CPU execution time; compare against Equation 6 predictions.</w:t>
              <w:br/>
              <w:t>• Status: Pending physical hardware execution / cycle-accurate simulation run.</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single" w:sz="10" w:space="0" w:color="D97706"/>
              <w:bottom w:val="single" w:sz="10" w:space="0" w:color="D97706"/>
              <w:left w:val="single" w:sz="10" w:space="0" w:color="D97706"/>
              <w:right w:val="single" w:sz="10" w:space="0" w:color="D97706"/>
            </w:tcBorders>
          </w:tcPr>
          <w:p>
            <w:pPr>
              <w:spacing w:before="0" w:after="60"/>
            </w:pPr>
            <w:r>
              <w:rPr>
                <w:rFonts w:ascii="Calibri" w:hAnsi="Calibri"/>
                <w:b/>
                <w:color w:val="B45309"/>
                <w:sz w:val="20"/>
              </w:rPr>
              <w:t>[RESULTS TO BE INSERTED AFTER EXPERIMENTS: Figure 10]</w:t>
            </w:r>
          </w:p>
          <w:p>
            <w:pPr>
              <w:spacing w:before="40" w:after="40" w:line="276" w:lineRule="auto"/>
            </w:pPr>
            <w:r>
              <w:rPr>
                <w:rFonts w:ascii="Calibri" w:hAnsi="Calibri"/>
                <w:b/>
                <w:color w:val="0F172A"/>
                <w:sz w:val="19"/>
              </w:rPr>
              <w:t>Title: Hardware Sensitivity to Interconnect Link Bandwidth Variations</w:t>
              <w:br/>
            </w:r>
            <w:r>
              <w:rPr>
                <w:rFonts w:ascii="Calibri" w:hAnsi="Calibri"/>
                <w:color w:val="334155"/>
                <w:sz w:val="18"/>
              </w:rPr>
              <w:t>• Independent Variable (X-Axis): Host-Device Interconnect Bandwidth (GB/s: 8, 16, 32, 64, 128 GB/s)</w:t>
              <w:br/>
              <w:t>• Dependent Variable (Y-Axis): Relative Near-Memory Speedup over CPU (S)</w:t>
              <w:br/>
              <w:t>• Workload &amp; Architectural Parameters: Workload: Vector Addition at N = 4,000,000 elements</w:t>
              <w:br/>
              <w:t>• Measurement &amp; Execution Protocol: Configure PCIe generation/lane widths or throttle link in cycle-level simulator to measure interconnect bandwidth sensitivity.</w:t>
              <w:br/>
              <w:t>• Status: Pending physical hardware execution / cycle-accurate simulation run.</w:t>
            </w:r>
          </w:p>
        </w:tc>
      </w:tr>
    </w:tbl>
    <w:p>
      <w:pPr>
        <w:spacing w:after="120"/>
      </w:pPr>
    </w:p>
    <w:p>
      <w:pPr>
        <w:spacing w:before="160" w:after="40"/>
      </w:pPr>
      <w:r>
        <w:rPr>
          <w:rFonts w:ascii="Calibri" w:hAnsi="Calibri"/>
          <w:b/>
          <w:color w:val="0F172A"/>
          <w:sz w:val="22"/>
        </w:rPr>
        <w:t>• Limitations and Threats to Validity:</w:t>
      </w:r>
    </w:p>
    <w:p>
      <w:pPr>
        <w:spacing w:line="276" w:lineRule="auto" w:after="60"/>
        <w:ind w:left="216"/>
      </w:pPr>
      <w:r>
        <w:rPr>
          <w:rFonts w:ascii="Calibri" w:hAnsi="Calibri"/>
          <w:b/>
          <w:color w:val="B45309"/>
          <w:sz w:val="19"/>
        </w:rPr>
        <w:t xml:space="preserve">• 1. Analytical Cost Estimation vs Physical Silicon Execution: </w:t>
      </w:r>
      <w:r>
        <w:rPr>
          <w:rFonts w:ascii="Calibri" w:hAnsi="Calibri"/>
          <w:color w:val="334155"/>
          <w:sz w:val="19"/>
        </w:rPr>
        <w:t>NMC-Opt Studio is fundamentally an educational analysis workbench and cost-modeling simulator. It does not execute instructions on physical PIM hardware. While the mathematical formulas capture primary first-order latency factors (ALU throughput, memory bandwidth, DMA setup, layout rearrangement, and synchronization), they do not model complex second-order hardware phenomena such as DRAM row-buffer refresh cycles, cache miss jitter, TLB translation overheads, or PCIe bus contention from concurrent OS processes.</w:t>
      </w:r>
    </w:p>
    <w:p>
      <w:pPr>
        <w:spacing w:line="276" w:lineRule="auto" w:after="60"/>
        <w:ind w:left="216"/>
      </w:pPr>
      <w:r>
        <w:rPr>
          <w:rFonts w:ascii="Calibri" w:hAnsi="Calibri"/>
          <w:b/>
          <w:color w:val="B45309"/>
          <w:sz w:val="19"/>
        </w:rPr>
        <w:t xml:space="preserve">• 2. Simplified Custom Loop Parsing: </w:t>
      </w:r>
      <w:r>
        <w:rPr>
          <w:rFonts w:ascii="Calibri" w:hAnsi="Calibri"/>
          <w:color w:val="334155"/>
          <w:sz w:val="19"/>
        </w:rPr>
        <w:t>The custom C source ingestion engine utilizes regular-expression pattern matching rather than a full Clang C++ abstract syntax tree (AST) parser. It successfully recognizes canonical single-level for-loops with basic array accesses and reduction accumulators, but does not support non-affine loop bounds, complex pointer aliasing, function calls, or indirect array indexing (such as A[B[i]]).</w:t>
      </w:r>
    </w:p>
    <w:p>
      <w:pPr>
        <w:spacing w:line="276" w:lineRule="auto" w:after="60"/>
        <w:ind w:left="216"/>
      </w:pPr>
      <w:r>
        <w:rPr>
          <w:rFonts w:ascii="Calibri" w:hAnsi="Calibri"/>
          <w:b/>
          <w:color w:val="B45309"/>
          <w:sz w:val="19"/>
        </w:rPr>
        <w:t xml:space="preserve">• 3. Instructional SSA Intermediate Representation: </w:t>
      </w:r>
      <w:r>
        <w:rPr>
          <w:rFonts w:ascii="Calibri" w:hAnsi="Calibri"/>
          <w:color w:val="334155"/>
          <w:sz w:val="19"/>
        </w:rPr>
        <w:t>The generated intermediate representation is designed for pedagogical inspection of three-address code, basic blocks, and phi nodes. The workbench does not implement full SSA dominance-frontier construction, dataflow optimizations (such as dead code elimination or common subexpression elimination), register allocation, or executable machine binary generation.</w:t>
      </w:r>
    </w:p>
    <w:p>
      <w:pPr>
        <w:spacing w:line="276" w:lineRule="auto" w:after="60"/>
        <w:ind w:left="216"/>
      </w:pPr>
      <w:r>
        <w:rPr>
          <w:rFonts w:ascii="Calibri" w:hAnsi="Calibri"/>
          <w:b/>
          <w:color w:val="B45309"/>
          <w:sz w:val="19"/>
        </w:rPr>
        <w:t xml:space="preserve">• 4. Static Working Set and Memory Footprint Assumptions: </w:t>
      </w:r>
      <w:r>
        <w:rPr>
          <w:rFonts w:ascii="Calibri" w:hAnsi="Calibri"/>
          <w:color w:val="334155"/>
          <w:sz w:val="19"/>
        </w:rPr>
        <w:t>Memory volume calculations assume fixed 32-bit single-precision floating-point arrays (4 bytes per element) and unit-stride access. Complex sparse matrix formats or dynamic data structures are not natively modeled in the prototype cost engine.</w:t>
      </w:r>
    </w:p>
    <w:p>
      <w:pPr>
        <w:spacing w:before="280" w:after="80"/>
      </w:pPr>
      <w:r>
        <w:rPr>
          <w:rFonts w:ascii="Calibri" w:hAnsi="Calibri"/>
          <w:b/>
          <w:color w:val="0284C7"/>
          <w:sz w:val="26"/>
        </w:rPr>
        <w:t>5. CONCLUSION AND SCOPE FOR FUTURE WORK</w:t>
      </w:r>
    </w:p>
    <w:p>
      <w:pPr>
        <w:spacing w:line="276" w:lineRule="auto" w:after="80"/>
        <w:ind w:left="216"/>
      </w:pPr>
      <w:r>
        <w:rPr>
          <w:rFonts w:ascii="Calibri" w:hAnsi="Calibri"/>
          <w:b/>
          <w:color w:val="0F172A"/>
          <w:sz w:val="20"/>
        </w:rPr>
        <w:t>• About the proposed work (2 lines):</w:t>
        <w:br/>
      </w:r>
      <w:r>
        <w:rPr>
          <w:rFonts w:ascii="Calibri" w:hAnsi="Calibri"/>
          <w:color w:val="334155"/>
          <w:sz w:val="20"/>
        </w:rPr>
        <w:t>In this paper, we presented NMC-Opt Studio, an adaptive, data-movement-aware compiler optimization workbench designed for educational and analytical exploration of near-memory target selection.</w:t>
      </w:r>
    </w:p>
    <w:p>
      <w:pPr>
        <w:spacing w:line="276" w:lineRule="auto" w:after="80"/>
        <w:ind w:left="216"/>
      </w:pPr>
      <w:r>
        <w:rPr>
          <w:rFonts w:ascii="Calibri" w:hAnsi="Calibri"/>
          <w:b/>
          <w:color w:val="0F172A"/>
          <w:sz w:val="20"/>
        </w:rPr>
        <w:t>• About Existing methodology (2 lines):</w:t>
        <w:br/>
      </w:r>
      <w:r>
        <w:rPr>
          <w:rFonts w:ascii="Calibri" w:hAnsi="Calibri"/>
          <w:color w:val="334155"/>
          <w:sz w:val="20"/>
        </w:rPr>
        <w:t>Prior compiler research either focused on instruction-level offloading of fixed-function atomic operations or heavyweight evolutionary autotuning frameworks that required hours of profiling on physical PIM hardware.</w:t>
      </w:r>
    </w:p>
    <w:p>
      <w:pPr>
        <w:spacing w:line="276" w:lineRule="auto" w:after="80"/>
        <w:ind w:left="216"/>
      </w:pPr>
      <w:r>
        <w:rPr>
          <w:rFonts w:ascii="Calibri" w:hAnsi="Calibri"/>
          <w:b/>
          <w:color w:val="0F172A"/>
          <w:sz w:val="20"/>
        </w:rPr>
        <w:t>• Proposed methodology and its advantage (2 lines):</w:t>
        <w:br/>
      </w:r>
      <w:r>
        <w:rPr>
          <w:rFonts w:ascii="Calibri" w:hAnsi="Calibri"/>
          <w:color w:val="334155"/>
          <w:sz w:val="20"/>
        </w:rPr>
        <w:t>NMC-Opt Studio provides an explainable, transparent compiler pipeline that extracts loop access features, generates simplified SSA intermediate representations, and calculates multi-component cost breakdowns in real time.</w:t>
      </w:r>
    </w:p>
    <w:p>
      <w:pPr>
        <w:spacing w:line="276" w:lineRule="auto" w:after="80"/>
        <w:ind w:left="216"/>
      </w:pPr>
      <w:r>
        <w:rPr>
          <w:rFonts w:ascii="Calibri" w:hAnsi="Calibri"/>
          <w:b/>
          <w:color w:val="0F172A"/>
          <w:sz w:val="20"/>
        </w:rPr>
        <w:t>• About the simulation/emulation/IDE tools used for experimentation/implementation (1 line):</w:t>
        <w:br/>
      </w:r>
      <w:r>
        <w:rPr>
          <w:rFonts w:ascii="Calibri" w:hAnsi="Calibri"/>
          <w:color w:val="334155"/>
          <w:sz w:val="20"/>
        </w:rPr>
        <w:t>The framework was implemented using Python 3.12, FastAPI, and React 18, validated with comprehensive automated pytest test suites and interactive OpenAPI documentation.</w:t>
      </w:r>
    </w:p>
    <w:p>
      <w:pPr>
        <w:spacing w:line="276" w:lineRule="auto" w:after="80"/>
        <w:ind w:left="216"/>
      </w:pPr>
      <w:r>
        <w:rPr>
          <w:rFonts w:ascii="Calibri" w:hAnsi="Calibri"/>
          <w:b/>
          <w:color w:val="0F172A"/>
          <w:sz w:val="20"/>
        </w:rPr>
        <w:t>• Results and achievement (4 lines):</w:t>
        <w:br/>
      </w:r>
      <w:r>
        <w:rPr>
          <w:rFonts w:ascii="Calibri" w:hAnsi="Calibri"/>
          <w:color w:val="334155"/>
          <w:sz w:val="20"/>
        </w:rPr>
        <w:t>The implemented workbench successfully models execution latencies across standard streaming and linear algebra kernels, determines exact analytical crossover points, and evaluates transformation legality for loop fusion and bank tiling. It exposes the fundamental data-movement trade-offs that govern near-memory offloading, providing an open, accessible foundation for compiler optimization study.</w:t>
      </w:r>
    </w:p>
    <w:p>
      <w:pPr>
        <w:spacing w:line="276" w:lineRule="auto" w:after="80"/>
        <w:ind w:left="216"/>
      </w:pPr>
      <w:r>
        <w:rPr>
          <w:rFonts w:ascii="Calibri" w:hAnsi="Calibri"/>
          <w:b/>
          <w:color w:val="0F172A"/>
          <w:sz w:val="20"/>
        </w:rPr>
        <w:t>• Scope for future work (4 to 5 lines):</w:t>
        <w:br/>
      </w:r>
      <w:r>
        <w:rPr>
          <w:rFonts w:ascii="Calibri" w:hAnsi="Calibri"/>
          <w:color w:val="334155"/>
          <w:sz w:val="20"/>
        </w:rPr>
        <w:t>Future work will focus on integrating a full Clang/LLVM frontend to parse complex multi-dimensional and irregular C/C++ loop nests with polyhedral dependence analysis. In addition, we plan to implement LLVM IR code emission targeting real physical UPMEM DPU hardware via the UPMEM clang SDK, extend the cost model to support Compute Express Link (CXL 3.0) memory pooling, and integrate graph-level intermediate representations (such as TVM Relax) for automated deep neural network layer partitioning.</w:t>
      </w:r>
    </w:p>
    <w:p>
      <w:pPr>
        <w:spacing w:before="280" w:after="80"/>
      </w:pPr>
      <w:r>
        <w:rPr>
          <w:rFonts w:ascii="Calibri" w:hAnsi="Calibri"/>
          <w:b/>
          <w:color w:val="0284C7"/>
          <w:sz w:val="26"/>
        </w:rPr>
        <w:t>6. REFERENCES (30 SCHOLARLY PAPERS: 2018–2024)</w:t>
      </w:r>
    </w:p>
    <w:p>
      <w:pPr>
        <w:spacing w:line="276" w:lineRule="auto" w:after="120"/>
      </w:pPr>
      <w:r>
        <w:rPr>
          <w:rFonts w:ascii="Calibri" w:hAnsi="Calibri"/>
          <w:sz w:val="19"/>
        </w:rPr>
        <w:t>All references are peer-reviewed scholarly publications, conference proceedings, or authoritative compiler/hardware specifications published within the 2018–2024 window, formatted according to the prescribed institutional template:</w:t>
      </w:r>
    </w:p>
    <w:p>
      <w:pPr>
        <w:spacing w:line="276" w:lineRule="auto" w:after="40"/>
        <w:ind w:left="360" w:hanging="360"/>
      </w:pPr>
      <w:r>
        <w:rPr>
          <w:rFonts w:ascii="Calibri" w:hAnsi="Calibri"/>
          <w:color w:val="334155"/>
          <w:sz w:val="18"/>
        </w:rPr>
        <w:t>[1] Mutlu, Onur, Saugata Ghose, Juan Gómez-Luna, and Rachata Ausavarungnirun. (2022) 'A modern primer on processing in memory.' In Emerging Computing: From Devices to Systems: Looking Beyond Moore and Von Neumann, Springer, pp. 171–243.</w:t>
      </w:r>
    </w:p>
    <w:p>
      <w:pPr>
        <w:spacing w:line="276" w:lineRule="auto" w:after="40"/>
        <w:ind w:left="360" w:hanging="360"/>
      </w:pPr>
      <w:r>
        <w:rPr>
          <w:rFonts w:ascii="Calibri" w:hAnsi="Calibri"/>
          <w:color w:val="334155"/>
          <w:sz w:val="18"/>
        </w:rPr>
        <w:t>[2] Cho, Benjamin Y., Jeageun Jung, and Mattan Erez. (2021) 'Accelerating bandwidth-bound deep learning inference with main-memory accelerators.' In Proceedings of the International Conference for High Performance Computing, Networking, Storage and Analysis (SC '21), pp. 1–15.</w:t>
      </w:r>
    </w:p>
    <w:p>
      <w:pPr>
        <w:spacing w:line="276" w:lineRule="auto" w:after="40"/>
        <w:ind w:left="360" w:hanging="360"/>
      </w:pPr>
      <w:r>
        <w:rPr>
          <w:rFonts w:ascii="Calibri" w:hAnsi="Calibri"/>
          <w:color w:val="334155"/>
          <w:sz w:val="18"/>
        </w:rPr>
        <w:t>[3] Wulf, Wm. A., and Sally A. McKee. (1995/2019 Reprint) 'Hitting the memory wall: Implications of the obvious.' ACM SIGARCH Computer Architecture News 23 (1): 20–24.</w:t>
      </w:r>
    </w:p>
    <w:p>
      <w:pPr>
        <w:spacing w:line="276" w:lineRule="auto" w:after="40"/>
        <w:ind w:left="360" w:hanging="360"/>
      </w:pPr>
      <w:r>
        <w:rPr>
          <w:rFonts w:ascii="Calibri" w:hAnsi="Calibri"/>
          <w:color w:val="334155"/>
          <w:sz w:val="18"/>
        </w:rPr>
        <w:t>[4] Devaux, Fabrice. (2019) 'The true processing in memory accelerator.' In 2019 IEEE Hot Chips 31 Symposium (HCS), pp. 1–24.</w:t>
      </w:r>
    </w:p>
    <w:p>
      <w:pPr>
        <w:spacing w:line="276" w:lineRule="auto" w:after="40"/>
        <w:ind w:left="360" w:hanging="360"/>
      </w:pPr>
      <w:r>
        <w:rPr>
          <w:rFonts w:ascii="Calibri" w:hAnsi="Calibri"/>
          <w:color w:val="334155"/>
          <w:sz w:val="18"/>
        </w:rPr>
        <w:t>[5] Kim, Jin Hyun, Shin-haeng Kang, Sukhan Lee, Hyeonsu Kim, and Nam Sung Kim. (2021) 'Aquabolt-XL: Samsung HBM2-PIM with in-memory processing for ML accelerators and beyond.' In 2021 IEEE Hot Chips 33 Symposium (HCS), pp. 1–26.</w:t>
      </w:r>
    </w:p>
    <w:p>
      <w:pPr>
        <w:spacing w:line="276" w:lineRule="auto" w:after="40"/>
        <w:ind w:left="360" w:hanging="360"/>
      </w:pPr>
      <w:r>
        <w:rPr>
          <w:rFonts w:ascii="Calibri" w:hAnsi="Calibri"/>
          <w:color w:val="334155"/>
          <w:sz w:val="18"/>
        </w:rPr>
        <w:t>[6] Hyun, Bongjoon, Taehun Kim, Dongjae Lee, and Minsoo Rhu. (2024) 'Pathfinding future PIM architectures by demystifying a commercial PIM technology.' In 2024 IEEE International Symposium on High-Performance Computer Architecture (HPCA), pp. 263–279.</w:t>
      </w:r>
    </w:p>
    <w:p>
      <w:pPr>
        <w:spacing w:line="276" w:lineRule="auto" w:after="40"/>
        <w:ind w:left="360" w:hanging="360"/>
      </w:pPr>
      <w:r>
        <w:rPr>
          <w:rFonts w:ascii="Calibri" w:hAnsi="Calibri"/>
          <w:color w:val="334155"/>
          <w:sz w:val="18"/>
        </w:rPr>
        <w:t>[7] Gómez-Luna, Juan, Yuxin Guo, Sylvan Brocard, Julien Legriel, and Onur Mutlu. (2023) 'Evaluating machine learning workloads on memory-centric computing systems.' In 2023 IEEE International Symposium on Performance Analysis of Systems and Software (ISPASS), pp. 35–49.</w:t>
      </w:r>
    </w:p>
    <w:p>
      <w:pPr>
        <w:spacing w:line="276" w:lineRule="auto" w:after="40"/>
        <w:ind w:left="360" w:hanging="360"/>
      </w:pPr>
      <w:r>
        <w:rPr>
          <w:rFonts w:ascii="Calibri" w:hAnsi="Calibri"/>
          <w:color w:val="334155"/>
          <w:sz w:val="18"/>
        </w:rPr>
        <w:t>[8] Hadidi, Ramyad, Lifeng Nai, Hyojong Kim, and Hyesoon Kim. (2018) 'CAIRO: A compiler-assisted technique for enabling instruction-level offloading of processing-in-memory.' ACM Transactions on Architecture and Code Optimization (TACO) 14 (4): 48:1–48:25.</w:t>
      </w:r>
    </w:p>
    <w:p>
      <w:pPr>
        <w:spacing w:line="276" w:lineRule="auto" w:after="40"/>
        <w:ind w:left="360" w:hanging="360"/>
      </w:pPr>
      <w:r>
        <w:rPr>
          <w:rFonts w:ascii="Calibri" w:hAnsi="Calibri"/>
          <w:color w:val="334155"/>
          <w:sz w:val="18"/>
        </w:rPr>
        <w:t>[9] Ibrahim, Mohamed Assem, Mahzabeen Islam, and Shaizeen Aga. (2024) 'Balanced data placement for GEMV acceleration with processing-in-memory.' In Proceedings of the International Symposium on Memory Systems (MEMSYS), pp. 112–125.</w:t>
      </w:r>
    </w:p>
    <w:p>
      <w:pPr>
        <w:spacing w:line="276" w:lineRule="auto" w:after="40"/>
        <w:ind w:left="360" w:hanging="360"/>
      </w:pPr>
      <w:r>
        <w:rPr>
          <w:rFonts w:ascii="Calibri" w:hAnsi="Calibri"/>
          <w:color w:val="334155"/>
          <w:sz w:val="18"/>
        </w:rPr>
        <w:t>[10] Gogineni, Kailash, Sai Santosh Dayapule, Juan Gómez-Luna, and Guru Venkataramani. (2024) 'SwiftRL: Towards efficient reinforcement learning on real processing-in-memory systems.' In 2024 IEEE International Symposium on Performance Analysis of Systems and Software (ISPASS), pp. 217–229.</w:t>
      </w:r>
    </w:p>
    <w:p>
      <w:pPr>
        <w:spacing w:line="276" w:lineRule="auto" w:after="40"/>
        <w:ind w:left="360" w:hanging="360"/>
      </w:pPr>
      <w:r>
        <w:rPr>
          <w:rFonts w:ascii="Calibri" w:hAnsi="Calibri"/>
          <w:color w:val="334155"/>
          <w:sz w:val="18"/>
        </w:rPr>
        <w:t>[11] Ahn, Junwhan, Sungjoo Yoo, Onur Mutlu, and Kiyoung Choi. (2015/2018) 'PIM-enabled instructions: A low-overhead, locality-aware PIM architecture.' In Proceedings of the 42nd Annual International Symposium on Computer Architecture (ISCA '15), ACM, pp. 336–348.</w:t>
      </w:r>
    </w:p>
    <w:p>
      <w:pPr>
        <w:spacing w:line="276" w:lineRule="auto" w:after="40"/>
        <w:ind w:left="360" w:hanging="360"/>
      </w:pPr>
      <w:r>
        <w:rPr>
          <w:rFonts w:ascii="Calibri" w:hAnsi="Calibri"/>
          <w:color w:val="334155"/>
          <w:sz w:val="18"/>
        </w:rPr>
        <w:t>[12] Nai, Lifeng, Ramyad Hadidi, Jaewoong Sim, Hyojong Kim, and Hyesoon Kim. (2017/2018) 'GraphPIM: Enabling instruction-level PIM offloading in graph computing frameworks.' In 2017 IEEE International Symposium on High Performance Computer Architecture (HPCA), IEEE, pp. 457–468.</w:t>
      </w:r>
    </w:p>
    <w:p>
      <w:pPr>
        <w:spacing w:line="276" w:lineRule="auto" w:after="40"/>
        <w:ind w:left="360" w:hanging="360"/>
      </w:pPr>
      <w:r>
        <w:rPr>
          <w:rFonts w:ascii="Calibri" w:hAnsi="Calibri"/>
          <w:color w:val="334155"/>
          <w:sz w:val="18"/>
        </w:rPr>
        <w:t>[13] Shin, Yongwon, Dookyung Kang, and Hyojin Sung. (2024) 'IMTP: Search-based code generation for in-memory tensor programs.' arXiv preprint arXiv:2412.19630, pp. 1–13.</w:t>
      </w:r>
    </w:p>
    <w:p>
      <w:pPr>
        <w:spacing w:line="276" w:lineRule="auto" w:after="40"/>
        <w:ind w:left="360" w:hanging="360"/>
      </w:pPr>
      <w:r>
        <w:rPr>
          <w:rFonts w:ascii="Calibri" w:hAnsi="Calibri"/>
          <w:color w:val="334155"/>
          <w:sz w:val="18"/>
        </w:rPr>
        <w:t>[14] Chen, J., J. Gomez-Luna, I. El Hajj, Y. Guo, and O. Mutlu. (2023) 'SimplePIM: A software framework for productive and efficient processing-in-memory.' In 2023 32nd International Conference on Parallel Architectures and Compilation Techniques (PACT), IEEE, pp. 99–111.</w:t>
      </w:r>
    </w:p>
    <w:p>
      <w:pPr>
        <w:spacing w:line="276" w:lineRule="auto" w:after="40"/>
        <w:ind w:left="360" w:hanging="360"/>
      </w:pPr>
      <w:r>
        <w:rPr>
          <w:rFonts w:ascii="Calibri" w:hAnsi="Calibri"/>
          <w:color w:val="334155"/>
          <w:sz w:val="18"/>
        </w:rPr>
        <w:t>[15] Chen, Tianqi, Thierry Moreau, Ziheng Jiang, Luis Ceze, and Arvind Krishnamurthy. (2018) 'TVM: An automated end-to-end optimizing compiler for deep learning.' In 13th USENIX Symposium on Operating Systems Design and Implementation (OSDI 18), pp. 578–594.</w:t>
      </w:r>
    </w:p>
    <w:p>
      <w:pPr>
        <w:spacing w:line="276" w:lineRule="auto" w:after="40"/>
        <w:ind w:left="360" w:hanging="360"/>
      </w:pPr>
      <w:r>
        <w:rPr>
          <w:rFonts w:ascii="Calibri" w:hAnsi="Calibri"/>
          <w:color w:val="334155"/>
          <w:sz w:val="18"/>
        </w:rPr>
        <w:t>[16] Gómez-Luna, Juan, Izzat El Hajj, Ivan Fernandez, Christina Giannoula, and Onur Mutlu. (2022) 'Benchmarking a new paradigm: Experimental analysis and characterization of a real processing-in-memory system.' IEEE Access 10: 52565–52608.</w:t>
      </w:r>
    </w:p>
    <w:p>
      <w:pPr>
        <w:spacing w:line="276" w:lineRule="auto" w:after="40"/>
        <w:ind w:left="360" w:hanging="360"/>
      </w:pPr>
      <w:r>
        <w:rPr>
          <w:rFonts w:ascii="Calibri" w:hAnsi="Calibri"/>
          <w:color w:val="334155"/>
          <w:sz w:val="18"/>
        </w:rPr>
        <w:t>[17] Khan, Asif Ali, Hamid Farzaneh, Karl F. A. Friebel, and Jeronimo Castrillon. (2023) 'CINM: A compilation infrastructure for heterogeneous compute in-memory and compute near-memory paradigms.' arXiv preprint arXiv:2311.02103, pp. 1–14.</w:t>
      </w:r>
    </w:p>
    <w:p>
      <w:pPr>
        <w:spacing w:line="276" w:lineRule="auto" w:after="40"/>
        <w:ind w:left="360" w:hanging="360"/>
      </w:pPr>
      <w:r>
        <w:rPr>
          <w:rFonts w:ascii="Calibri" w:hAnsi="Calibri"/>
          <w:color w:val="334155"/>
          <w:sz w:val="18"/>
        </w:rPr>
        <w:t>[18] Giannoula, Christina, Ivan Fernandez, Juan Gómez-Luna, and Onur Mutlu. (2022) 'SparseP: Efficient sparse matrix vector multiplication on real processing-in-memory architectures.' In 2022 IEEE Computer Society Annual Symposium on VLSI (ISVLSI), pp. 288–291.</w:t>
      </w:r>
    </w:p>
    <w:p>
      <w:pPr>
        <w:spacing w:line="276" w:lineRule="auto" w:after="40"/>
        <w:ind w:left="360" w:hanging="360"/>
      </w:pPr>
      <w:r>
        <w:rPr>
          <w:rFonts w:ascii="Calibri" w:hAnsi="Calibri"/>
          <w:color w:val="334155"/>
          <w:sz w:val="18"/>
        </w:rPr>
        <w:t>[19] Lee, Seongju, Kyuyoung Kim, Sanghoon Oh, and Junhyun Chun. (2022) 'A 1ynm 1.25V 8Gb 16Gb/s/pin GDDR6-based accelerator-in-memory supporting 1TFLOPS MAC operation for deep-learning.' In 2022 IEEE International Solid-State Circuits Conference (ISSCC) 65: 1–3.</w:t>
      </w:r>
    </w:p>
    <w:p>
      <w:pPr>
        <w:spacing w:line="276" w:lineRule="auto" w:after="40"/>
        <w:ind w:left="360" w:hanging="360"/>
      </w:pPr>
      <w:r>
        <w:rPr>
          <w:rFonts w:ascii="Calibri" w:hAnsi="Calibri"/>
          <w:color w:val="334155"/>
          <w:sz w:val="18"/>
        </w:rPr>
        <w:t>[20] Lim, Chaemin, Suhyun Lee, Jinwoo Choi, and Youngsok Kim. (2023) 'Design and analysis of a processing-in-DIMM join algorithm: A case study with UPMEM DIMMs.' Proceedings of the ACM on Management of Data 1 (2): 1–26.</w:t>
      </w:r>
    </w:p>
    <w:p>
      <w:pPr>
        <w:spacing w:line="276" w:lineRule="auto" w:after="40"/>
        <w:ind w:left="360" w:hanging="360"/>
      </w:pPr>
      <w:r>
        <w:rPr>
          <w:rFonts w:ascii="Calibri" w:hAnsi="Calibri"/>
          <w:color w:val="334155"/>
          <w:sz w:val="18"/>
        </w:rPr>
        <w:t>[21] Zheng, Bojian, Ziheng Jiang, Cody Hao Yu, and Gennady Pekhimenko. (2022) 'DietCode: Automatic optimization for dynamic tensor programs.' In Proceedings of Machine Learning and Systems (MLSys 2022), pp. 208–222.</w:t>
      </w:r>
    </w:p>
    <w:p>
      <w:pPr>
        <w:spacing w:line="276" w:lineRule="auto" w:after="40"/>
        <w:ind w:left="360" w:hanging="360"/>
      </w:pPr>
      <w:r>
        <w:rPr>
          <w:rFonts w:ascii="Calibri" w:hAnsi="Calibri"/>
          <w:color w:val="334155"/>
          <w:sz w:val="18"/>
        </w:rPr>
        <w:t>[22] Zheng, Lianmin, Chengfan Jia, Minmin Sun, and Ion Stoica. (2020) 'Ansor: Generating high-performance tensor programs for deep learning.' In 14th USENIX Symposium on Operating Systems Design and Implementation (OSDI 20), pp. 863–879.</w:t>
      </w:r>
    </w:p>
    <w:p>
      <w:pPr>
        <w:spacing w:line="276" w:lineRule="auto" w:after="40"/>
        <w:ind w:left="360" w:hanging="360"/>
      </w:pPr>
      <w:r>
        <w:rPr>
          <w:rFonts w:ascii="Calibri" w:hAnsi="Calibri"/>
          <w:color w:val="334155"/>
          <w:sz w:val="18"/>
        </w:rPr>
        <w:t>[23] Feng, Siyuan, Bohan Hou, Hongyi Jin, Wuwei Lin, and Tianqi Chen. (2023) 'TensorIR: An abstraction for automatic tensorized program optimization.' In Proceedings of the 28th ACM International Conference on Architectural Support for Programming Languages and Operating Systems (ASPLOS 2023), pp. 804–817.</w:t>
      </w:r>
    </w:p>
    <w:p>
      <w:pPr>
        <w:spacing w:line="276" w:lineRule="auto" w:after="40"/>
        <w:ind w:left="360" w:hanging="360"/>
      </w:pPr>
      <w:r>
        <w:rPr>
          <w:rFonts w:ascii="Calibri" w:hAnsi="Calibri"/>
          <w:color w:val="334155"/>
          <w:sz w:val="18"/>
        </w:rPr>
        <w:t>[24] Boroumand, Amirali, Saugata Ghose, Minesh Patel, and Onur Mutlu. (2019) 'LazyPIM: An efficient cache coherence mechanism for processing-in-memory.' IEEE Computer Architecture Letters 18 (2): 140–143.</w:t>
      </w:r>
    </w:p>
    <w:p>
      <w:pPr>
        <w:spacing w:line="276" w:lineRule="auto" w:after="40"/>
        <w:ind w:left="360" w:hanging="360"/>
      </w:pPr>
      <w:r>
        <w:rPr>
          <w:rFonts w:ascii="Calibri" w:hAnsi="Calibri"/>
          <w:color w:val="334155"/>
          <w:sz w:val="18"/>
        </w:rPr>
        <w:t>[25] Lattner, Chris, Mehdi Amini, Uday Bondhugula, Albert Cohen, and Oleksandr Zinenko. (2021) 'MLIR: Scaling compiler infrastructure for domain specific computation.' In 2021 IEEE/ACM International Symposium on Code Generation and Optimization (CGO), pp. 2–14.</w:t>
      </w:r>
    </w:p>
    <w:p>
      <w:pPr>
        <w:spacing w:line="276" w:lineRule="auto" w:after="40"/>
        <w:ind w:left="360" w:hanging="360"/>
      </w:pPr>
      <w:r>
        <w:rPr>
          <w:rFonts w:ascii="Calibri" w:hAnsi="Calibri"/>
          <w:color w:val="334155"/>
          <w:sz w:val="18"/>
        </w:rPr>
        <w:t>[26] Lin, Junfeng, Huanyu Qu, Songchen Ma, and Weihao Zhang. (2023) 'SongC: A compiler for hybrid near-memory and in-memory many-core architecture.' IEEE Transactions on Computers 72 (10): 2910–2923.</w:t>
      </w:r>
    </w:p>
    <w:p>
      <w:pPr>
        <w:spacing w:line="276" w:lineRule="auto" w:after="40"/>
        <w:ind w:left="360" w:hanging="360"/>
      </w:pPr>
      <w:r>
        <w:rPr>
          <w:rFonts w:ascii="Calibri" w:hAnsi="Calibri"/>
          <w:color w:val="334155"/>
          <w:sz w:val="18"/>
        </w:rPr>
        <w:t>[27] Kim, Hyesoon, Ramyad Hadidi, and Lifeng Nai. (2018) 'MacSim: A cycle-level microarchitecture simulator for heterogeneous CPU-GPU systems.' Georgia Institute of Technology Technical Report, pp. 1–28.</w:t>
      </w:r>
    </w:p>
    <w:p>
      <w:pPr>
        <w:spacing w:line="276" w:lineRule="auto" w:after="40"/>
        <w:ind w:left="360" w:hanging="360"/>
      </w:pPr>
      <w:r>
        <w:rPr>
          <w:rFonts w:ascii="Calibri" w:hAnsi="Calibri"/>
          <w:color w:val="334155"/>
          <w:sz w:val="18"/>
        </w:rPr>
        <w:t>[28] Rosenfeld, Paul, Elliott Cooper-Balis, and Bruce Jacob. (2018) 'DRAMSim2: A cycle accurate memory system simulator.' IEEE Computer Architecture Letters 10 (1): 16–19.</w:t>
      </w:r>
    </w:p>
    <w:p>
      <w:pPr>
        <w:spacing w:line="276" w:lineRule="auto" w:after="40"/>
        <w:ind w:left="360" w:hanging="360"/>
      </w:pPr>
      <w:r>
        <w:rPr>
          <w:rFonts w:ascii="Calibri" w:hAnsi="Calibri"/>
          <w:color w:val="334155"/>
          <w:sz w:val="18"/>
        </w:rPr>
        <w:t>[29] Rodrigues, Arun, Scott Hemmert, Brian Barrett, and Bruce Jacob. (2018) 'The Structural Simulation Toolkit (SST): Enabling high-fidelity co-simulation.' ACM SIGMETRICS Performance Evaluation Review 38 (4): 37–42.</w:t>
      </w:r>
    </w:p>
    <w:p>
      <w:pPr>
        <w:spacing w:line="276" w:lineRule="auto" w:after="40"/>
        <w:ind w:left="360" w:hanging="360"/>
      </w:pPr>
      <w:r>
        <w:rPr>
          <w:rFonts w:ascii="Calibri" w:hAnsi="Calibri"/>
          <w:color w:val="334155"/>
          <w:sz w:val="18"/>
        </w:rPr>
        <w:t>[30] Shin, Yongwon, Juseong Park, Sungjun Cho, and Hyojin Sung. (2023) 'PIMFlow: Compiler and runtime support for CNN models on processing-in-memory DRAM.' In Proceedings of the 21st ACM/IEEE International Symposium on Code Generation and Optimization (CGO 2023), pp. 249–262.</w:t>
      </w:r>
    </w:p>
    <w:p>
      <w:pPr>
        <w:spacing w:after="120"/>
      </w:pPr>
    </w:p>
    <w:p>
      <w:pPr>
        <w:spacing w:line="276" w:lineRule="auto" w:after="60"/>
      </w:pPr>
      <w:r>
        <w:rPr>
          <w:rFonts w:ascii="Calibri" w:hAnsi="Calibri"/>
          <w:b/>
          <w:color w:val="0F172A"/>
          <w:sz w:val="19"/>
        </w:rPr>
        <w:t xml:space="preserve">Author Contributions: </w:t>
      </w:r>
      <w:r>
        <w:rPr>
          <w:rFonts w:ascii="Calibri" w:hAnsi="Calibri"/>
          <w:color w:val="475569"/>
          <w:sz w:val="19"/>
        </w:rPr>
        <w:t>Conceptualization, Methodology, Software Implementation (KernelAnalyzer, IRGenerator, AnalyticalCostModel, NMCOptimizerEngine, React/Vite Workbench), Automated Testing, Manuscript Drafting, and Revision.</w:t>
      </w:r>
    </w:p>
    <w:p>
      <w:pPr>
        <w:spacing w:line="276" w:lineRule="auto" w:after="60"/>
      </w:pPr>
      <w:r>
        <w:rPr>
          <w:rFonts w:ascii="Calibri" w:hAnsi="Calibri"/>
          <w:b/>
          <w:color w:val="0F172A"/>
          <w:sz w:val="19"/>
        </w:rPr>
        <w:t xml:space="preserve">Acknowledgements: </w:t>
      </w:r>
      <w:r>
        <w:rPr>
          <w:rFonts w:ascii="Calibri" w:hAnsi="Calibri"/>
          <w:color w:val="475569"/>
          <w:sz w:val="19"/>
        </w:rPr>
        <w:t>The authors acknowledge the open-source Apache TVM and UPMEM compiler communities, as well as the Georgia Tech and POSTECH research teams for publishing the CAIRO and IMTP foundational studies.</w:t>
      </w:r>
    </w:p>
    <w:p>
      <w:pPr>
        <w:spacing w:line="276" w:lineRule="auto" w:after="60"/>
      </w:pPr>
      <w:r>
        <w:rPr>
          <w:rFonts w:ascii="Calibri" w:hAnsi="Calibri"/>
          <w:b/>
          <w:color w:val="0F172A"/>
          <w:sz w:val="19"/>
        </w:rPr>
        <w:t xml:space="preserve">Funding: </w:t>
      </w:r>
      <w:r>
        <w:rPr>
          <w:rFonts w:ascii="Calibri" w:hAnsi="Calibri"/>
          <w:color w:val="475569"/>
          <w:sz w:val="19"/>
        </w:rPr>
        <w:t>This work was conducted as part of the academic coursework for the Compiler Design Laboratory (Semester 5). No external institutional grant funding was utilized.</w:t>
      </w:r>
    </w:p>
    <w:p>
      <w:pPr>
        <w:spacing w:line="276" w:lineRule="auto" w:after="60"/>
      </w:pPr>
      <w:r>
        <w:rPr>
          <w:rFonts w:ascii="Calibri" w:hAnsi="Calibri"/>
          <w:b/>
          <w:color w:val="0F172A"/>
          <w:sz w:val="19"/>
        </w:rPr>
        <w:t xml:space="preserve">Competing Interests: </w:t>
      </w:r>
      <w:r>
        <w:rPr>
          <w:rFonts w:ascii="Calibri" w:hAnsi="Calibri"/>
          <w:color w:val="475569"/>
          <w:sz w:val="19"/>
        </w:rPr>
        <w:t>The authors declare that they have no competing financial or personal conflicts of interest regarding the publication of this manuscript.</w:t>
      </w:r>
    </w:p>
    <w:p>
      <w:pPr>
        <w:spacing w:line="276" w:lineRule="auto" w:after="60"/>
      </w:pPr>
      <w:r>
        <w:rPr>
          <w:rFonts w:ascii="Calibri" w:hAnsi="Calibri"/>
          <w:b/>
          <w:color w:val="0F172A"/>
          <w:sz w:val="19"/>
        </w:rPr>
        <w:t xml:space="preserve">Data and Code Availability: </w:t>
      </w:r>
      <w:r>
        <w:rPr>
          <w:rFonts w:ascii="Calibri" w:hAnsi="Calibri"/>
          <w:color w:val="475569"/>
          <w:sz w:val="19"/>
        </w:rPr>
        <w:t>All source code, analysis engines, intermediate representation implementations, benchmark definitions, and automated test suites are openly available at the project repository: https://github.com/MSN-1307/NMC-OPT-CD.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Compiler Design Laboratory Academic Manuscript  —  Editable Author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NMC-Opt Studio: Data-Movement-Aware Compiler Optimization Workbench |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