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11F1" w14:textId="397E692A" w:rsidR="00564AC0" w:rsidRDefault="00564AC0">
      <w:r w:rsidRPr="00564AC0">
        <w:rPr>
          <w:b/>
          <w:bCs/>
          <w:noProof/>
        </w:rPr>
        <w:drawing>
          <wp:anchor distT="0" distB="0" distL="114300" distR="114300" simplePos="0" relativeHeight="251659264" behindDoc="0" locked="0" layoutInCell="1" allowOverlap="1" wp14:anchorId="6184342B" wp14:editId="3B875875">
            <wp:simplePos x="0" y="0"/>
            <wp:positionH relativeFrom="margin">
              <wp:posOffset>-481416</wp:posOffset>
            </wp:positionH>
            <wp:positionV relativeFrom="topMargin">
              <wp:posOffset>989010</wp:posOffset>
            </wp:positionV>
            <wp:extent cx="2390775" cy="3257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32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4AC0">
        <w:rPr>
          <w:noProof/>
        </w:rPr>
        <w:drawing>
          <wp:anchor distT="0" distB="0" distL="114300" distR="114300" simplePos="0" relativeHeight="251660288" behindDoc="1" locked="0" layoutInCell="1" allowOverlap="1" wp14:anchorId="470EA10C" wp14:editId="30CF99EE">
            <wp:simplePos x="0" y="0"/>
            <wp:positionH relativeFrom="rightMargin">
              <wp:posOffset>-440086</wp:posOffset>
            </wp:positionH>
            <wp:positionV relativeFrom="paragraph">
              <wp:posOffset>-410915</wp:posOffset>
            </wp:positionV>
            <wp:extent cx="889635" cy="1009650"/>
            <wp:effectExtent l="0" t="0" r="5715" b="0"/>
            <wp:wrapNone/>
            <wp:docPr id="66" name="Picture 6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5"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963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684B7" w14:textId="67EFDF64" w:rsidR="00564AC0" w:rsidRDefault="00564AC0"/>
    <w:p w14:paraId="2F977D4C" w14:textId="6D445C60" w:rsidR="00564AC0" w:rsidRDefault="00564AC0"/>
    <w:p w14:paraId="0C016204" w14:textId="566B8BA1" w:rsidR="00564AC0" w:rsidRPr="00564AC0" w:rsidRDefault="00564AC0" w:rsidP="00564AC0">
      <w:pPr>
        <w:autoSpaceDE w:val="0"/>
        <w:autoSpaceDN w:val="0"/>
        <w:adjustRightInd w:val="0"/>
        <w:spacing w:after="0" w:line="240" w:lineRule="auto"/>
        <w:jc w:val="center"/>
        <w:rPr>
          <w:rFonts w:ascii="DMSerifText-Regular" w:hAnsi="DMSerifText-Regular" w:cs="DMSerifText-Regular"/>
          <w:color w:val="0070C0"/>
          <w:sz w:val="95"/>
          <w:szCs w:val="95"/>
        </w:rPr>
      </w:pPr>
      <w:r w:rsidRPr="00564AC0">
        <w:rPr>
          <w:rFonts w:ascii="DMSerifText-Regular" w:hAnsi="DMSerifText-Regular" w:cs="DMSerifText-Regular"/>
          <w:color w:val="0070C0"/>
          <w:sz w:val="95"/>
          <w:szCs w:val="95"/>
        </w:rPr>
        <w:t>ITC-IWMI</w:t>
      </w:r>
    </w:p>
    <w:p w14:paraId="2C19E176" w14:textId="01F6BD62" w:rsidR="00564AC0" w:rsidRPr="00564AC0" w:rsidRDefault="00564AC0" w:rsidP="00564AC0">
      <w:pPr>
        <w:autoSpaceDE w:val="0"/>
        <w:autoSpaceDN w:val="0"/>
        <w:adjustRightInd w:val="0"/>
        <w:spacing w:after="0" w:line="240" w:lineRule="auto"/>
        <w:jc w:val="center"/>
        <w:rPr>
          <w:rFonts w:ascii="DMSerifText-Regular" w:hAnsi="DMSerifText-Regular" w:cs="DMSerifText-Regular"/>
          <w:color w:val="0070C0"/>
          <w:sz w:val="59"/>
          <w:szCs w:val="59"/>
        </w:rPr>
      </w:pPr>
      <w:r w:rsidRPr="00564AC0">
        <w:rPr>
          <w:rFonts w:ascii="DMSerifText-Regular" w:hAnsi="DMSerifText-Regular" w:cs="DMSerifText-Regular"/>
          <w:color w:val="0070C0"/>
          <w:sz w:val="59"/>
          <w:szCs w:val="59"/>
        </w:rPr>
        <w:t>KNOWLEDGE PARTNERSHIP</w:t>
      </w:r>
    </w:p>
    <w:p w14:paraId="4E462F11" w14:textId="0EF4E24B" w:rsidR="00564AC0" w:rsidRPr="00564AC0" w:rsidRDefault="00C84571" w:rsidP="00564AC0">
      <w:pPr>
        <w:autoSpaceDE w:val="0"/>
        <w:autoSpaceDN w:val="0"/>
        <w:adjustRightInd w:val="0"/>
        <w:spacing w:after="0" w:line="240" w:lineRule="auto"/>
        <w:jc w:val="center"/>
        <w:rPr>
          <w:rFonts w:ascii="National-Book" w:hAnsi="National-Book" w:cs="National-Book"/>
          <w:color w:val="0070C0"/>
          <w:sz w:val="32"/>
          <w:szCs w:val="32"/>
        </w:rPr>
      </w:pPr>
      <w:r>
        <w:rPr>
          <w:rFonts w:ascii="DMSerifText-Regular" w:hAnsi="DMSerifText-Regular" w:cs="DMSerifText-Regular"/>
          <w:color w:val="0070C0"/>
          <w:sz w:val="59"/>
          <w:szCs w:val="59"/>
        </w:rPr>
        <w:t>Project b</w:t>
      </w:r>
      <w:r w:rsidR="00D61AB9">
        <w:rPr>
          <w:rFonts w:ascii="DMSerifText-Regular" w:hAnsi="DMSerifText-Regular" w:cs="DMSerifText-Regular"/>
          <w:color w:val="0070C0"/>
          <w:sz w:val="59"/>
          <w:szCs w:val="59"/>
        </w:rPr>
        <w:t xml:space="preserve">rief and </w:t>
      </w:r>
      <w:r>
        <w:rPr>
          <w:rFonts w:ascii="DMSerifText-Regular" w:hAnsi="DMSerifText-Regular" w:cs="DMSerifText-Regular"/>
          <w:color w:val="0070C0"/>
          <w:sz w:val="59"/>
          <w:szCs w:val="59"/>
        </w:rPr>
        <w:t xml:space="preserve">workshop </w:t>
      </w:r>
      <w:r w:rsidR="00D61AB9">
        <w:rPr>
          <w:rFonts w:ascii="DMSerifText-Regular" w:hAnsi="DMSerifText-Regular" w:cs="DMSerifText-Regular"/>
          <w:color w:val="0070C0"/>
          <w:sz w:val="59"/>
          <w:szCs w:val="59"/>
        </w:rPr>
        <w:t>p</w:t>
      </w:r>
      <w:r w:rsidR="00564AC0" w:rsidRPr="00564AC0">
        <w:rPr>
          <w:rFonts w:ascii="DMSerifText-Regular" w:hAnsi="DMSerifText-Regular" w:cs="DMSerifText-Regular"/>
          <w:color w:val="0070C0"/>
          <w:sz w:val="59"/>
          <w:szCs w:val="59"/>
        </w:rPr>
        <w:t>olicy Recommendation</w:t>
      </w:r>
    </w:p>
    <w:p w14:paraId="5FDE2B68" w14:textId="7C7FCF71" w:rsidR="00564AC0" w:rsidRDefault="00564AC0" w:rsidP="00564AC0">
      <w:pPr>
        <w:autoSpaceDE w:val="0"/>
        <w:autoSpaceDN w:val="0"/>
        <w:adjustRightInd w:val="0"/>
        <w:spacing w:after="0" w:line="240" w:lineRule="auto"/>
        <w:jc w:val="center"/>
        <w:rPr>
          <w:rFonts w:ascii="National-Book" w:hAnsi="National-Book" w:cs="National-Book"/>
          <w:color w:val="2EC8A4"/>
          <w:sz w:val="32"/>
          <w:szCs w:val="32"/>
        </w:rPr>
      </w:pPr>
      <w:r>
        <w:rPr>
          <w:rFonts w:ascii="National-Book" w:hAnsi="National-Book" w:cs="National-Book"/>
          <w:color w:val="2EC8A4"/>
          <w:sz w:val="32"/>
          <w:szCs w:val="32"/>
        </w:rPr>
        <w:t>Drought proofing in Agri-catchments and Water Security</w:t>
      </w:r>
    </w:p>
    <w:p w14:paraId="101B9807" w14:textId="63511ACF" w:rsidR="00564AC0" w:rsidRDefault="00564AC0" w:rsidP="00564AC0">
      <w:pPr>
        <w:jc w:val="center"/>
        <w:rPr>
          <w:b/>
          <w:bCs/>
        </w:rPr>
      </w:pPr>
      <w:r>
        <w:rPr>
          <w:rFonts w:ascii="National-Book" w:hAnsi="National-Book" w:cs="National-Book"/>
          <w:color w:val="2EC8A4"/>
          <w:sz w:val="32"/>
          <w:szCs w:val="32"/>
        </w:rPr>
        <w:t>Assessment in the Factory Catchments of the ITC</w:t>
      </w:r>
      <w:r w:rsidRPr="00564AC0">
        <w:rPr>
          <w:b/>
          <w:bCs/>
        </w:rPr>
        <w:t xml:space="preserve"> </w:t>
      </w:r>
    </w:p>
    <w:p w14:paraId="69E401A7" w14:textId="24F788DB" w:rsidR="00564AC0" w:rsidRDefault="00564AC0" w:rsidP="00564AC0">
      <w:pPr>
        <w:jc w:val="center"/>
        <w:rPr>
          <w:b/>
          <w:bCs/>
        </w:rPr>
      </w:pPr>
    </w:p>
    <w:p w14:paraId="0AB51E20" w14:textId="77777777" w:rsidR="00564AC0" w:rsidRPr="00567D74" w:rsidRDefault="00564AC0" w:rsidP="00567D74">
      <w:pPr>
        <w:autoSpaceDE w:val="0"/>
        <w:autoSpaceDN w:val="0"/>
        <w:adjustRightInd w:val="0"/>
        <w:spacing w:after="0" w:line="276" w:lineRule="auto"/>
        <w:jc w:val="both"/>
        <w:rPr>
          <w:rFonts w:cstheme="minorHAnsi"/>
          <w:color w:val="262626"/>
        </w:rPr>
      </w:pPr>
      <w:r w:rsidRPr="00567D74">
        <w:rPr>
          <w:rFonts w:cstheme="minorHAnsi"/>
          <w:color w:val="262626"/>
        </w:rPr>
        <w:t xml:space="preserve">ITC’s ‘Mission </w:t>
      </w:r>
      <w:proofErr w:type="spellStart"/>
      <w:r w:rsidRPr="00567D74">
        <w:rPr>
          <w:rFonts w:cstheme="minorHAnsi"/>
          <w:color w:val="262626"/>
        </w:rPr>
        <w:t>Sunehra</w:t>
      </w:r>
      <w:proofErr w:type="spellEnd"/>
      <w:r w:rsidRPr="00567D74">
        <w:rPr>
          <w:rFonts w:cstheme="minorHAnsi"/>
          <w:color w:val="262626"/>
        </w:rPr>
        <w:t xml:space="preserve"> </w:t>
      </w:r>
      <w:proofErr w:type="spellStart"/>
      <w:r w:rsidRPr="00567D74">
        <w:rPr>
          <w:rFonts w:cstheme="minorHAnsi"/>
          <w:color w:val="262626"/>
        </w:rPr>
        <w:t>Kal</w:t>
      </w:r>
      <w:proofErr w:type="spellEnd"/>
      <w:r w:rsidRPr="00567D74">
        <w:rPr>
          <w:rFonts w:cstheme="minorHAnsi"/>
          <w:color w:val="262626"/>
        </w:rPr>
        <w:t>’ aims to strengthen rural livelihoods through a slew of initiatives including</w:t>
      </w:r>
    </w:p>
    <w:p w14:paraId="119EB36D" w14:textId="339F6297" w:rsidR="00564AC0" w:rsidRPr="00567D74" w:rsidRDefault="00564AC0" w:rsidP="00567D74">
      <w:pPr>
        <w:autoSpaceDE w:val="0"/>
        <w:autoSpaceDN w:val="0"/>
        <w:adjustRightInd w:val="0"/>
        <w:spacing w:after="0" w:line="276" w:lineRule="auto"/>
        <w:jc w:val="both"/>
        <w:rPr>
          <w:rFonts w:cstheme="minorHAnsi"/>
          <w:b/>
          <w:bCs/>
        </w:rPr>
      </w:pPr>
      <w:r w:rsidRPr="00567D74">
        <w:rPr>
          <w:rFonts w:cstheme="minorHAnsi"/>
          <w:color w:val="262626"/>
        </w:rPr>
        <w:t>e-</w:t>
      </w:r>
      <w:proofErr w:type="spellStart"/>
      <w:r w:rsidRPr="00567D74">
        <w:rPr>
          <w:rFonts w:cstheme="minorHAnsi"/>
          <w:color w:val="262626"/>
        </w:rPr>
        <w:t>Chaupal</w:t>
      </w:r>
      <w:proofErr w:type="spellEnd"/>
      <w:r w:rsidRPr="00567D74">
        <w:rPr>
          <w:rFonts w:cstheme="minorHAnsi"/>
          <w:color w:val="262626"/>
        </w:rPr>
        <w:t xml:space="preserve">, soil and moisture conservation, livestock development, social </w:t>
      </w:r>
      <w:proofErr w:type="gramStart"/>
      <w:r w:rsidRPr="00567D74">
        <w:rPr>
          <w:rFonts w:cstheme="minorHAnsi"/>
          <w:color w:val="262626"/>
        </w:rPr>
        <w:t>forestry</w:t>
      </w:r>
      <w:proofErr w:type="gramEnd"/>
      <w:r w:rsidRPr="00567D74">
        <w:rPr>
          <w:rFonts w:cstheme="minorHAnsi"/>
          <w:color w:val="262626"/>
        </w:rPr>
        <w:t xml:space="preserve"> and social infrastructure. Two of the key long-term outcomes envisaged from this are ‘drought-proofing of ITC’s </w:t>
      </w:r>
      <w:proofErr w:type="spellStart"/>
      <w:r w:rsidRPr="00567D74">
        <w:rPr>
          <w:rFonts w:cstheme="minorHAnsi"/>
          <w:color w:val="262626"/>
        </w:rPr>
        <w:t>agri</w:t>
      </w:r>
      <w:proofErr w:type="spellEnd"/>
      <w:r w:rsidRPr="00567D74">
        <w:rPr>
          <w:rFonts w:cstheme="minorHAnsi"/>
          <w:color w:val="262626"/>
        </w:rPr>
        <w:t xml:space="preserve">-catchments’ and ‘water security for all stakeholders in ITC’s factory </w:t>
      </w:r>
      <w:proofErr w:type="gramStart"/>
      <w:r w:rsidRPr="00567D74">
        <w:rPr>
          <w:rFonts w:cstheme="minorHAnsi"/>
          <w:color w:val="262626"/>
        </w:rPr>
        <w:t>catchments’</w:t>
      </w:r>
      <w:proofErr w:type="gramEnd"/>
      <w:r w:rsidRPr="00567D74">
        <w:rPr>
          <w:rFonts w:cstheme="minorHAnsi"/>
          <w:color w:val="262626"/>
        </w:rPr>
        <w:t xml:space="preserve">. Towards achieving these twin objectives, ITC and partners have been engaged in implementing measures for water supply augmentation and improved water demand management in several locations across the country. To strengthen the impacts of field interventions and contribute to building the resilience of local communities, in 2018-19, ITC invited IWMI to join them as part of a strategic knowledge partnership. As part of this partnership, IWMI was asked to develop a conceptual and analytical framework for ‘drought-proofing of ITC’s </w:t>
      </w:r>
      <w:proofErr w:type="spellStart"/>
      <w:r w:rsidRPr="00567D74">
        <w:rPr>
          <w:rFonts w:cstheme="minorHAnsi"/>
          <w:color w:val="262626"/>
        </w:rPr>
        <w:t>agri</w:t>
      </w:r>
      <w:proofErr w:type="spellEnd"/>
      <w:r w:rsidRPr="00567D74">
        <w:rPr>
          <w:rFonts w:cstheme="minorHAnsi"/>
          <w:color w:val="262626"/>
        </w:rPr>
        <w:t>-catchments’ and for delivering ‘water security for all’ in ITC’s factory catchments.</w:t>
      </w:r>
    </w:p>
    <w:p w14:paraId="01C4FB74" w14:textId="0FE28B7D" w:rsidR="00C57D3B" w:rsidRPr="00B61B31" w:rsidRDefault="00C57D3B" w:rsidP="00C57D3B">
      <w:pPr>
        <w:autoSpaceDE w:val="0"/>
        <w:autoSpaceDN w:val="0"/>
        <w:adjustRightInd w:val="0"/>
        <w:jc w:val="both"/>
        <w:rPr>
          <w:b/>
          <w:bCs/>
          <w:sz w:val="28"/>
          <w:szCs w:val="28"/>
        </w:rPr>
      </w:pPr>
    </w:p>
    <w:tbl>
      <w:tblPr>
        <w:tblStyle w:val="TableGrid"/>
        <w:tblW w:w="0" w:type="auto"/>
        <w:shd w:val="clear" w:color="auto" w:fill="5B9BD5" w:themeFill="accent5"/>
        <w:tblLook w:val="04A0" w:firstRow="1" w:lastRow="0" w:firstColumn="1" w:lastColumn="0" w:noHBand="0" w:noVBand="1"/>
      </w:tblPr>
      <w:tblGrid>
        <w:gridCol w:w="9016"/>
      </w:tblGrid>
      <w:tr w:rsidR="00C57D3B" w:rsidRPr="00B61B31" w14:paraId="5B104DE0" w14:textId="77777777" w:rsidTr="00FB4716">
        <w:tc>
          <w:tcPr>
            <w:tcW w:w="9016" w:type="dxa"/>
            <w:shd w:val="clear" w:color="auto" w:fill="5B9BD5" w:themeFill="accent5"/>
          </w:tcPr>
          <w:p w14:paraId="49A1B101" w14:textId="038E657C" w:rsidR="00C57D3B" w:rsidRPr="00C57D3B" w:rsidRDefault="00C57D3B" w:rsidP="00C57D3B">
            <w:pPr>
              <w:autoSpaceDE w:val="0"/>
              <w:autoSpaceDN w:val="0"/>
              <w:adjustRightInd w:val="0"/>
              <w:jc w:val="both"/>
              <w:rPr>
                <w:rFonts w:ascii="TestNational-Bold" w:hAnsi="TestNational-Bold" w:cs="TestNational-Bold"/>
                <w:b/>
                <w:bCs/>
                <w:sz w:val="28"/>
                <w:szCs w:val="28"/>
              </w:rPr>
            </w:pPr>
            <w:r>
              <w:rPr>
                <w:rFonts w:ascii="TestNational-Bold" w:hAnsi="TestNational-Bold" w:cs="TestNational-Bold"/>
                <w:b/>
                <w:bCs/>
                <w:sz w:val="28"/>
                <w:szCs w:val="28"/>
              </w:rPr>
              <w:t>Drought Proofing Agri- catchments</w:t>
            </w:r>
          </w:p>
        </w:tc>
      </w:tr>
    </w:tbl>
    <w:p w14:paraId="0BE7DF31" w14:textId="77777777" w:rsidR="00564AC0" w:rsidRDefault="00564AC0" w:rsidP="00564AC0">
      <w:pPr>
        <w:autoSpaceDE w:val="0"/>
        <w:autoSpaceDN w:val="0"/>
        <w:adjustRightInd w:val="0"/>
        <w:spacing w:after="0" w:line="240" w:lineRule="auto"/>
        <w:jc w:val="both"/>
        <w:rPr>
          <w:b/>
          <w:bCs/>
        </w:rPr>
      </w:pPr>
    </w:p>
    <w:p w14:paraId="53C11654" w14:textId="66E06725" w:rsidR="00564AC0" w:rsidRPr="00567D74" w:rsidRDefault="00564AC0" w:rsidP="00567D74">
      <w:pPr>
        <w:autoSpaceDE w:val="0"/>
        <w:autoSpaceDN w:val="0"/>
        <w:adjustRightInd w:val="0"/>
        <w:spacing w:after="0" w:line="276" w:lineRule="auto"/>
        <w:jc w:val="both"/>
        <w:rPr>
          <w:rFonts w:cstheme="minorHAnsi"/>
        </w:rPr>
      </w:pPr>
      <w:r w:rsidRPr="00567D74">
        <w:rPr>
          <w:rFonts w:cstheme="minorHAnsi"/>
        </w:rPr>
        <w:t xml:space="preserve">To assist in the planning and identification of water management interventions, project developed a conceptual drought proofing framework (Figure A). Drought proofing framework divides </w:t>
      </w:r>
      <w:proofErr w:type="spellStart"/>
      <w:r w:rsidRPr="00567D74">
        <w:rPr>
          <w:rFonts w:cstheme="minorHAnsi"/>
        </w:rPr>
        <w:t>agri</w:t>
      </w:r>
      <w:proofErr w:type="spellEnd"/>
      <w:r w:rsidRPr="00567D74">
        <w:rPr>
          <w:rFonts w:cstheme="minorHAnsi"/>
        </w:rPr>
        <w:t>-catchments into four distinct quadrants based on different scenarios for water availability and water use efficiency/productivity. Each of the four quadrants in the drought proofing framework represents catchments that require different type and intensity of water management interventions. The top right quadrant is the desired quadrant where both water availability (i.e., for meeting crop water needs) and WUE (i.e., water is used productively) are high.</w:t>
      </w:r>
    </w:p>
    <w:p w14:paraId="30786268" w14:textId="15640CC5" w:rsidR="00564AC0" w:rsidRDefault="00564AC0" w:rsidP="00564AC0">
      <w:pPr>
        <w:autoSpaceDE w:val="0"/>
        <w:autoSpaceDN w:val="0"/>
        <w:adjustRightInd w:val="0"/>
        <w:spacing w:after="0" w:line="240" w:lineRule="auto"/>
        <w:rPr>
          <w:rFonts w:ascii="TestNational-Book" w:hAnsi="TestNational-Book" w:cs="TestNational-Book"/>
        </w:rPr>
      </w:pPr>
    </w:p>
    <w:p w14:paraId="3A4AA501" w14:textId="49E1EDE0" w:rsidR="00564AC0" w:rsidRDefault="00564AC0" w:rsidP="00564AC0">
      <w:pPr>
        <w:autoSpaceDE w:val="0"/>
        <w:autoSpaceDN w:val="0"/>
        <w:adjustRightInd w:val="0"/>
        <w:spacing w:after="0" w:line="240" w:lineRule="auto"/>
        <w:rPr>
          <w:rFonts w:ascii="TestNational-Book" w:hAnsi="TestNational-Book" w:cs="TestNational-Book"/>
        </w:rPr>
      </w:pPr>
      <w:r w:rsidRPr="00564AC0">
        <w:rPr>
          <w:rFonts w:ascii="TestNational-Book" w:hAnsi="TestNational-Book" w:cs="TestNational-Book"/>
          <w:noProof/>
        </w:rPr>
        <w:lastRenderedPageBreak/>
        <w:drawing>
          <wp:inline distT="0" distB="0" distL="0" distR="0" wp14:anchorId="13E2133B" wp14:editId="6BCA4EC0">
            <wp:extent cx="5824141" cy="3242474"/>
            <wp:effectExtent l="0" t="0" r="5715"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7"/>
                    <a:srcRect b="7713"/>
                    <a:stretch/>
                  </pic:blipFill>
                  <pic:spPr bwMode="auto">
                    <a:xfrm>
                      <a:off x="0" y="0"/>
                      <a:ext cx="5827194" cy="3244174"/>
                    </a:xfrm>
                    <a:prstGeom prst="rect">
                      <a:avLst/>
                    </a:prstGeom>
                    <a:ln>
                      <a:noFill/>
                    </a:ln>
                    <a:extLst>
                      <a:ext uri="{53640926-AAD7-44D8-BBD7-CCE9431645EC}">
                        <a14:shadowObscured xmlns:a14="http://schemas.microsoft.com/office/drawing/2010/main"/>
                      </a:ext>
                    </a:extLst>
                  </pic:spPr>
                </pic:pic>
              </a:graphicData>
            </a:graphic>
          </wp:inline>
        </w:drawing>
      </w:r>
    </w:p>
    <w:p w14:paraId="48F0F6BB" w14:textId="77777777" w:rsidR="00567D74" w:rsidRDefault="00567D74" w:rsidP="00564AC0">
      <w:pPr>
        <w:autoSpaceDE w:val="0"/>
        <w:autoSpaceDN w:val="0"/>
        <w:adjustRightInd w:val="0"/>
        <w:spacing w:after="0" w:line="240" w:lineRule="auto"/>
        <w:rPr>
          <w:rFonts w:ascii="TestNational-Bold" w:hAnsi="TestNational-Bold" w:cs="TestNational-Bold"/>
          <w:b/>
          <w:bCs/>
          <w:sz w:val="24"/>
          <w:szCs w:val="24"/>
        </w:rPr>
      </w:pPr>
    </w:p>
    <w:p w14:paraId="5740A87B" w14:textId="2DF9DB17" w:rsidR="000D341E" w:rsidRPr="000D341E" w:rsidRDefault="000D341E" w:rsidP="000D341E">
      <w:pPr>
        <w:autoSpaceDE w:val="0"/>
        <w:autoSpaceDN w:val="0"/>
        <w:adjustRightInd w:val="0"/>
        <w:spacing w:after="0" w:line="240" w:lineRule="auto"/>
        <w:jc w:val="center"/>
        <w:rPr>
          <w:rFonts w:cstheme="minorHAnsi"/>
          <w:i/>
          <w:iCs/>
          <w:sz w:val="24"/>
          <w:szCs w:val="24"/>
        </w:rPr>
      </w:pPr>
      <w:r w:rsidRPr="000D341E">
        <w:rPr>
          <w:rFonts w:cstheme="minorHAnsi"/>
          <w:i/>
          <w:iCs/>
          <w:sz w:val="24"/>
          <w:szCs w:val="24"/>
        </w:rPr>
        <w:t>Figure A: Conceptual drought proofing framework</w:t>
      </w:r>
    </w:p>
    <w:p w14:paraId="78A09763" w14:textId="10D8D335" w:rsidR="00564AC0" w:rsidRDefault="00564AC0" w:rsidP="00564AC0">
      <w:pPr>
        <w:autoSpaceDE w:val="0"/>
        <w:autoSpaceDN w:val="0"/>
        <w:adjustRightInd w:val="0"/>
        <w:spacing w:after="0" w:line="240" w:lineRule="auto"/>
        <w:rPr>
          <w:rFonts w:ascii="TestNational-Bold" w:hAnsi="TestNational-Bold" w:cs="TestNational-Bold"/>
          <w:b/>
          <w:bCs/>
          <w:sz w:val="24"/>
          <w:szCs w:val="24"/>
        </w:rPr>
      </w:pPr>
    </w:p>
    <w:tbl>
      <w:tblPr>
        <w:tblStyle w:val="TableGrid"/>
        <w:tblW w:w="0" w:type="auto"/>
        <w:shd w:val="clear" w:color="auto" w:fill="5B9BD5" w:themeFill="accent5"/>
        <w:tblLook w:val="04A0" w:firstRow="1" w:lastRow="0" w:firstColumn="1" w:lastColumn="0" w:noHBand="0" w:noVBand="1"/>
      </w:tblPr>
      <w:tblGrid>
        <w:gridCol w:w="9016"/>
      </w:tblGrid>
      <w:tr w:rsidR="00C57D3B" w:rsidRPr="00C57D3B" w14:paraId="74047044" w14:textId="77777777" w:rsidTr="00FB4716">
        <w:tc>
          <w:tcPr>
            <w:tcW w:w="9016" w:type="dxa"/>
            <w:shd w:val="clear" w:color="auto" w:fill="5B9BD5" w:themeFill="accent5"/>
          </w:tcPr>
          <w:p w14:paraId="5336AFD5" w14:textId="3BC8F055" w:rsidR="00C57D3B" w:rsidRPr="00C57D3B" w:rsidRDefault="00C57D3B" w:rsidP="00FB4716">
            <w:pPr>
              <w:autoSpaceDE w:val="0"/>
              <w:autoSpaceDN w:val="0"/>
              <w:adjustRightInd w:val="0"/>
              <w:rPr>
                <w:rFonts w:cstheme="minorHAnsi"/>
                <w:b/>
                <w:bCs/>
                <w:sz w:val="28"/>
                <w:szCs w:val="28"/>
              </w:rPr>
            </w:pPr>
            <w:r w:rsidRPr="00C57D3B">
              <w:rPr>
                <w:rFonts w:cstheme="minorHAnsi"/>
                <w:b/>
                <w:bCs/>
                <w:sz w:val="24"/>
                <w:szCs w:val="24"/>
              </w:rPr>
              <w:t>Drought proofing tool</w:t>
            </w:r>
          </w:p>
        </w:tc>
      </w:tr>
    </w:tbl>
    <w:p w14:paraId="6C024BBD" w14:textId="77777777" w:rsidR="00564AC0" w:rsidRDefault="00564AC0" w:rsidP="00564AC0">
      <w:pPr>
        <w:autoSpaceDE w:val="0"/>
        <w:autoSpaceDN w:val="0"/>
        <w:adjustRightInd w:val="0"/>
        <w:spacing w:after="0" w:line="240" w:lineRule="auto"/>
        <w:rPr>
          <w:rFonts w:ascii="TestNational-Book" w:hAnsi="TestNational-Book" w:cs="TestNational-Book"/>
        </w:rPr>
      </w:pPr>
    </w:p>
    <w:p w14:paraId="7B6F98BE" w14:textId="1D81C67D" w:rsidR="00564AC0" w:rsidRPr="00567D74" w:rsidRDefault="00564AC0" w:rsidP="00567D74">
      <w:pPr>
        <w:autoSpaceDE w:val="0"/>
        <w:autoSpaceDN w:val="0"/>
        <w:adjustRightInd w:val="0"/>
        <w:spacing w:after="0" w:line="276" w:lineRule="auto"/>
        <w:jc w:val="both"/>
        <w:rPr>
          <w:rFonts w:cstheme="minorHAnsi"/>
        </w:rPr>
      </w:pPr>
      <w:r w:rsidRPr="00567D74">
        <w:rPr>
          <w:rFonts w:cstheme="minorHAnsi"/>
        </w:rPr>
        <w:t>To operationalize the conceptual drought-proofing framework, a simple Microsoft Excel spreadsheet based user-friendly tool is also developed</w:t>
      </w:r>
      <w:r w:rsidR="000D341E">
        <w:rPr>
          <w:rFonts w:cstheme="minorHAnsi"/>
        </w:rPr>
        <w:t xml:space="preserve"> (Figure B)</w:t>
      </w:r>
      <w:r w:rsidRPr="00567D74">
        <w:rPr>
          <w:rFonts w:cstheme="minorHAnsi"/>
        </w:rPr>
        <w:t xml:space="preserve">. Tool employs a monthly water balance approach to assess water supply and demand dynamics at the catchment level. The tool can be used with minimum input data to facilitate identification, prioritization, planning and development of suitable intervention strategies for drought proofing in ITC’s </w:t>
      </w:r>
      <w:proofErr w:type="spellStart"/>
      <w:r w:rsidRPr="00567D74">
        <w:rPr>
          <w:rFonts w:cstheme="minorHAnsi"/>
        </w:rPr>
        <w:t>agri</w:t>
      </w:r>
      <w:proofErr w:type="spellEnd"/>
      <w:r w:rsidRPr="00567D74">
        <w:rPr>
          <w:rFonts w:cstheme="minorHAnsi"/>
        </w:rPr>
        <w:t xml:space="preserve">-catchments. The drought proofing framework and tool was </w:t>
      </w:r>
      <w:proofErr w:type="spellStart"/>
      <w:r w:rsidRPr="00567D74">
        <w:rPr>
          <w:rFonts w:cstheme="minorHAnsi"/>
        </w:rPr>
        <w:t>was</w:t>
      </w:r>
      <w:proofErr w:type="spellEnd"/>
      <w:r w:rsidRPr="00567D74">
        <w:rPr>
          <w:rFonts w:cstheme="minorHAnsi"/>
        </w:rPr>
        <w:t xml:space="preserve"> applied in four ITC </w:t>
      </w:r>
      <w:proofErr w:type="spellStart"/>
      <w:r w:rsidRPr="00567D74">
        <w:rPr>
          <w:rFonts w:cstheme="minorHAnsi"/>
        </w:rPr>
        <w:t>agri</w:t>
      </w:r>
      <w:proofErr w:type="spellEnd"/>
      <w:r w:rsidRPr="00567D74">
        <w:rPr>
          <w:rFonts w:cstheme="minorHAnsi"/>
        </w:rPr>
        <w:t xml:space="preserve">-catchments: </w:t>
      </w:r>
      <w:proofErr w:type="spellStart"/>
      <w:r w:rsidRPr="00567D74">
        <w:rPr>
          <w:rFonts w:cstheme="minorHAnsi"/>
        </w:rPr>
        <w:t>Prakasam</w:t>
      </w:r>
      <w:proofErr w:type="spellEnd"/>
      <w:r w:rsidRPr="00567D74">
        <w:rPr>
          <w:rFonts w:cstheme="minorHAnsi"/>
        </w:rPr>
        <w:t xml:space="preserve"> (Andhra Pradesh), Mysore (Karnataka), Jhalawar (Rajasthan) and Sehore (Madhya Pradesh).</w:t>
      </w:r>
    </w:p>
    <w:p w14:paraId="73E1A9F4" w14:textId="16A85D0A" w:rsidR="00564AC0" w:rsidRDefault="00564AC0" w:rsidP="00564AC0">
      <w:pPr>
        <w:autoSpaceDE w:val="0"/>
        <w:autoSpaceDN w:val="0"/>
        <w:adjustRightInd w:val="0"/>
        <w:spacing w:after="0" w:line="240" w:lineRule="auto"/>
        <w:rPr>
          <w:rFonts w:ascii="National-Book" w:hAnsi="National-Book" w:cs="National-Book"/>
          <w:color w:val="262626"/>
        </w:rPr>
      </w:pPr>
    </w:p>
    <w:p w14:paraId="540601E1" w14:textId="0D0932E0" w:rsidR="000D341E" w:rsidRDefault="000D341E" w:rsidP="000D341E">
      <w:pPr>
        <w:autoSpaceDE w:val="0"/>
        <w:autoSpaceDN w:val="0"/>
        <w:adjustRightInd w:val="0"/>
        <w:spacing w:after="0" w:line="240" w:lineRule="auto"/>
        <w:jc w:val="center"/>
        <w:rPr>
          <w:rFonts w:ascii="National-Book" w:hAnsi="National-Book" w:cs="National-Book"/>
          <w:color w:val="262626"/>
        </w:rPr>
      </w:pPr>
      <w:r w:rsidRPr="000D341E">
        <w:rPr>
          <w:rFonts w:ascii="National-Book" w:hAnsi="National-Book" w:cs="National-Book"/>
          <w:noProof/>
          <w:color w:val="262626"/>
        </w:rPr>
        <w:drawing>
          <wp:inline distT="0" distB="0" distL="0" distR="0" wp14:anchorId="34F182C8" wp14:editId="16C6654A">
            <wp:extent cx="5535503" cy="2955905"/>
            <wp:effectExtent l="0" t="0" r="8255" b="0"/>
            <wp:docPr id="4" name="Picture 3" descr="Graphical user interface, website&#10;&#10;Description automatically generated">
              <a:extLst xmlns:a="http://schemas.openxmlformats.org/drawingml/2006/main">
                <a:ext uri="{FF2B5EF4-FFF2-40B4-BE49-F238E27FC236}">
                  <a16:creationId xmlns:a16="http://schemas.microsoft.com/office/drawing/2014/main" id="{4751C065-6D52-468B-A32C-FFBA4AC26D3A}"/>
                </a:ext>
              </a:extLst>
            </wp:docPr>
            <wp:cNvGraphicFramePr/>
            <a:graphic xmlns:a="http://schemas.openxmlformats.org/drawingml/2006/main">
              <a:graphicData uri="http://schemas.openxmlformats.org/drawingml/2006/picture">
                <pic:pic xmlns:pic="http://schemas.openxmlformats.org/drawingml/2006/picture">
                  <pic:nvPicPr>
                    <pic:cNvPr id="4" name="Picture 3" descr="Graphical user interface, website&#10;&#10;Description automatically generated">
                      <a:extLst>
                        <a:ext uri="{FF2B5EF4-FFF2-40B4-BE49-F238E27FC236}">
                          <a16:creationId xmlns:a16="http://schemas.microsoft.com/office/drawing/2014/main" id="{4751C065-6D52-468B-A32C-FFBA4AC26D3A}"/>
                        </a:ext>
                      </a:extLst>
                    </pic:cNvPr>
                    <pic:cNvPicPr/>
                  </pic:nvPicPr>
                  <pic:blipFill>
                    <a:blip r:embed="rId8"/>
                    <a:stretch>
                      <a:fillRect/>
                    </a:stretch>
                  </pic:blipFill>
                  <pic:spPr>
                    <a:xfrm>
                      <a:off x="0" y="0"/>
                      <a:ext cx="5535503" cy="2955905"/>
                    </a:xfrm>
                    <a:prstGeom prst="rect">
                      <a:avLst/>
                    </a:prstGeom>
                  </pic:spPr>
                </pic:pic>
              </a:graphicData>
            </a:graphic>
          </wp:inline>
        </w:drawing>
      </w:r>
    </w:p>
    <w:p w14:paraId="62BB1F09" w14:textId="2FE5084D" w:rsidR="00564AC0" w:rsidRPr="00C57D3B" w:rsidRDefault="000D341E" w:rsidP="00C57D3B">
      <w:pPr>
        <w:autoSpaceDE w:val="0"/>
        <w:autoSpaceDN w:val="0"/>
        <w:adjustRightInd w:val="0"/>
        <w:spacing w:after="0" w:line="240" w:lineRule="auto"/>
        <w:jc w:val="center"/>
        <w:rPr>
          <w:rFonts w:cstheme="minorHAnsi"/>
          <w:i/>
          <w:iCs/>
          <w:color w:val="262626"/>
          <w:sz w:val="24"/>
          <w:szCs w:val="24"/>
        </w:rPr>
      </w:pPr>
      <w:r w:rsidRPr="000D341E">
        <w:rPr>
          <w:rFonts w:cstheme="minorHAnsi"/>
          <w:i/>
          <w:iCs/>
          <w:color w:val="262626"/>
          <w:sz w:val="24"/>
          <w:szCs w:val="24"/>
        </w:rPr>
        <w:t>Figure B: Interface of drought proofing tool</w:t>
      </w:r>
    </w:p>
    <w:tbl>
      <w:tblPr>
        <w:tblStyle w:val="TableGrid"/>
        <w:tblW w:w="0" w:type="auto"/>
        <w:shd w:val="clear" w:color="auto" w:fill="5B9BD5" w:themeFill="accent5"/>
        <w:tblLook w:val="04A0" w:firstRow="1" w:lastRow="0" w:firstColumn="1" w:lastColumn="0" w:noHBand="0" w:noVBand="1"/>
      </w:tblPr>
      <w:tblGrid>
        <w:gridCol w:w="9016"/>
      </w:tblGrid>
      <w:tr w:rsidR="00C57D3B" w:rsidRPr="00C57D3B" w14:paraId="58ADCE89" w14:textId="77777777" w:rsidTr="00FB4716">
        <w:tc>
          <w:tcPr>
            <w:tcW w:w="9016" w:type="dxa"/>
            <w:shd w:val="clear" w:color="auto" w:fill="5B9BD5" w:themeFill="accent5"/>
          </w:tcPr>
          <w:p w14:paraId="6FC0F617" w14:textId="7B89F015" w:rsidR="00C57D3B" w:rsidRPr="00C57D3B" w:rsidRDefault="00C57D3B" w:rsidP="00FB4716">
            <w:pPr>
              <w:autoSpaceDE w:val="0"/>
              <w:autoSpaceDN w:val="0"/>
              <w:adjustRightInd w:val="0"/>
              <w:rPr>
                <w:rFonts w:cstheme="minorHAnsi"/>
                <w:b/>
                <w:bCs/>
                <w:sz w:val="28"/>
                <w:szCs w:val="28"/>
              </w:rPr>
            </w:pPr>
            <w:r w:rsidRPr="00C57D3B">
              <w:rPr>
                <w:rFonts w:cstheme="minorHAnsi"/>
                <w:b/>
                <w:bCs/>
                <w:sz w:val="28"/>
                <w:szCs w:val="28"/>
              </w:rPr>
              <w:lastRenderedPageBreak/>
              <w:t>Water Security for All in ITC</w:t>
            </w:r>
            <w:r w:rsidRPr="00C57D3B">
              <w:rPr>
                <w:rFonts w:cstheme="minorHAnsi"/>
                <w:sz w:val="28"/>
                <w:szCs w:val="28"/>
              </w:rPr>
              <w:t>'</w:t>
            </w:r>
            <w:r w:rsidRPr="00C57D3B">
              <w:rPr>
                <w:rFonts w:cstheme="minorHAnsi"/>
                <w:b/>
                <w:bCs/>
                <w:sz w:val="28"/>
                <w:szCs w:val="28"/>
              </w:rPr>
              <w:t>s Factory Catchments</w:t>
            </w:r>
          </w:p>
        </w:tc>
      </w:tr>
    </w:tbl>
    <w:p w14:paraId="5271EFD2" w14:textId="77777777" w:rsidR="00C57D3B" w:rsidRDefault="00C57D3B" w:rsidP="00564AC0">
      <w:pPr>
        <w:autoSpaceDE w:val="0"/>
        <w:autoSpaceDN w:val="0"/>
        <w:adjustRightInd w:val="0"/>
        <w:spacing w:after="0" w:line="240" w:lineRule="auto"/>
        <w:rPr>
          <w:rFonts w:ascii="TestNational-Bold" w:hAnsi="TestNational-Bold" w:cs="TestNational-Bold"/>
          <w:b/>
          <w:bCs/>
          <w:sz w:val="28"/>
          <w:szCs w:val="28"/>
        </w:rPr>
      </w:pPr>
    </w:p>
    <w:p w14:paraId="6388AB7E" w14:textId="5C36EFFE" w:rsidR="00564AC0" w:rsidRPr="000D341E" w:rsidRDefault="00564AC0" w:rsidP="000D341E">
      <w:pPr>
        <w:autoSpaceDE w:val="0"/>
        <w:autoSpaceDN w:val="0"/>
        <w:adjustRightInd w:val="0"/>
        <w:spacing w:after="0" w:line="276" w:lineRule="auto"/>
        <w:jc w:val="both"/>
        <w:rPr>
          <w:rFonts w:cstheme="minorHAnsi"/>
        </w:rPr>
      </w:pPr>
      <w:r w:rsidRPr="000D341E">
        <w:rPr>
          <w:rFonts w:cstheme="minorHAnsi"/>
        </w:rPr>
        <w:t xml:space="preserve">Water security is the availability of acceptable quantity and quality of water with acceptable water-related risks for all communities and dependents (domestic, livestock, agriculture, industry). With the aim to deliver ‘water security for all’ for communities and all co-dependents living </w:t>
      </w:r>
      <w:proofErr w:type="gramStart"/>
      <w:r w:rsidRPr="000D341E">
        <w:rPr>
          <w:rFonts w:cstheme="minorHAnsi"/>
        </w:rPr>
        <w:t>in close proximity to</w:t>
      </w:r>
      <w:proofErr w:type="gramEnd"/>
      <w:r w:rsidRPr="000D341E">
        <w:rPr>
          <w:rFonts w:cstheme="minorHAnsi"/>
        </w:rPr>
        <w:t xml:space="preserve"> factory locations, project developed a conceptual risk-based framework to water security assessment. The framework uses a combination of scarcity and risk, both measured on a scale of 0 to 1, to assess water insecurity</w:t>
      </w:r>
      <w:r w:rsidR="000D341E" w:rsidRPr="000D341E">
        <w:rPr>
          <w:rFonts w:cstheme="minorHAnsi"/>
        </w:rPr>
        <w:t xml:space="preserve"> (Figure C).</w:t>
      </w:r>
    </w:p>
    <w:p w14:paraId="251A99E6" w14:textId="088ED098" w:rsidR="00564AC0" w:rsidRDefault="00564AC0" w:rsidP="00564AC0">
      <w:pPr>
        <w:autoSpaceDE w:val="0"/>
        <w:autoSpaceDN w:val="0"/>
        <w:adjustRightInd w:val="0"/>
        <w:spacing w:after="0" w:line="240" w:lineRule="auto"/>
        <w:rPr>
          <w:rFonts w:ascii="Algerian" w:hAnsi="Algerian" w:cs="Algerian"/>
        </w:rPr>
      </w:pPr>
    </w:p>
    <w:p w14:paraId="06E93251" w14:textId="3C874932" w:rsidR="00564AC0" w:rsidRDefault="00564AC0" w:rsidP="000D341E">
      <w:pPr>
        <w:autoSpaceDE w:val="0"/>
        <w:autoSpaceDN w:val="0"/>
        <w:adjustRightInd w:val="0"/>
        <w:spacing w:after="0" w:line="240" w:lineRule="auto"/>
        <w:jc w:val="center"/>
        <w:rPr>
          <w:rFonts w:ascii="Algerian" w:hAnsi="Algerian" w:cs="Algerian"/>
        </w:rPr>
      </w:pPr>
      <w:r w:rsidRPr="00564AC0">
        <w:rPr>
          <w:rFonts w:ascii="Algerian" w:hAnsi="Algerian" w:cs="Algerian"/>
          <w:noProof/>
        </w:rPr>
        <w:drawing>
          <wp:inline distT="0" distB="0" distL="0" distR="0" wp14:anchorId="20EE5DA6" wp14:editId="38AB0D3D">
            <wp:extent cx="3109238" cy="236441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srcRect b="6996"/>
                    <a:stretch/>
                  </pic:blipFill>
                  <pic:spPr bwMode="auto">
                    <a:xfrm>
                      <a:off x="0" y="0"/>
                      <a:ext cx="3114232" cy="2368209"/>
                    </a:xfrm>
                    <a:prstGeom prst="rect">
                      <a:avLst/>
                    </a:prstGeom>
                    <a:ln>
                      <a:noFill/>
                    </a:ln>
                    <a:extLst>
                      <a:ext uri="{53640926-AAD7-44D8-BBD7-CCE9431645EC}">
                        <a14:shadowObscured xmlns:a14="http://schemas.microsoft.com/office/drawing/2010/main"/>
                      </a:ext>
                    </a:extLst>
                  </pic:spPr>
                </pic:pic>
              </a:graphicData>
            </a:graphic>
          </wp:inline>
        </w:drawing>
      </w:r>
    </w:p>
    <w:p w14:paraId="2D0FE732" w14:textId="56252F72" w:rsidR="000D341E" w:rsidRDefault="000D341E" w:rsidP="000D341E">
      <w:pPr>
        <w:autoSpaceDE w:val="0"/>
        <w:autoSpaceDN w:val="0"/>
        <w:adjustRightInd w:val="0"/>
        <w:spacing w:after="0" w:line="240" w:lineRule="auto"/>
        <w:jc w:val="center"/>
        <w:rPr>
          <w:rFonts w:ascii="Algerian" w:hAnsi="Algerian" w:cs="Algerian"/>
        </w:rPr>
      </w:pPr>
    </w:p>
    <w:p w14:paraId="6B9A10C9" w14:textId="11F940C0" w:rsidR="000D341E" w:rsidRPr="000D341E" w:rsidRDefault="000D341E" w:rsidP="000D341E">
      <w:pPr>
        <w:autoSpaceDE w:val="0"/>
        <w:autoSpaceDN w:val="0"/>
        <w:adjustRightInd w:val="0"/>
        <w:spacing w:after="0" w:line="240" w:lineRule="auto"/>
        <w:jc w:val="center"/>
        <w:rPr>
          <w:rFonts w:cstheme="minorHAnsi"/>
          <w:i/>
          <w:iCs/>
          <w:sz w:val="24"/>
          <w:szCs w:val="24"/>
        </w:rPr>
      </w:pPr>
      <w:r w:rsidRPr="000D341E">
        <w:rPr>
          <w:rFonts w:cstheme="minorHAnsi"/>
          <w:i/>
          <w:iCs/>
          <w:sz w:val="24"/>
          <w:szCs w:val="24"/>
        </w:rPr>
        <w:t>Figure C: Risk based water security framework</w:t>
      </w:r>
    </w:p>
    <w:p w14:paraId="2163C2C5" w14:textId="77777777" w:rsidR="000D341E" w:rsidRDefault="000D341E" w:rsidP="000D341E">
      <w:pPr>
        <w:autoSpaceDE w:val="0"/>
        <w:autoSpaceDN w:val="0"/>
        <w:adjustRightInd w:val="0"/>
        <w:spacing w:after="0" w:line="240" w:lineRule="auto"/>
        <w:rPr>
          <w:rFonts w:ascii="Algerian" w:hAnsi="Algerian" w:cs="Algerian"/>
        </w:rPr>
      </w:pPr>
    </w:p>
    <w:p w14:paraId="44ABA295" w14:textId="13AD1746" w:rsidR="00564AC0" w:rsidRPr="000D341E" w:rsidRDefault="00564AC0" w:rsidP="000D341E">
      <w:pPr>
        <w:autoSpaceDE w:val="0"/>
        <w:autoSpaceDN w:val="0"/>
        <w:adjustRightInd w:val="0"/>
        <w:spacing w:after="0" w:line="276" w:lineRule="auto"/>
        <w:jc w:val="both"/>
        <w:rPr>
          <w:rFonts w:cstheme="minorHAnsi"/>
        </w:rPr>
      </w:pPr>
      <w:r w:rsidRPr="000D341E">
        <w:rPr>
          <w:rFonts w:cstheme="minorHAnsi"/>
        </w:rPr>
        <w:t>The developed water security framework captures the dynamic nature of water security with measurable indicators at the shortest time scale for which data is available. The indicators used to assess water security include:</w:t>
      </w:r>
    </w:p>
    <w:p w14:paraId="305C773F" w14:textId="49BDB388" w:rsidR="00564AC0" w:rsidRPr="000D341E" w:rsidRDefault="00564AC0" w:rsidP="000D341E">
      <w:pPr>
        <w:autoSpaceDE w:val="0"/>
        <w:autoSpaceDN w:val="0"/>
        <w:adjustRightInd w:val="0"/>
        <w:spacing w:after="0" w:line="276" w:lineRule="auto"/>
        <w:jc w:val="both"/>
        <w:rPr>
          <w:rFonts w:cstheme="minorHAnsi"/>
        </w:rPr>
      </w:pPr>
      <w:r w:rsidRPr="000D341E">
        <w:rPr>
          <w:rFonts w:cstheme="minorHAnsi"/>
        </w:rPr>
        <w:t xml:space="preserve">1. Water supply from rainfall, surface water, </w:t>
      </w:r>
      <w:proofErr w:type="gramStart"/>
      <w:r w:rsidRPr="000D341E">
        <w:rPr>
          <w:rFonts w:cstheme="minorHAnsi"/>
        </w:rPr>
        <w:t>groundwater</w:t>
      </w:r>
      <w:proofErr w:type="gramEnd"/>
      <w:r w:rsidRPr="000D341E">
        <w:rPr>
          <w:rFonts w:cstheme="minorHAnsi"/>
        </w:rPr>
        <w:t xml:space="preserve"> and treated wastewater</w:t>
      </w:r>
    </w:p>
    <w:p w14:paraId="4741BBC7" w14:textId="63E9893B" w:rsidR="00564AC0" w:rsidRPr="000D341E" w:rsidRDefault="00564AC0" w:rsidP="000D341E">
      <w:pPr>
        <w:autoSpaceDE w:val="0"/>
        <w:autoSpaceDN w:val="0"/>
        <w:adjustRightInd w:val="0"/>
        <w:spacing w:after="0" w:line="276" w:lineRule="auto"/>
        <w:jc w:val="both"/>
        <w:rPr>
          <w:rFonts w:cstheme="minorHAnsi"/>
        </w:rPr>
      </w:pPr>
      <w:r w:rsidRPr="000D341E">
        <w:rPr>
          <w:rFonts w:cstheme="minorHAnsi"/>
        </w:rPr>
        <w:t xml:space="preserve">2. Water depletion by different sectors (domestic, irrigation, </w:t>
      </w:r>
      <w:proofErr w:type="gramStart"/>
      <w:r w:rsidRPr="000D341E">
        <w:rPr>
          <w:rFonts w:cstheme="minorHAnsi"/>
        </w:rPr>
        <w:t>industry</w:t>
      </w:r>
      <w:proofErr w:type="gramEnd"/>
      <w:r w:rsidRPr="000D341E">
        <w:rPr>
          <w:rFonts w:cstheme="minorHAnsi"/>
        </w:rPr>
        <w:t xml:space="preserve"> and environment)</w:t>
      </w:r>
    </w:p>
    <w:p w14:paraId="07B672B3" w14:textId="492C4AF8" w:rsidR="00564AC0" w:rsidRPr="000D341E" w:rsidRDefault="00564AC0" w:rsidP="000D341E">
      <w:pPr>
        <w:autoSpaceDE w:val="0"/>
        <w:autoSpaceDN w:val="0"/>
        <w:adjustRightInd w:val="0"/>
        <w:spacing w:after="0" w:line="276" w:lineRule="auto"/>
        <w:jc w:val="both"/>
        <w:rPr>
          <w:rFonts w:cstheme="minorHAnsi"/>
        </w:rPr>
      </w:pPr>
      <w:r w:rsidRPr="000D341E">
        <w:rPr>
          <w:rFonts w:cstheme="minorHAnsi"/>
        </w:rPr>
        <w:t>3. Water-related risks due to increasing demand, lack of storage and weather variability</w:t>
      </w:r>
    </w:p>
    <w:p w14:paraId="4344F07F" w14:textId="46CB2143" w:rsidR="00564AC0" w:rsidRPr="000D341E" w:rsidRDefault="00564AC0" w:rsidP="000D341E">
      <w:pPr>
        <w:autoSpaceDE w:val="0"/>
        <w:autoSpaceDN w:val="0"/>
        <w:adjustRightInd w:val="0"/>
        <w:spacing w:after="0" w:line="276" w:lineRule="auto"/>
        <w:jc w:val="both"/>
        <w:rPr>
          <w:rFonts w:cstheme="minorHAnsi"/>
        </w:rPr>
      </w:pPr>
    </w:p>
    <w:p w14:paraId="596EB069" w14:textId="49F6D5BB" w:rsidR="00564AC0" w:rsidRPr="000D341E" w:rsidRDefault="00564AC0" w:rsidP="000D341E">
      <w:pPr>
        <w:autoSpaceDE w:val="0"/>
        <w:autoSpaceDN w:val="0"/>
        <w:adjustRightInd w:val="0"/>
        <w:spacing w:after="0" w:line="276" w:lineRule="auto"/>
        <w:jc w:val="both"/>
        <w:rPr>
          <w:rFonts w:cstheme="minorHAnsi"/>
        </w:rPr>
      </w:pPr>
      <w:r w:rsidRPr="000D341E">
        <w:rPr>
          <w:rFonts w:cstheme="minorHAnsi"/>
        </w:rPr>
        <w:t>Considering the multi-scalar realties of water, framework recommends a multi scalar water security assessment going from spatial scale of factory premises to Factory Water Influence Zone. Latter is defined as a larger zone of influence that cuts across administrative boundaries and is located entirely in the larger river basin. Operationalizing this framework involves delineation of the factory</w:t>
      </w:r>
    </w:p>
    <w:p w14:paraId="79C7DB1B" w14:textId="69B2D876" w:rsidR="00564AC0" w:rsidRDefault="00564AC0" w:rsidP="000D341E">
      <w:pPr>
        <w:autoSpaceDE w:val="0"/>
        <w:autoSpaceDN w:val="0"/>
        <w:adjustRightInd w:val="0"/>
        <w:spacing w:after="0" w:line="276" w:lineRule="auto"/>
        <w:jc w:val="both"/>
        <w:rPr>
          <w:rFonts w:cstheme="minorHAnsi"/>
        </w:rPr>
      </w:pPr>
      <w:r w:rsidRPr="000D341E">
        <w:rPr>
          <w:rFonts w:cstheme="minorHAnsi"/>
        </w:rPr>
        <w:t xml:space="preserve">catchment boundary; identification of co-dependents; assessment of environmental needs (e-flows), utilization of water supply, and storage capacity in the catchment; assessment of current and future water footprint; scarcity and risks. Project developed detailed guidelines for assessing each of the above. The Water Security framework was applied to ITC’s factory locations at </w:t>
      </w:r>
      <w:proofErr w:type="spellStart"/>
      <w:r w:rsidRPr="000D341E">
        <w:rPr>
          <w:rFonts w:cstheme="minorHAnsi"/>
        </w:rPr>
        <w:t>Mureru</w:t>
      </w:r>
      <w:proofErr w:type="spellEnd"/>
      <w:r w:rsidRPr="000D341E">
        <w:rPr>
          <w:rFonts w:cstheme="minorHAnsi"/>
        </w:rPr>
        <w:t xml:space="preserve">, </w:t>
      </w:r>
      <w:proofErr w:type="spellStart"/>
      <w:r w:rsidRPr="000D341E">
        <w:rPr>
          <w:rFonts w:cstheme="minorHAnsi"/>
        </w:rPr>
        <w:t>Ghod</w:t>
      </w:r>
      <w:proofErr w:type="spellEnd"/>
      <w:r w:rsidRPr="000D341E">
        <w:rPr>
          <w:rFonts w:cstheme="minorHAnsi"/>
        </w:rPr>
        <w:t xml:space="preserve"> basin, Bengaluru/ </w:t>
      </w:r>
      <w:proofErr w:type="spellStart"/>
      <w:r w:rsidRPr="000D341E">
        <w:rPr>
          <w:rFonts w:cstheme="minorHAnsi"/>
        </w:rPr>
        <w:t>Malur</w:t>
      </w:r>
      <w:proofErr w:type="spellEnd"/>
      <w:r w:rsidRPr="000D341E">
        <w:rPr>
          <w:rFonts w:cstheme="minorHAnsi"/>
        </w:rPr>
        <w:t xml:space="preserve"> and Upper Bhavani sub-basin.</w:t>
      </w:r>
    </w:p>
    <w:p w14:paraId="0D271889" w14:textId="007C4539" w:rsidR="00C57D3B" w:rsidRDefault="00C57D3B" w:rsidP="000D341E">
      <w:pPr>
        <w:autoSpaceDE w:val="0"/>
        <w:autoSpaceDN w:val="0"/>
        <w:adjustRightInd w:val="0"/>
        <w:spacing w:after="0" w:line="276" w:lineRule="auto"/>
        <w:jc w:val="both"/>
        <w:rPr>
          <w:rFonts w:cstheme="minorHAnsi"/>
        </w:rPr>
      </w:pPr>
    </w:p>
    <w:p w14:paraId="3A78479E" w14:textId="33603CCF" w:rsidR="00C57D3B" w:rsidRDefault="00C57D3B" w:rsidP="000D341E">
      <w:pPr>
        <w:autoSpaceDE w:val="0"/>
        <w:autoSpaceDN w:val="0"/>
        <w:adjustRightInd w:val="0"/>
        <w:spacing w:after="0" w:line="276" w:lineRule="auto"/>
        <w:jc w:val="both"/>
        <w:rPr>
          <w:rFonts w:cstheme="minorHAnsi"/>
        </w:rPr>
      </w:pPr>
    </w:p>
    <w:p w14:paraId="0E09B049" w14:textId="24BCA741" w:rsidR="00C57D3B" w:rsidRDefault="00C57D3B" w:rsidP="000D341E">
      <w:pPr>
        <w:autoSpaceDE w:val="0"/>
        <w:autoSpaceDN w:val="0"/>
        <w:adjustRightInd w:val="0"/>
        <w:spacing w:after="0" w:line="276" w:lineRule="auto"/>
        <w:jc w:val="both"/>
        <w:rPr>
          <w:rFonts w:cstheme="minorHAnsi"/>
        </w:rPr>
      </w:pPr>
    </w:p>
    <w:p w14:paraId="74692E12" w14:textId="77777777" w:rsidR="00C57D3B" w:rsidRPr="000D341E" w:rsidRDefault="00C57D3B" w:rsidP="000D341E">
      <w:pPr>
        <w:autoSpaceDE w:val="0"/>
        <w:autoSpaceDN w:val="0"/>
        <w:adjustRightInd w:val="0"/>
        <w:spacing w:after="0" w:line="276" w:lineRule="auto"/>
        <w:jc w:val="both"/>
        <w:rPr>
          <w:rFonts w:cstheme="minorHAnsi"/>
        </w:rPr>
      </w:pPr>
    </w:p>
    <w:p w14:paraId="51C3139D" w14:textId="347BC194" w:rsidR="00564AC0" w:rsidRDefault="00564AC0" w:rsidP="00564AC0">
      <w:pPr>
        <w:autoSpaceDE w:val="0"/>
        <w:autoSpaceDN w:val="0"/>
        <w:adjustRightInd w:val="0"/>
        <w:spacing w:after="0" w:line="240" w:lineRule="auto"/>
        <w:rPr>
          <w:rFonts w:ascii="National-Book" w:hAnsi="National-Book" w:cs="National-Book"/>
          <w:color w:val="262626"/>
        </w:rPr>
      </w:pPr>
    </w:p>
    <w:tbl>
      <w:tblPr>
        <w:tblStyle w:val="TableGrid"/>
        <w:tblW w:w="0" w:type="auto"/>
        <w:shd w:val="clear" w:color="auto" w:fill="5B9BD5" w:themeFill="accent5"/>
        <w:tblLook w:val="04A0" w:firstRow="1" w:lastRow="0" w:firstColumn="1" w:lastColumn="0" w:noHBand="0" w:noVBand="1"/>
      </w:tblPr>
      <w:tblGrid>
        <w:gridCol w:w="9016"/>
      </w:tblGrid>
      <w:tr w:rsidR="00B61B31" w:rsidRPr="00B61B31" w14:paraId="5365B210" w14:textId="77777777" w:rsidTr="00B61B31">
        <w:tc>
          <w:tcPr>
            <w:tcW w:w="9016" w:type="dxa"/>
            <w:shd w:val="clear" w:color="auto" w:fill="5B9BD5" w:themeFill="accent5"/>
          </w:tcPr>
          <w:p w14:paraId="7D5F7DB0" w14:textId="211A7416" w:rsidR="00B61B31" w:rsidRPr="00B61B31" w:rsidRDefault="00B61B31" w:rsidP="00564AC0">
            <w:pPr>
              <w:autoSpaceDE w:val="0"/>
              <w:autoSpaceDN w:val="0"/>
              <w:adjustRightInd w:val="0"/>
              <w:rPr>
                <w:b/>
                <w:bCs/>
                <w:sz w:val="28"/>
                <w:szCs w:val="28"/>
              </w:rPr>
            </w:pPr>
            <w:bookmarkStart w:id="0" w:name="_Hlk87296452"/>
            <w:r w:rsidRPr="00B61B31">
              <w:rPr>
                <w:b/>
                <w:bCs/>
                <w:sz w:val="28"/>
                <w:szCs w:val="28"/>
              </w:rPr>
              <w:lastRenderedPageBreak/>
              <w:t>Project workshop</w:t>
            </w:r>
          </w:p>
        </w:tc>
      </w:tr>
      <w:bookmarkEnd w:id="0"/>
    </w:tbl>
    <w:p w14:paraId="450DA957" w14:textId="38263843" w:rsidR="00564AC0" w:rsidRDefault="00564AC0" w:rsidP="00564AC0">
      <w:pPr>
        <w:autoSpaceDE w:val="0"/>
        <w:autoSpaceDN w:val="0"/>
        <w:adjustRightInd w:val="0"/>
        <w:spacing w:after="0" w:line="240" w:lineRule="auto"/>
        <w:rPr>
          <w:b/>
          <w:bCs/>
        </w:rPr>
      </w:pPr>
    </w:p>
    <w:p w14:paraId="40F69B20" w14:textId="48670D73" w:rsidR="000D341E" w:rsidRPr="000D341E" w:rsidRDefault="000D341E" w:rsidP="000D341E">
      <w:pPr>
        <w:spacing w:line="276" w:lineRule="auto"/>
        <w:jc w:val="both"/>
        <w:rPr>
          <w:rFonts w:cstheme="minorHAnsi"/>
          <w:color w:val="000000"/>
        </w:rPr>
      </w:pPr>
      <w:r w:rsidRPr="000D341E">
        <w:t xml:space="preserve">To disseminate the project learnings and </w:t>
      </w:r>
      <w:r w:rsidR="00B61B31">
        <w:t>seek</w:t>
      </w:r>
      <w:r w:rsidRPr="000D341E">
        <w:t xml:space="preserve"> suggestions</w:t>
      </w:r>
      <w:r w:rsidR="00B61B31">
        <w:t xml:space="preserve"> and recommendations</w:t>
      </w:r>
      <w:r w:rsidR="00564AC0" w:rsidRPr="000D341E">
        <w:t xml:space="preserve">, </w:t>
      </w:r>
      <w:r w:rsidRPr="000D341E">
        <w:t>a v</w:t>
      </w:r>
      <w:r w:rsidR="00564AC0" w:rsidRPr="000D341E">
        <w:t>irtual workshop on </w:t>
      </w:r>
      <w:r w:rsidR="00564AC0" w:rsidRPr="000D341E">
        <w:rPr>
          <w:i/>
          <w:iCs/>
        </w:rPr>
        <w:t>“Drought Proofing Agriculture and Water Security in Catchments”</w:t>
      </w:r>
      <w:r w:rsidR="00564AC0" w:rsidRPr="000D341E">
        <w:t xml:space="preserve"> was organized </w:t>
      </w:r>
      <w:r w:rsidRPr="000D341E">
        <w:t xml:space="preserve">on </w:t>
      </w:r>
      <w:r w:rsidR="00564AC0" w:rsidRPr="000D341E">
        <w:t>8 October 2021</w:t>
      </w:r>
      <w:r w:rsidRPr="000D341E">
        <w:t xml:space="preserve">. </w:t>
      </w:r>
      <w:r w:rsidRPr="000D341E">
        <w:rPr>
          <w:rFonts w:cstheme="minorHAnsi"/>
          <w:color w:val="000000"/>
        </w:rPr>
        <w:t>The Workshop was attended by ~150 participants/experts. Participants included senior officials/experts from C</w:t>
      </w:r>
      <w:r w:rsidRPr="000D341E">
        <w:rPr>
          <w:rFonts w:cstheme="minorHAnsi"/>
          <w:shd w:val="clear" w:color="auto" w:fill="FFFFFF"/>
        </w:rPr>
        <w:t xml:space="preserve">entral Water Commission, Central Groundwater Board, National Rainfed Authority of </w:t>
      </w:r>
      <w:proofErr w:type="gramStart"/>
      <w:r w:rsidRPr="000D341E">
        <w:rPr>
          <w:rFonts w:cstheme="minorHAnsi"/>
          <w:shd w:val="clear" w:color="auto" w:fill="FFFFFF"/>
        </w:rPr>
        <w:t>India</w:t>
      </w:r>
      <w:proofErr w:type="gramEnd"/>
      <w:r w:rsidRPr="000D341E">
        <w:rPr>
          <w:rFonts w:cstheme="minorHAnsi"/>
          <w:shd w:val="clear" w:color="auto" w:fill="FFFFFF"/>
        </w:rPr>
        <w:t xml:space="preserve"> and Indian Council of Agricultural Research</w:t>
      </w:r>
      <w:r w:rsidRPr="000D341E">
        <w:rPr>
          <w:rFonts w:cstheme="minorHAnsi"/>
          <w:color w:val="000000"/>
        </w:rPr>
        <w:t>, NITI Aayog, NGOs, donors, private sector, research institutes. The outcome of the workshop was very positive, and all the participants showed keen interest on the frameworks and tool and was looking forward for more such collaborative workshops. Below points give some key policy recommendations generated from the workshop:</w:t>
      </w:r>
    </w:p>
    <w:tbl>
      <w:tblPr>
        <w:tblStyle w:val="TableGrid"/>
        <w:tblW w:w="0" w:type="auto"/>
        <w:shd w:val="clear" w:color="auto" w:fill="5B9BD5" w:themeFill="accent5"/>
        <w:tblLook w:val="04A0" w:firstRow="1" w:lastRow="0" w:firstColumn="1" w:lastColumn="0" w:noHBand="0" w:noVBand="1"/>
      </w:tblPr>
      <w:tblGrid>
        <w:gridCol w:w="9016"/>
      </w:tblGrid>
      <w:tr w:rsidR="00B61B31" w:rsidRPr="000C55D5" w14:paraId="3A3217DD" w14:textId="77777777" w:rsidTr="00FB4716">
        <w:tc>
          <w:tcPr>
            <w:tcW w:w="9016" w:type="dxa"/>
            <w:shd w:val="clear" w:color="auto" w:fill="5B9BD5" w:themeFill="accent5"/>
          </w:tcPr>
          <w:p w14:paraId="76EE975F" w14:textId="00155519" w:rsidR="00B61B31" w:rsidRPr="000C55D5" w:rsidRDefault="00B61B31" w:rsidP="00FB4716">
            <w:pPr>
              <w:autoSpaceDE w:val="0"/>
              <w:autoSpaceDN w:val="0"/>
              <w:adjustRightInd w:val="0"/>
              <w:rPr>
                <w:b/>
                <w:bCs/>
                <w:sz w:val="28"/>
                <w:szCs w:val="28"/>
              </w:rPr>
            </w:pPr>
            <w:r w:rsidRPr="000C55D5">
              <w:rPr>
                <w:b/>
                <w:bCs/>
                <w:sz w:val="28"/>
                <w:szCs w:val="28"/>
              </w:rPr>
              <w:t>Key policy recommendations</w:t>
            </w:r>
          </w:p>
        </w:tc>
      </w:tr>
    </w:tbl>
    <w:p w14:paraId="48A868FA" w14:textId="77777777" w:rsidR="00B61B31" w:rsidRDefault="00B61B31" w:rsidP="000D341E">
      <w:pPr>
        <w:spacing w:after="0"/>
        <w:jc w:val="both"/>
        <w:rPr>
          <w:i/>
          <w:iCs/>
        </w:rPr>
      </w:pPr>
    </w:p>
    <w:p w14:paraId="580304CF" w14:textId="77777777" w:rsidR="00126F2C" w:rsidRDefault="00567D74" w:rsidP="00126F2C">
      <w:pPr>
        <w:pStyle w:val="ListParagraph"/>
        <w:numPr>
          <w:ilvl w:val="0"/>
          <w:numId w:val="2"/>
        </w:numPr>
        <w:spacing w:line="276" w:lineRule="auto"/>
        <w:jc w:val="both"/>
      </w:pPr>
      <w:r>
        <w:t>IWMI – ITC’s active partnership to work on drought and water security is very welcoming</w:t>
      </w:r>
      <w:r w:rsidR="000D341E">
        <w:t>, important</w:t>
      </w:r>
      <w:r>
        <w:t xml:space="preserve"> and </w:t>
      </w:r>
      <w:r w:rsidR="000D341E">
        <w:t>should be upscaled given the challenges to the</w:t>
      </w:r>
      <w:r>
        <w:t xml:space="preserve"> current agriculture scenario.</w:t>
      </w:r>
    </w:p>
    <w:p w14:paraId="51D9E538" w14:textId="77777777" w:rsidR="00126F2C" w:rsidRDefault="00126F2C" w:rsidP="00126F2C">
      <w:pPr>
        <w:pStyle w:val="ListParagraph"/>
        <w:spacing w:line="276" w:lineRule="auto"/>
        <w:jc w:val="both"/>
      </w:pPr>
    </w:p>
    <w:p w14:paraId="0E8653D6" w14:textId="753267C3" w:rsidR="00126F2C" w:rsidRDefault="00B61B31" w:rsidP="00126F2C">
      <w:pPr>
        <w:pStyle w:val="ListParagraph"/>
        <w:numPr>
          <w:ilvl w:val="0"/>
          <w:numId w:val="2"/>
        </w:numPr>
        <w:spacing w:line="276" w:lineRule="auto"/>
        <w:jc w:val="both"/>
      </w:pPr>
      <w:r>
        <w:rPr>
          <w:rFonts w:cstheme="minorHAnsi"/>
          <w:shd w:val="clear" w:color="auto" w:fill="FFFFFF"/>
        </w:rPr>
        <w:t xml:space="preserve">Overall water management requires </w:t>
      </w:r>
      <w:r w:rsidR="00126F2C" w:rsidRPr="00126F2C">
        <w:rPr>
          <w:rFonts w:cstheme="minorHAnsi"/>
          <w:shd w:val="clear" w:color="auto" w:fill="FFFFFF"/>
        </w:rPr>
        <w:t>collaborative efforts and inputs</w:t>
      </w:r>
      <w:r>
        <w:rPr>
          <w:rFonts w:cstheme="minorHAnsi"/>
          <w:shd w:val="clear" w:color="auto" w:fill="FFFFFF"/>
        </w:rPr>
        <w:t xml:space="preserve"> from all stakeholders</w:t>
      </w:r>
      <w:r w:rsidR="00126F2C" w:rsidRPr="00126F2C">
        <w:rPr>
          <w:rFonts w:cstheme="minorHAnsi"/>
          <w:shd w:val="clear" w:color="auto" w:fill="FFFFFF"/>
        </w:rPr>
        <w:t xml:space="preserve"> to overcome the fragmented approach and upscale the learnings to see the desired outcomes</w:t>
      </w:r>
      <w:r w:rsidR="00126F2C">
        <w:t>.</w:t>
      </w:r>
    </w:p>
    <w:p w14:paraId="43E6F65E" w14:textId="77777777" w:rsidR="00126F2C" w:rsidRDefault="00126F2C" w:rsidP="00126F2C">
      <w:pPr>
        <w:pStyle w:val="ListParagraph"/>
        <w:spacing w:line="276" w:lineRule="auto"/>
        <w:jc w:val="both"/>
      </w:pPr>
    </w:p>
    <w:p w14:paraId="48531434" w14:textId="16FB5902" w:rsidR="00567D74" w:rsidRDefault="00126F2C" w:rsidP="007631C5">
      <w:pPr>
        <w:pStyle w:val="ListParagraph"/>
        <w:numPr>
          <w:ilvl w:val="0"/>
          <w:numId w:val="2"/>
        </w:numPr>
        <w:spacing w:line="276" w:lineRule="auto"/>
        <w:jc w:val="both"/>
      </w:pPr>
      <w:r>
        <w:t>W</w:t>
      </w:r>
      <w:r w:rsidR="00567D74">
        <w:t xml:space="preserve">ater security framework </w:t>
      </w:r>
      <w:r>
        <w:t>should</w:t>
      </w:r>
      <w:r w:rsidR="00567D74">
        <w:t xml:space="preserve"> address the issue of non-availability of requisite water at the micro level.</w:t>
      </w:r>
      <w:r w:rsidR="000D341E">
        <w:t xml:space="preserve"> </w:t>
      </w:r>
      <w:r w:rsidR="00567D74">
        <w:t>T</w:t>
      </w:r>
      <w:r>
        <w:t>his is as t</w:t>
      </w:r>
      <w:r w:rsidR="00567D74">
        <w:t>he Water security issues are</w:t>
      </w:r>
      <w:r>
        <w:t xml:space="preserve"> more acute</w:t>
      </w:r>
      <w:r w:rsidR="00567D74">
        <w:t xml:space="preserve"> at micro level </w:t>
      </w:r>
      <w:r>
        <w:t xml:space="preserve">and </w:t>
      </w:r>
      <w:r w:rsidR="00567D74">
        <w:t xml:space="preserve">not at the macro level as India receives 1200 mm rainfall on average which is </w:t>
      </w:r>
      <w:r>
        <w:t>sufficient</w:t>
      </w:r>
      <w:r w:rsidR="00567D74">
        <w:t xml:space="preserve"> to meet the demands. </w:t>
      </w:r>
      <w:r>
        <w:t>This way multi-scalar water security framework developed is unique</w:t>
      </w:r>
      <w:r w:rsidR="00F63B77">
        <w:t xml:space="preserve"> and should be upscaled</w:t>
      </w:r>
      <w:r>
        <w:t>.</w:t>
      </w:r>
    </w:p>
    <w:p w14:paraId="5F6A00DE" w14:textId="77777777" w:rsidR="00C84571" w:rsidRDefault="00C84571" w:rsidP="00C84571">
      <w:pPr>
        <w:pStyle w:val="ListParagraph"/>
      </w:pPr>
    </w:p>
    <w:p w14:paraId="120E260B" w14:textId="7F7DF5B5" w:rsidR="00F63B77" w:rsidRPr="00567D74" w:rsidRDefault="00F63B77" w:rsidP="00F63B77">
      <w:pPr>
        <w:pStyle w:val="ListParagraph"/>
        <w:numPr>
          <w:ilvl w:val="0"/>
          <w:numId w:val="2"/>
        </w:numPr>
        <w:autoSpaceDE w:val="0"/>
        <w:autoSpaceDN w:val="0"/>
        <w:adjustRightInd w:val="0"/>
        <w:spacing w:after="0" w:line="276" w:lineRule="auto"/>
        <w:jc w:val="both"/>
        <w:rPr>
          <w:rFonts w:ascii="National-Book" w:hAnsi="National-Book" w:cs="National-Book"/>
          <w:color w:val="262626"/>
        </w:rPr>
      </w:pPr>
      <w:r>
        <w:t xml:space="preserve">Drought </w:t>
      </w:r>
      <w:r>
        <w:t>must</w:t>
      </w:r>
      <w:r>
        <w:t xml:space="preserve"> be seen from more multi hazard perspective, because in the past 15 years, many of the flood prone areas have become drought prone areas and many of the drought prone areas have also become multi hazard prone area</w:t>
      </w:r>
      <w:r>
        <w:t>. Thus, f</w:t>
      </w:r>
      <w:r>
        <w:t>rom disaster management perspective, emphasis should be given to interaction between various components from risk and vulnerability side.</w:t>
      </w:r>
    </w:p>
    <w:p w14:paraId="3E5D9C8F" w14:textId="77777777" w:rsidR="00F63B77" w:rsidRDefault="00F63B77" w:rsidP="00F63B77">
      <w:pPr>
        <w:spacing w:line="276" w:lineRule="auto"/>
        <w:jc w:val="both"/>
      </w:pPr>
    </w:p>
    <w:p w14:paraId="47BBC7CA" w14:textId="28BBF48D" w:rsidR="00126F2C" w:rsidRDefault="00F63B77" w:rsidP="00F63B77">
      <w:pPr>
        <w:pStyle w:val="ListParagraph"/>
        <w:numPr>
          <w:ilvl w:val="0"/>
          <w:numId w:val="2"/>
        </w:numPr>
        <w:spacing w:line="276" w:lineRule="auto"/>
        <w:jc w:val="both"/>
      </w:pPr>
      <w:r>
        <w:t>Project should emphasise that d</w:t>
      </w:r>
      <w:r w:rsidR="00567D74">
        <w:t>rought proofing can’t be done alone during the drought year</w:t>
      </w:r>
      <w:r>
        <w:t xml:space="preserve"> alone</w:t>
      </w:r>
      <w:r w:rsidR="00567D74">
        <w:t xml:space="preserve">, as </w:t>
      </w:r>
      <w:r w:rsidR="00126F2C">
        <w:t>d</w:t>
      </w:r>
      <w:r w:rsidR="00567D74">
        <w:t>rought proofing is a continuous process that spans across lean as well as normal rainfall years</w:t>
      </w:r>
      <w:r>
        <w:t>.</w:t>
      </w:r>
      <w:r w:rsidR="00567D74">
        <w:t xml:space="preserve"> </w:t>
      </w:r>
      <w:r>
        <w:t>A</w:t>
      </w:r>
      <w:r w:rsidR="00567D74">
        <w:t>lthough nature of drought proofing works and activities during the lean and normal rainfall years might be different.</w:t>
      </w:r>
      <w:r>
        <w:t xml:space="preserve"> Additionally, e</w:t>
      </w:r>
      <w:r w:rsidR="00126F2C">
        <w:t xml:space="preserve">conomic values </w:t>
      </w:r>
      <w:r>
        <w:t xml:space="preserve">of drought proofing interventions </w:t>
      </w:r>
      <w:r w:rsidR="00126F2C">
        <w:t>need to be demonstrated to the framers so that adaptation is taken up on larger scale</w:t>
      </w:r>
      <w:proofErr w:type="gramStart"/>
      <w:r w:rsidR="00126F2C">
        <w:t xml:space="preserve">.  </w:t>
      </w:r>
      <w:proofErr w:type="gramEnd"/>
    </w:p>
    <w:p w14:paraId="3A429E34" w14:textId="77777777" w:rsidR="000C55D5" w:rsidRDefault="000C55D5" w:rsidP="000C55D5">
      <w:pPr>
        <w:pStyle w:val="ListParagraph"/>
        <w:spacing w:line="276" w:lineRule="auto"/>
        <w:jc w:val="both"/>
      </w:pPr>
    </w:p>
    <w:p w14:paraId="09C88303" w14:textId="56133770" w:rsidR="00126F2C" w:rsidRDefault="000C55D5" w:rsidP="000C55D5">
      <w:pPr>
        <w:pStyle w:val="ListParagraph"/>
        <w:numPr>
          <w:ilvl w:val="0"/>
          <w:numId w:val="2"/>
        </w:numPr>
        <w:spacing w:line="276" w:lineRule="auto"/>
        <w:jc w:val="both"/>
      </w:pPr>
      <w:r>
        <w:t>Emphasis should be given on b</w:t>
      </w:r>
      <w:r w:rsidR="00B61B31">
        <w:t xml:space="preserve">uilding social capital and governance capacities of the communities </w:t>
      </w:r>
      <w:r>
        <w:t xml:space="preserve">which </w:t>
      </w:r>
      <w:r w:rsidR="00B61B31">
        <w:t xml:space="preserve">is </w:t>
      </w:r>
      <w:r>
        <w:t>critical</w:t>
      </w:r>
      <w:r w:rsidR="00B61B31">
        <w:t xml:space="preserve"> for proper</w:t>
      </w:r>
      <w:r>
        <w:t xml:space="preserve"> watershed management to achieve drought proofing and water security.</w:t>
      </w:r>
    </w:p>
    <w:p w14:paraId="172210C0" w14:textId="77777777" w:rsidR="000C55D5" w:rsidRDefault="000C55D5" w:rsidP="000C55D5">
      <w:pPr>
        <w:pStyle w:val="ListParagraph"/>
      </w:pPr>
    </w:p>
    <w:p w14:paraId="4E4E585E" w14:textId="77777777" w:rsidR="00C57D3B" w:rsidRDefault="00C84571" w:rsidP="00C57D3B">
      <w:pPr>
        <w:pStyle w:val="ListParagraph"/>
        <w:numPr>
          <w:ilvl w:val="0"/>
          <w:numId w:val="2"/>
        </w:numPr>
        <w:spacing w:line="276" w:lineRule="auto"/>
        <w:jc w:val="both"/>
      </w:pPr>
      <w:r>
        <w:lastRenderedPageBreak/>
        <w:t>For u</w:t>
      </w:r>
      <w:r w:rsidR="00126F2C">
        <w:t>pscaling drought and water security framework</w:t>
      </w:r>
      <w:r>
        <w:t>, w</w:t>
      </w:r>
      <w:r w:rsidR="00126F2C">
        <w:t xml:space="preserve">ork should be integrated with work being done under different projects and schemes by government ministries and department (e.g., Atal </w:t>
      </w:r>
      <w:proofErr w:type="spellStart"/>
      <w:r w:rsidR="00126F2C">
        <w:t>Bhujal</w:t>
      </w:r>
      <w:proofErr w:type="spellEnd"/>
      <w:r w:rsidR="00126F2C">
        <w:t xml:space="preserve"> Yojana). This will lead to effective convergence and co-fertilisation of ideas and learnings.</w:t>
      </w:r>
      <w:r>
        <w:t xml:space="preserve"> </w:t>
      </w:r>
    </w:p>
    <w:p w14:paraId="2EA0E37E" w14:textId="77777777" w:rsidR="00C57D3B" w:rsidRDefault="00C57D3B" w:rsidP="00C57D3B">
      <w:pPr>
        <w:pStyle w:val="ListParagraph"/>
      </w:pPr>
    </w:p>
    <w:p w14:paraId="01FBE55E" w14:textId="4C96BFF1" w:rsidR="00C57D3B" w:rsidRDefault="00C84571" w:rsidP="00C57D3B">
      <w:pPr>
        <w:pStyle w:val="ListParagraph"/>
        <w:numPr>
          <w:ilvl w:val="0"/>
          <w:numId w:val="2"/>
        </w:numPr>
        <w:spacing w:line="276" w:lineRule="auto"/>
        <w:jc w:val="both"/>
      </w:pPr>
      <w:r>
        <w:t xml:space="preserve">The work </w:t>
      </w:r>
      <w:r>
        <w:t xml:space="preserve">is very relevant and </w:t>
      </w:r>
      <w:r>
        <w:t xml:space="preserve">already </w:t>
      </w:r>
      <w:r>
        <w:t xml:space="preserve">in sync with mandates and activities with various government agencies. </w:t>
      </w:r>
      <w:r w:rsidR="00C57D3B">
        <w:t xml:space="preserve">Project team is already with Karnataka watershed development programme for planning drought proofing interventions in 100 watersheds across state. </w:t>
      </w:r>
    </w:p>
    <w:p w14:paraId="771E8901" w14:textId="74B932C4" w:rsidR="00C57D3B" w:rsidRDefault="00C84571" w:rsidP="00C57D3B">
      <w:pPr>
        <w:pStyle w:val="ListParagraph"/>
        <w:numPr>
          <w:ilvl w:val="0"/>
          <w:numId w:val="2"/>
        </w:numPr>
        <w:spacing w:line="276" w:lineRule="auto"/>
        <w:jc w:val="both"/>
      </w:pPr>
      <w:r>
        <w:t>Some key opportunities highlighted by stakeholders are:</w:t>
      </w:r>
    </w:p>
    <w:p w14:paraId="0BEA0677" w14:textId="4C7F9910" w:rsidR="00C84571" w:rsidRDefault="00126F2C" w:rsidP="00C84571">
      <w:pPr>
        <w:pStyle w:val="ListParagraph"/>
        <w:numPr>
          <w:ilvl w:val="1"/>
          <w:numId w:val="2"/>
        </w:numPr>
        <w:spacing w:line="276" w:lineRule="auto"/>
        <w:jc w:val="both"/>
      </w:pPr>
      <w:r>
        <w:t>Project should do knowledge exchange with</w:t>
      </w:r>
      <w:r w:rsidR="00567D74">
        <w:t xml:space="preserve"> “</w:t>
      </w:r>
      <w:proofErr w:type="spellStart"/>
      <w:r w:rsidR="00567D74" w:rsidRPr="00126F2C">
        <w:rPr>
          <w:i/>
          <w:iCs/>
        </w:rPr>
        <w:t>Jalyukt</w:t>
      </w:r>
      <w:proofErr w:type="spellEnd"/>
      <w:r w:rsidR="00567D74" w:rsidRPr="00126F2C">
        <w:rPr>
          <w:i/>
          <w:iCs/>
        </w:rPr>
        <w:t xml:space="preserve"> – Shivar”</w:t>
      </w:r>
      <w:r w:rsidR="00567D74">
        <w:t xml:space="preserve"> </w:t>
      </w:r>
      <w:r>
        <w:t xml:space="preserve">project </w:t>
      </w:r>
      <w:r w:rsidR="00567D74">
        <w:t xml:space="preserve">in Maharashtra, where drought proofing is done for 20,000 villages. </w:t>
      </w:r>
    </w:p>
    <w:p w14:paraId="6BAB8192" w14:textId="77777777" w:rsidR="00C84571" w:rsidRDefault="00126F2C" w:rsidP="00C84571">
      <w:pPr>
        <w:pStyle w:val="ListParagraph"/>
        <w:numPr>
          <w:ilvl w:val="1"/>
          <w:numId w:val="2"/>
        </w:numPr>
        <w:spacing w:line="276" w:lineRule="auto"/>
        <w:jc w:val="both"/>
      </w:pPr>
      <w:r>
        <w:t>Project should collaborate with National Water Mission (NWM) that</w:t>
      </w:r>
      <w:r w:rsidR="00567D74">
        <w:t xml:space="preserve"> is also helping the states in preparing the water security plans.</w:t>
      </w:r>
    </w:p>
    <w:p w14:paraId="7A498011" w14:textId="43FD6B39" w:rsidR="00C84571" w:rsidRDefault="00567D74" w:rsidP="00C84571">
      <w:pPr>
        <w:pStyle w:val="ListParagraph"/>
        <w:numPr>
          <w:ilvl w:val="1"/>
          <w:numId w:val="2"/>
        </w:numPr>
        <w:spacing w:line="276" w:lineRule="auto"/>
        <w:jc w:val="both"/>
      </w:pPr>
      <w:r>
        <w:t xml:space="preserve">Drought tool developed by IWMI – ITC </w:t>
      </w:r>
      <w:r w:rsidR="000C55D5">
        <w:t xml:space="preserve">was suggested to be used by </w:t>
      </w:r>
      <w:r w:rsidR="000C55D5">
        <w:t>National rainfed area authority (NRAA)</w:t>
      </w:r>
      <w:r>
        <w:t xml:space="preserve"> for planning proc</w:t>
      </w:r>
      <w:r w:rsidR="000C55D5">
        <w:t xml:space="preserve">ess in </w:t>
      </w:r>
      <w:r>
        <w:t xml:space="preserve">pilot Programmes in selected districts and villages. </w:t>
      </w:r>
    </w:p>
    <w:p w14:paraId="522DDCCA" w14:textId="2DCA069B" w:rsidR="00C84571" w:rsidRDefault="00C84571" w:rsidP="000C55D5">
      <w:pPr>
        <w:pStyle w:val="ListParagraph"/>
        <w:numPr>
          <w:ilvl w:val="1"/>
          <w:numId w:val="2"/>
        </w:numPr>
        <w:spacing w:line="276" w:lineRule="auto"/>
        <w:jc w:val="both"/>
      </w:pPr>
      <w:r w:rsidRPr="000D341E">
        <w:t xml:space="preserve">Central Research Institute for Dryland Agriculture </w:t>
      </w:r>
      <w:r>
        <w:t>(CRIDA) is working on drought proofing in 24 districts especially in Rajasthan and Karnataka. IWMI – ITC’s work on drought proofi</w:t>
      </w:r>
      <w:r w:rsidR="000C55D5">
        <w:t xml:space="preserve">ng presents a </w:t>
      </w:r>
      <w:r>
        <w:t xml:space="preserve">great </w:t>
      </w:r>
      <w:r w:rsidR="000C55D5">
        <w:t xml:space="preserve">collaborative </w:t>
      </w:r>
      <w:r>
        <w:t xml:space="preserve">opportunity </w:t>
      </w:r>
      <w:r w:rsidR="000C55D5">
        <w:t xml:space="preserve">and </w:t>
      </w:r>
      <w:r>
        <w:t xml:space="preserve">drought tool together with the information </w:t>
      </w:r>
      <w:r w:rsidR="000C55D5">
        <w:t>from pilot sites</w:t>
      </w:r>
      <w:r>
        <w:t xml:space="preserve"> can be used to upscale the work on drought proofing. </w:t>
      </w:r>
    </w:p>
    <w:p w14:paraId="05F51C7D" w14:textId="77777777" w:rsidR="00C57D3B" w:rsidRDefault="00C57D3B" w:rsidP="00C57D3B">
      <w:pPr>
        <w:pStyle w:val="ListParagraph"/>
        <w:spacing w:line="276" w:lineRule="auto"/>
        <w:jc w:val="both"/>
      </w:pPr>
    </w:p>
    <w:p w14:paraId="7C511B5C" w14:textId="77777777" w:rsidR="00C57D3B" w:rsidRDefault="00C57D3B" w:rsidP="007631C5">
      <w:pPr>
        <w:pStyle w:val="ListParagraph"/>
        <w:numPr>
          <w:ilvl w:val="0"/>
          <w:numId w:val="1"/>
        </w:numPr>
        <w:spacing w:line="276" w:lineRule="auto"/>
        <w:jc w:val="both"/>
      </w:pPr>
      <w:r>
        <w:t>Developed d</w:t>
      </w:r>
      <w:r w:rsidR="00567D74">
        <w:t>rought tool</w:t>
      </w:r>
      <w:r>
        <w:t xml:space="preserve"> and framework</w:t>
      </w:r>
      <w:r w:rsidR="00567D74">
        <w:t xml:space="preserve"> can act as a common language, that can be used across </w:t>
      </w:r>
      <w:r>
        <w:t>stakeholders</w:t>
      </w:r>
      <w:r w:rsidR="00567D74">
        <w:t>, and a language that can be spoken by all stakeholder in unison</w:t>
      </w:r>
      <w:proofErr w:type="gramStart"/>
      <w:r w:rsidR="00567D74">
        <w:t xml:space="preserve">. </w:t>
      </w:r>
      <w:r>
        <w:t xml:space="preserve"> </w:t>
      </w:r>
      <w:proofErr w:type="gramEnd"/>
      <w:r>
        <w:t xml:space="preserve">Emphasis should be given to </w:t>
      </w:r>
      <w:r w:rsidR="00567D74">
        <w:t>leverage lot of information and data from various government departments</w:t>
      </w:r>
      <w:r>
        <w:t xml:space="preserve"> for the further development of work.</w:t>
      </w:r>
    </w:p>
    <w:p w14:paraId="0C1A08EB" w14:textId="77777777" w:rsidR="00C57D3B" w:rsidRDefault="00C57D3B" w:rsidP="00C57D3B">
      <w:pPr>
        <w:pStyle w:val="ListParagraph"/>
        <w:spacing w:line="276" w:lineRule="auto"/>
        <w:jc w:val="both"/>
      </w:pPr>
    </w:p>
    <w:p w14:paraId="4FCBF4F8" w14:textId="4E93831F" w:rsidR="00567D74" w:rsidRPr="00C57D3B" w:rsidRDefault="00567D74" w:rsidP="007631C5">
      <w:pPr>
        <w:pStyle w:val="ListParagraph"/>
        <w:numPr>
          <w:ilvl w:val="0"/>
          <w:numId w:val="1"/>
        </w:numPr>
        <w:spacing w:line="276" w:lineRule="auto"/>
        <w:jc w:val="both"/>
      </w:pPr>
      <w:r w:rsidRPr="00C57D3B">
        <w:t xml:space="preserve">The overarching message is that IWMI – ITC’s work on drought proofing and water security is in sync with mandates and activities with various government initiative. </w:t>
      </w:r>
      <w:r w:rsidR="00C57D3B" w:rsidRPr="00C57D3B">
        <w:t>T</w:t>
      </w:r>
      <w:r w:rsidRPr="00C57D3B">
        <w:t xml:space="preserve">here is a very strong support for the developed frameworks and tool and stakeholders including government has shown keen interest in collaborating and adopting the developed frameworks and tool. </w:t>
      </w:r>
    </w:p>
    <w:p w14:paraId="158E3AB8" w14:textId="77777777" w:rsidR="00567D74" w:rsidRPr="000D341E" w:rsidRDefault="00567D74" w:rsidP="000D341E">
      <w:pPr>
        <w:autoSpaceDE w:val="0"/>
        <w:autoSpaceDN w:val="0"/>
        <w:adjustRightInd w:val="0"/>
        <w:spacing w:after="0" w:line="240" w:lineRule="auto"/>
        <w:rPr>
          <w:rFonts w:ascii="National-Book" w:hAnsi="National-Book" w:cs="National-Book"/>
          <w:color w:val="262626"/>
        </w:rPr>
      </w:pPr>
    </w:p>
    <w:sectPr w:rsidR="00567D74" w:rsidRPr="000D3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MSerifText-Regular">
    <w:altName w:val="Cambria"/>
    <w:panose1 w:val="00000000000000000000"/>
    <w:charset w:val="00"/>
    <w:family w:val="roman"/>
    <w:notTrueType/>
    <w:pitch w:val="default"/>
    <w:sig w:usb0="00000003" w:usb1="00000000" w:usb2="00000000" w:usb3="00000000" w:csb0="00000001" w:csb1="00000000"/>
  </w:font>
  <w:font w:name="National-Book">
    <w:altName w:val="Calibri"/>
    <w:panose1 w:val="00000000000000000000"/>
    <w:charset w:val="00"/>
    <w:family w:val="swiss"/>
    <w:notTrueType/>
    <w:pitch w:val="default"/>
    <w:sig w:usb0="00000003" w:usb1="00000000" w:usb2="00000000" w:usb3="00000000" w:csb0="00000001" w:csb1="00000000"/>
  </w:font>
  <w:font w:name="TestNational-Bold">
    <w:altName w:val="Calibri"/>
    <w:panose1 w:val="00000000000000000000"/>
    <w:charset w:val="00"/>
    <w:family w:val="swiss"/>
    <w:notTrueType/>
    <w:pitch w:val="default"/>
    <w:sig w:usb0="00000003" w:usb1="00000000" w:usb2="00000000" w:usb3="00000000" w:csb0="00000001" w:csb1="00000000"/>
  </w:font>
  <w:font w:name="TestNational-Book">
    <w:altName w:val="Calibri"/>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A61"/>
    <w:multiLevelType w:val="hybridMultilevel"/>
    <w:tmpl w:val="A5A4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16C09"/>
    <w:multiLevelType w:val="hybridMultilevel"/>
    <w:tmpl w:val="A73E9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405668"/>
    <w:multiLevelType w:val="hybridMultilevel"/>
    <w:tmpl w:val="2368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FE"/>
    <w:rsid w:val="000C55D5"/>
    <w:rsid w:val="000D341E"/>
    <w:rsid w:val="00126F2C"/>
    <w:rsid w:val="00150923"/>
    <w:rsid w:val="005009FE"/>
    <w:rsid w:val="00564AC0"/>
    <w:rsid w:val="00567D74"/>
    <w:rsid w:val="007631C5"/>
    <w:rsid w:val="00B61B31"/>
    <w:rsid w:val="00C57D3B"/>
    <w:rsid w:val="00C84571"/>
    <w:rsid w:val="00D17457"/>
    <w:rsid w:val="00D61AB9"/>
    <w:rsid w:val="00E024D7"/>
    <w:rsid w:val="00F63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9CEC"/>
  <w15:chartTrackingRefBased/>
  <w15:docId w15:val="{4A9288D3-7AF8-4245-B5B7-61F20148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AC0"/>
    <w:pPr>
      <w:ind w:left="720"/>
      <w:contextualSpacing/>
    </w:pPr>
  </w:style>
  <w:style w:type="table" w:styleId="TableGrid">
    <w:name w:val="Table Grid"/>
    <w:basedOn w:val="TableNormal"/>
    <w:uiPriority w:val="39"/>
    <w:rsid w:val="00B61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43265</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Mohammad (IWMI-Delhi)</dc:creator>
  <cp:keywords/>
  <dc:description/>
  <cp:lastModifiedBy>Alam, Mohammad (IWMI-Delhi)</cp:lastModifiedBy>
  <cp:revision>10</cp:revision>
  <dcterms:created xsi:type="dcterms:W3CDTF">2021-10-09T06:51:00Z</dcterms:created>
  <dcterms:modified xsi:type="dcterms:W3CDTF">2021-11-08T15:29:00Z</dcterms:modified>
</cp:coreProperties>
</file>