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D2F99">
      <w:pPr>
        <w:pStyle w:val="2"/>
        <w:spacing w:before="0" w:after="120" w:line="360" w:lineRule="auto"/>
        <w:jc w:val="center"/>
      </w:pPr>
      <w:bookmarkStart w:id="0" w:name="_Toc28080"/>
      <w:r>
        <w:rPr>
          <w:rFonts w:ascii="Times New Roman" w:hAnsi="Times New Roman" w:eastAsia="黑体" w:cs="黑体"/>
          <w:b/>
          <w:bCs/>
          <w:sz w:val="36"/>
          <w:szCs w:val="36"/>
        </w:rPr>
        <w:t>AI咨询业务运营规划</w:t>
      </w:r>
      <w:bookmarkEnd w:id="0"/>
    </w:p>
    <w:p w14:paraId="7845773F">
      <w:pPr>
        <w:spacing w:after="1400"/>
        <w:jc w:val="center"/>
        <w:rPr>
          <w:rFonts w:ascii="宋体" w:hAnsi="宋体" w:cs="宋体"/>
        </w:rPr>
      </w:pPr>
      <w:r>
        <w:rPr>
          <w:rFonts w:ascii="宋体" w:hAnsi="宋体" w:cs="宋体"/>
        </w:rPr>
        <w:drawing>
          <wp:inline distT="0" distB="0" distL="114300" distR="114300">
            <wp:extent cx="4229100" cy="2381250"/>
            <wp:effectExtent l="0" t="0" r="0" b="635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E66F02">
      <w:pPr>
        <w:spacing w:after="1400"/>
        <w:jc w:val="center"/>
        <w:rPr>
          <w:rFonts w:ascii="宋体" w:hAnsi="宋体" w:cs="宋体"/>
        </w:rPr>
      </w:pPr>
    </w:p>
    <w:p w14:paraId="4BFBECB7">
      <w:pPr>
        <w:spacing w:after="1400"/>
        <w:jc w:val="both"/>
        <w:rPr>
          <w:rFonts w:ascii="宋体" w:hAnsi="宋体" w:cs="宋体"/>
        </w:rPr>
      </w:pPr>
    </w:p>
    <w:p w14:paraId="6FF94D62">
      <w:pPr>
        <w:pStyle w:val="11"/>
        <w:spacing w:before="0" w:after="120" w:line="360" w:lineRule="auto"/>
        <w:ind w:left="1200"/>
        <w:jc w:val="left"/>
      </w:pPr>
      <w:r>
        <w:rPr>
          <w:rFonts w:ascii="宋体" w:hAnsi="宋体" w:eastAsia="宋体" w:cs="宋体"/>
          <w:sz w:val="26"/>
          <w:szCs w:val="26"/>
        </w:rPr>
        <w:t>报告名称：AI咨询业务运营规划</w:t>
      </w:r>
    </w:p>
    <w:p w14:paraId="466342E5">
      <w:pPr>
        <w:pStyle w:val="11"/>
        <w:spacing w:before="0" w:after="120" w:line="360" w:lineRule="auto"/>
        <w:ind w:left="1200"/>
        <w:jc w:val="left"/>
      </w:pPr>
      <w:r>
        <w:rPr>
          <w:rFonts w:ascii="宋体" w:hAnsi="宋体" w:eastAsia="宋体" w:cs="宋体"/>
          <w:sz w:val="26"/>
          <w:szCs w:val="26"/>
        </w:rPr>
        <w:t>报告类型：项目研究报告 / 业务规划</w:t>
      </w:r>
      <w:bookmarkStart w:id="59" w:name="_GoBack"/>
      <w:bookmarkEnd w:id="59"/>
    </w:p>
    <w:p w14:paraId="2FB3F0DE">
      <w:pPr>
        <w:pStyle w:val="11"/>
        <w:spacing w:before="0" w:after="120" w:line="360" w:lineRule="auto"/>
        <w:ind w:left="1200"/>
        <w:jc w:val="left"/>
      </w:pPr>
      <w:r>
        <w:rPr>
          <w:rFonts w:ascii="宋体" w:hAnsi="宋体" w:eastAsia="宋体" w:cs="宋体"/>
          <w:sz w:val="26"/>
          <w:szCs w:val="26"/>
        </w:rPr>
        <w:t>报告撰写人：Kyle</w:t>
      </w:r>
    </w:p>
    <w:p w14:paraId="26C2250B">
      <w:pPr>
        <w:pStyle w:val="11"/>
        <w:spacing w:before="0" w:after="120" w:line="360" w:lineRule="auto"/>
        <w:ind w:left="1200"/>
        <w:jc w:val="left"/>
      </w:pPr>
      <w:r>
        <w:rPr>
          <w:rFonts w:ascii="宋体" w:hAnsi="宋体" w:eastAsia="宋体" w:cs="宋体"/>
          <w:sz w:val="26"/>
          <w:szCs w:val="26"/>
        </w:rPr>
        <w:t>提交日期：2026年5月2</w:t>
      </w:r>
      <w:r>
        <w:rPr>
          <w:rFonts w:hint="eastAsia" w:cs="宋体"/>
          <w:sz w:val="26"/>
          <w:szCs w:val="26"/>
          <w:lang w:val="en-US" w:eastAsia="zh-CN"/>
        </w:rPr>
        <w:t>3</w:t>
      </w:r>
      <w:r>
        <w:rPr>
          <w:rFonts w:ascii="宋体" w:hAnsi="宋体" w:eastAsia="宋体" w:cs="宋体"/>
          <w:sz w:val="26"/>
          <w:szCs w:val="26"/>
        </w:rPr>
        <w:t>日</w:t>
      </w:r>
    </w:p>
    <w:p w14:paraId="261CC0B9">
      <w:r>
        <w:br w:type="page"/>
      </w:r>
    </w:p>
    <w:p w14:paraId="2795B054">
      <w:pPr>
        <w:pStyle w:val="2"/>
        <w:spacing w:before="0" w:after="120" w:line="360" w:lineRule="auto"/>
      </w:pPr>
      <w:bookmarkStart w:id="1" w:name="_Toc128"/>
      <w:r>
        <w:rPr>
          <w:rFonts w:ascii="Times New Roman" w:hAnsi="Times New Roman" w:eastAsia="黑体" w:cs="黑体"/>
          <w:b/>
          <w:bCs/>
          <w:sz w:val="36"/>
          <w:szCs w:val="36"/>
        </w:rPr>
        <w:t>文档说明与报告目的</w:t>
      </w:r>
      <w:bookmarkEnd w:id="1"/>
    </w:p>
    <w:p w14:paraId="4F2E583F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本报告用于公司内部判断AI咨询业务的推进方式。本版本进一步细化了业务承接体系、合伙人与推荐人机制、线上线下获客动作、团队配置、阶段推进和落地执行工具，重点服务于内部决策、首发城市执行和后续全国招商准备。报告重点解决以下四个问题。</w:t>
      </w:r>
    </w:p>
    <w:p w14:paraId="2A2F1192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AI咨询业务在当前市场中的定位，包括AI咨询公司做什么、服务对象是谁、公司目前能做到什么、市场环境和竞争压力如何。</w:t>
      </w:r>
    </w:p>
    <w:p w14:paraId="77202A1B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公司AI咨询业务的具体流程，包括前期调研、方案形成、技术落地、收费方式和持续服务。</w:t>
      </w:r>
    </w:p>
    <w:p w14:paraId="4BBE38D1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AI咨询业务如何成为合资项目入口，包括项目筛选、分级和合资路径。</w:t>
      </w:r>
    </w:p>
    <w:p w14:paraId="7DD3310E">
      <w:pPr>
        <w:spacing w:before="0" w:after="120" w:line="360" w:lineRule="auto"/>
        <w:ind w:left="360"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4. 合伙人机制、推荐人机制、团队配置、首发城市和全国招商机制如何配套，形成可持续的客户和项目来源。</w:t>
      </w:r>
    </w:p>
    <w:p w14:paraId="522C21FD">
      <w:pPr>
        <w:spacing w:before="0" w:after="120" w:line="360" w:lineRule="auto"/>
        <w:ind w:left="360" w:firstLineChars="0"/>
        <w:jc w:val="both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附录部分则主要是一些参考资料及包装案例，最新版本主要细化了合伙人机制和运营手段，增加了下一步动作。</w:t>
      </w:r>
    </w:p>
    <w:p w14:paraId="22B4C366">
      <w:r>
        <w:br w:type="page"/>
      </w:r>
    </w:p>
    <w:sdt>
      <w:sdtPr>
        <w:alias w:val="Table of Contents"/>
        <w:id w:val="147469182"/>
      </w:sdtPr>
      <w:sdtContent>
        <w:p w14:paraId="42990C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sdt>
          <w:sdtPr>
            <w:rPr>
              <w:rFonts w:ascii="宋体" w:hAnsi="宋体" w:eastAsia="宋体" w:cs="宋体"/>
              <w:sz w:val="21"/>
              <w:szCs w:val="24"/>
            </w:rPr>
            <w:id w:val="147466494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ascii="宋体" w:hAnsi="宋体" w:eastAsia="宋体" w:cs="宋体"/>
              <w:sz w:val="21"/>
              <w:szCs w:val="24"/>
            </w:rPr>
          </w:sdtEndPr>
          <w:sdtContent>
            <w:p w14:paraId="227CC832">
              <w:pPr>
                <w:spacing w:before="0" w:after="120" w:line="360" w:lineRule="auto"/>
              </w:pPr>
              <w:r>
                <w:rPr>
                  <w:rFonts w:ascii="黑体" w:hAnsi="黑体" w:eastAsia="黑体" w:cs="黑体"/>
                  <w:b/>
                  <w:bCs/>
                  <w:sz w:val="32"/>
                  <w:szCs w:val="32"/>
                </w:rPr>
                <w:t>目录</w:t>
              </w:r>
              <w:r>
                <w:fldChar w:fldCharType="begin"/>
              </w:r>
              <w:r>
                <w:instrText xml:space="preserve">TOC \o "1-2" \h \u </w:instrText>
              </w:r>
              <w:r>
                <w:fldChar w:fldCharType="separate"/>
              </w:r>
            </w:p>
            <w:p w14:paraId="2FBC01B5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_Toc16854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一、背景与业务判断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_Toc16854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1584C5C3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_Toc30391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1.1 业务背景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_Toc30391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65F6F23E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_Toc31445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1.2 AI咨询与公司主业的关系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_Toc31445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6F6901DC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_Toc7654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1.3 本报告的判断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_Toc7654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7FB31A70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_Toc8038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二、AI咨询行业与市场判断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_Toc8038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6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3A7CA013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_Toc12283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2.1 AI咨询公司是做什么的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_Toc12283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6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45489698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_Toc32621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2.2 服务对象是谁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_Toc32621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7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3CD9BDA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_Toc3128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2.3 我们目前能做到什么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_Toc3128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7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6B0AA2F5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_Toc14436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2.4 市场环境是什么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_Toc14436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8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40C16DD3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_Toc12387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2.5 市场竞争压力和对手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_Toc12387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9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17DFE65E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_Toc13903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2.6 市场未来怎么样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_Toc13903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10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6BE7C7DF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_Toc28798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三、业务定位与咨询服务模式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_Toc28798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11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7424FADD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_Toc23817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3.1 业务定位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_Toc23817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11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1D8C84C8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_Toc2388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3.2 总体链路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_Toc2388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11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74D8685E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_Toc9505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3.3 咨询服务流程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_Toc9505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11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4159510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_Toc19549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3.4 收费模型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_Toc19549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13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3FA8E3C9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_Toc4274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3.5 与Token平台的关系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_Toc4274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14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047BD244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_Toc22466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四、项目分级、投资模型与合资转化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_Toc22466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14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005C46CA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_Toc16339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4.1 合资与投资目的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_Toc16339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14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87F4EDD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_Toc9102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4.2 SABC项目分级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_Toc9102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14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C7DA5FA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_Toc27017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4.3 可选合作模型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_Toc27017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15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6774AF14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_Toc13639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4.4 进入合资或投资的要求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_Toc13639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15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3D495E0D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_Toc25965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五、业务承接体系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_Toc25965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15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4D893590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_Toc5518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5.1 总体架构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_Toc5518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16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75EBDD65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_Toc4962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5.2 母公司的角色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_Toc4962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16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4C29D2BC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_Toc16242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5.3 城市合伙人（经营合伙人）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_Toc16242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16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6DC273A2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_Toc6667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5.4 推荐人体系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_Toc6667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19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0D174C9A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_Toc16278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5.5 合伙人与推荐人的关系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_Toc16278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21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4468DE16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_Toc31203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5.6 全国招商：城市合伙人体系的延伸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_Toc31203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21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79212220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_Toc10593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六、首发方案：成都与厦门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_Toc10593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22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6F49CA5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_Toc8741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6.1 成都首发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_Toc8741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22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4F2A330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_Toc31437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6.2 厦门验证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_Toc31437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22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16EC2B42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_Toc24040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6.3 首发赛道选择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_Toc24040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22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6CBA8C1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_Toc2962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七、运营手段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_Toc2962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23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46EA7E8C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_Toc25364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7.1 线上运营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_Toc25364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23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6B468461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_Toc19133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7.2 线下运营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_Toc19133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25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17375D1D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_Toc23077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7.3 线上线下联动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_Toc23077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27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67186F91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_Toc26102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7.4 案例建设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_Toc26102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28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0005AB00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_Toc11474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八、团队配置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_Toc11474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28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374C0B49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_Toc4099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8.1 P0岗位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_Toc4099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28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B6AB31B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_Toc6926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8.2 P1岗位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_Toc6926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29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1A58C429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_Toc2119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8.3 P2岗位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_Toc2119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29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0C60525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_Toc20738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九、推进机制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_Toc20738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30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7D81B7B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_Toc21323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9.1 推进阶段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_Toc21323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30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10BC1BAB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_Toc19955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9.2 阶段判断节点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_Toc19955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30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758B3567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_Toc21660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十、落地执行工具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_Toc21660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31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78A45CC5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_Toc11056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10.1 客户初筛表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_Toc11056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31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6EBC50F7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_Toc15484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10.2 咨询项目执行台账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_Toc15484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32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74E76E23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_Toc2928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10.3 SABC评分表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_Toc2928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32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2645023A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_Toc4155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10.4 推荐人台账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_Toc4155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33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562D1158">
              <w:pPr>
                <w:pStyle w:val="12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_Toc32345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10.5 首批客户推进节奏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_Toc32345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34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115A5174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_Toc2608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十一、风险提示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_Toc2608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34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15D998BE">
              <w:pPr>
                <w:pStyle w:val="10"/>
                <w:tabs>
                  <w:tab w:val="right" w:leader="dot" w:pos="9026"/>
                </w:tabs>
                <w:spacing w:before="0" w:after="120" w:line="360" w:lineRule="auto"/>
                <w:ind w:firstLineChars="200"/>
              </w:pP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HYPERLINK \l _Toc16644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资料来源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ab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begin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instrText xml:space="preserve"> PAGEREF _Toc16644 \h </w:instrTex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separate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t>35</w:t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  <w:r>
                <w:rPr>
                  <w:rFonts w:ascii="Times New Roman" w:hAnsi="Times New Roman" w:eastAsia="宋体"/>
                  <w:sz w:val="24"/>
                  <w:szCs w:val="24"/>
                </w:rPr>
                <w:fldChar w:fldCharType="end"/>
              </w:r>
            </w:p>
            <w:p w14:paraId="47688672">
              <w:r>
                <w:fldChar w:fldCharType="end"/>
              </w:r>
            </w:p>
          </w:sdtContent>
        </w:sdt>
        <w:p w14:paraId="7BDE7F0A"/>
      </w:sdtContent>
    </w:sdt>
    <w:p w14:paraId="0C0B6ECE">
      <w:r>
        <w:br w:type="page"/>
      </w:r>
    </w:p>
    <w:p w14:paraId="393C9852">
      <w:pPr>
        <w:pStyle w:val="2"/>
        <w:spacing w:before="0" w:after="120" w:line="360" w:lineRule="auto"/>
      </w:pPr>
      <w:bookmarkStart w:id="2" w:name="_Toc16854"/>
      <w:r>
        <w:rPr>
          <w:rFonts w:ascii="Times New Roman" w:hAnsi="Times New Roman" w:eastAsia="黑体"/>
          <w:b/>
          <w:sz w:val="36"/>
          <w:szCs w:val="36"/>
        </w:rPr>
        <w:t>一、背景与业务判断</w:t>
      </w:r>
      <w:bookmarkEnd w:id="2"/>
    </w:p>
    <w:p w14:paraId="1CADE1E3">
      <w:pPr>
        <w:pStyle w:val="3"/>
        <w:spacing w:before="0" w:after="120" w:line="360" w:lineRule="auto"/>
      </w:pPr>
      <w:bookmarkStart w:id="3" w:name="_Toc30391"/>
      <w:r>
        <w:rPr>
          <w:rFonts w:ascii="Times New Roman" w:hAnsi="Times New Roman" w:eastAsia="黑体"/>
          <w:b/>
          <w:sz w:val="28"/>
          <w:szCs w:val="28"/>
        </w:rPr>
        <w:t>1.1 业务背景</w:t>
      </w:r>
      <w:bookmarkEnd w:id="3"/>
    </w:p>
    <w:p w14:paraId="6F572CA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公司推进合资公司和投资业务时，主要瓶颈在项目来源。现有熟人关系、商会、FA和零散外联能够带来机会，但稳定性不足。</w:t>
      </w:r>
    </w:p>
    <w:p w14:paraId="1AEA9C07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AI咨询业务可以形成更主动的项目发现方式。公司通过提供具体AI服务进入企业经营现场，接触老板、业务团队、日常流程和部分经营数据。相比单纯外联，咨询服务能更早看到企业真实问题，也能更快判断项目是否有长期合作价值。</w:t>
      </w:r>
    </w:p>
    <w:p w14:paraId="2754789B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这项业务的意义，不只在于赚一笔咨询费。咨询费可以覆盖前期成本，案例可以支撑后续获客，更重要的是形成一条持续筛选项目的路径。公司可以在服务客户过程中判断对方是否具备合资基础，而不是等项目方主动包装好材料之后再被动评估。</w:t>
      </w:r>
    </w:p>
    <w:p w14:paraId="3C5F11A5">
      <w:pPr>
        <w:pStyle w:val="3"/>
        <w:spacing w:before="0" w:after="120" w:line="360" w:lineRule="auto"/>
      </w:pPr>
      <w:bookmarkStart w:id="4" w:name="_Toc31445"/>
      <w:r>
        <w:rPr>
          <w:rFonts w:ascii="Times New Roman" w:hAnsi="Times New Roman" w:eastAsia="黑体"/>
          <w:b/>
          <w:sz w:val="28"/>
          <w:szCs w:val="28"/>
        </w:rPr>
        <w:t>1.2 AI咨询与公司主业的关系</w:t>
      </w:r>
      <w:bookmarkEnd w:id="4"/>
    </w:p>
    <w:p w14:paraId="41546AF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AI咨询业务承担三项功能。</w:t>
      </w:r>
    </w:p>
    <w:p w14:paraId="4C4DB4F6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服务客户，形成咨询收入和案例。</w:t>
      </w:r>
    </w:p>
    <w:p w14:paraId="4D26259F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发现项目，从真实业务中识别可长期合作对象。</w:t>
      </w:r>
    </w:p>
    <w:p w14:paraId="6DFC458E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转化合资，从优质AI咨询客户中筛选合资项目。</w:t>
      </w:r>
    </w:p>
    <w:p w14:paraId="1A5CABE3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第一阶段先解决客户能否成交、服务能否交付、案例能否沉淀。第二阶段再看客户是否有长期服务价值。第三阶段筛选S级和A级项目，进入合资观察。</w:t>
      </w:r>
    </w:p>
    <w:p w14:paraId="6DD6019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如果只把AI咨询看成独立利润业务，容易陷入低价服务和重复交付。公司更适合把它作为合资业务的前端入口，用咨询服务换取真实客户关系、业务理解和项目判断能力。</w:t>
      </w:r>
    </w:p>
    <w:p w14:paraId="231D2DCC">
      <w:pPr>
        <w:pStyle w:val="3"/>
        <w:spacing w:before="0" w:after="120" w:line="360" w:lineRule="auto"/>
      </w:pPr>
      <w:bookmarkStart w:id="5" w:name="_Toc7654"/>
      <w:r>
        <w:rPr>
          <w:rFonts w:ascii="Times New Roman" w:hAnsi="Times New Roman" w:eastAsia="黑体"/>
          <w:b/>
          <w:sz w:val="28"/>
          <w:szCs w:val="28"/>
        </w:rPr>
        <w:t>1.3 本报告的判断</w:t>
      </w:r>
      <w:bookmarkEnd w:id="5"/>
    </w:p>
    <w:p w14:paraId="4E79758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公司应推进AI咨询业务，但启动期要控制边界。公司现有优势在项目研究和AI技术，短板在真实客户场景落地经验。业务应从轻量、具体、可验证的小场景开始，在服务过程中补足落地能力，并把优质项目导入合资路径。</w:t>
      </w:r>
    </w:p>
    <w:p w14:paraId="64C0A9D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本业务的核心依赖是合伙人能够亲自参与业务一线，具备AI改造实操能力，而不只是提供资源或介绍。这一点决定了后续合伙人机制、团队配置和推进节奏的设计。</w:t>
      </w:r>
    </w:p>
    <w:p w14:paraId="4C7A184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现阶段不宜把AI咨询包装成复杂系统交付，也不宜承诺大范围数字化改造。更稳妥的做法，是先抓住客户日常经营中重复、耗时、可以被AI辅助的环节，做出一个客户能用、愿意付费、后续可持续优化的结果。</w:t>
      </w:r>
    </w:p>
    <w:p w14:paraId="6DA6F620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启动期的管理重点有三项。第一，明确首发赛道，避免面向所有行业泛泛获客。第二，建立标准化调研和方案模板，降低项目研究员、AI产品经理和技术人员之间的沟通成本。第三，把每个客户都纳入项目分级管理，防止普通咨询客户和潜在合资项目混在一起。</w:t>
      </w:r>
    </w:p>
    <w:p w14:paraId="79232300">
      <w:pPr>
        <w:pStyle w:val="2"/>
        <w:spacing w:before="0" w:after="120" w:line="360" w:lineRule="auto"/>
      </w:pPr>
      <w:bookmarkStart w:id="6" w:name="_Toc8038"/>
      <w:r>
        <w:rPr>
          <w:rFonts w:ascii="Times New Roman" w:hAnsi="Times New Roman" w:eastAsia="黑体"/>
          <w:b/>
          <w:sz w:val="36"/>
          <w:szCs w:val="36"/>
        </w:rPr>
        <w:t>二、AI咨询行业与市场判断</w:t>
      </w:r>
      <w:bookmarkEnd w:id="6"/>
    </w:p>
    <w:p w14:paraId="513C67D3">
      <w:pPr>
        <w:pStyle w:val="3"/>
        <w:spacing w:before="0" w:after="120" w:line="360" w:lineRule="auto"/>
      </w:pPr>
      <w:bookmarkStart w:id="7" w:name="_Toc12283"/>
      <w:r>
        <w:rPr>
          <w:rFonts w:ascii="Times New Roman" w:hAnsi="Times New Roman" w:eastAsia="黑体"/>
          <w:b/>
          <w:sz w:val="28"/>
          <w:szCs w:val="28"/>
        </w:rPr>
        <w:t>2.1 AI咨询公司是做什么的</w:t>
      </w:r>
      <w:bookmarkEnd w:id="7"/>
    </w:p>
    <w:p w14:paraId="185FB5AF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AI咨询公司帮助企业把AI用到真实业务中，主要工作包括：识别企业哪些流程适合AI介入，梳理客户业务问题并形成改造方案，判断AI工具、流程和数据是否具备落地条件，协助客户完成具体场景落地，并在使用过程中持续优化。</w:t>
      </w:r>
    </w:p>
    <w:p w14:paraId="0931ED54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客户最终关心四件事：能否省时间、降成本、提高转化、让团队真正用起来。AI咨询的价值不在于讲清楚AI概念，而在于把AI放进客户的具体工作中。</w:t>
      </w:r>
    </w:p>
    <w:p w14:paraId="74D49C6F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从交付方式看，AI咨询可以分为三类。</w:t>
      </w:r>
    </w:p>
    <w:p w14:paraId="38185B34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方案型咨询。帮助客户判断哪些业务环节适合AI改造，输出可执行方案。</w:t>
      </w:r>
    </w:p>
    <w:p w14:paraId="7E26AF5D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落地型服务。帮助客户把某个具体工作流做出来，例如客服回复、内容生产、资料整理、销售跟进。</w:t>
      </w:r>
    </w:p>
    <w:p w14:paraId="0BBFF25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持续运营型服务。客户使用后继续优化流程，增加新场景，并接入平台或Token消耗。</w:t>
      </w:r>
    </w:p>
    <w:p w14:paraId="1A75ECED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公司启动期应以方案型咨询和轻量落地服务为主，逐步形成持续运营收入。复杂系统集成、深度数据治理和大型企业级部署可以作为后续能力，不作为当前主战场。</w:t>
      </w:r>
    </w:p>
    <w:p w14:paraId="16CBD716">
      <w:pPr>
        <w:pStyle w:val="3"/>
        <w:spacing w:before="0" w:after="120" w:line="360" w:lineRule="auto"/>
      </w:pPr>
      <w:bookmarkStart w:id="8" w:name="_Toc32621"/>
      <w:r>
        <w:rPr>
          <w:rFonts w:ascii="Times New Roman" w:hAnsi="Times New Roman" w:eastAsia="黑体"/>
          <w:b/>
          <w:sz w:val="28"/>
          <w:szCs w:val="28"/>
        </w:rPr>
        <w:t>2.2 服务对象是谁</w:t>
      </w:r>
      <w:bookmarkEnd w:id="8"/>
    </w:p>
    <w:p w14:paraId="72A86A7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启动期服务对象聚焦四类。</w:t>
      </w:r>
    </w:p>
    <w:p w14:paraId="19ABC02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小微企业老板：决策快，问题具体，适合快速试点。</w:t>
      </w:r>
    </w:p>
    <w:p w14:paraId="569ECB3E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生产型个人用户：如电商卖家、内容创作者、本地服务经营者。</w:t>
      </w:r>
    </w:p>
    <w:p w14:paraId="583B790D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本地产业项目方：具备真实业务基础，适合通过咨询判断长期合作可能。</w:t>
      </w:r>
    </w:p>
    <w:p w14:paraId="50714425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潜在合资对象：通过AI咨询先观察业务、团队和增长空间。</w:t>
      </w:r>
    </w:p>
    <w:p w14:paraId="053DAA7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上述对象共同特点是业务问题具体、决策链条较短、对效率改善有直接感受。公司早期不应优先进入大型企业复杂系统集成项目，那类项目对资质、实施经验、行业背书和交付团队要求较高。</w:t>
      </w:r>
    </w:p>
    <w:p w14:paraId="054D3DA0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客户筛选时建议关注五个信号。</w:t>
      </w:r>
    </w:p>
    <w:p w14:paraId="4146F787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老板或负责人能直接决策。</w:t>
      </w:r>
    </w:p>
    <w:p w14:paraId="5099F13E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当前业务中有大量重复劳动。</w:t>
      </w:r>
    </w:p>
    <w:p w14:paraId="0E043C55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客户愿意提供基本业务材料。</w:t>
      </w:r>
    </w:p>
    <w:p w14:paraId="68292229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AI改造结果可以在短期内被看见。</w:t>
      </w:r>
    </w:p>
    <w:p w14:paraId="5477962E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5. 客户存在长期服务、合资或推荐扩散的可能。</w:t>
      </w:r>
    </w:p>
    <w:p w14:paraId="6720A86D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不适合优先服务的客户也要明确。需求非常泛、只想了解概念、无法提供业务材料、只愿意免费试用、内部没有人愿意使用工具的客户，不宜投入过多交付资源。</w:t>
      </w:r>
    </w:p>
    <w:p w14:paraId="607074A6">
      <w:pPr>
        <w:pStyle w:val="3"/>
        <w:spacing w:before="0" w:after="120" w:line="360" w:lineRule="auto"/>
      </w:pPr>
      <w:bookmarkStart w:id="9" w:name="_Toc3128"/>
      <w:r>
        <w:rPr>
          <w:rFonts w:ascii="Times New Roman" w:hAnsi="Times New Roman" w:eastAsia="黑体"/>
          <w:b/>
          <w:sz w:val="28"/>
          <w:szCs w:val="28"/>
        </w:rPr>
        <w:t>2.3 我们目前能做到什么</w:t>
      </w:r>
      <w:bookmarkEnd w:id="9"/>
    </w:p>
    <w:p w14:paraId="78DCFFB4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公司当前具备两类基础能力。</w:t>
      </w:r>
    </w:p>
    <w:p w14:paraId="52EBA73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第一，项目研究能力。现有项目研究员有较丰富的项目调研经验，能够做行业信息整理、企业情况分析、业务问题拆解、竞品和市场资料梳理。这部分能力适合用于AI咨询前端诊断，也适合判断客户是否具备合资或投资价值。</w:t>
      </w:r>
    </w:p>
    <w:p w14:paraId="7245D0E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第二，AI技术能力。公司已有AI技术人员，可以支持工具搭建、流程自动化、模型调用和Token平台对接。这部分能力能支撑部分AI工作流落地。</w:t>
      </w:r>
    </w:p>
    <w:p w14:paraId="6F7B5C7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当前短板在落地经验。公司可能还不够熟悉客户现场的真实流程，也缺少足够多的AI改造案例。启动期不宜承诺复杂系统交付，应先做轻量、具体、可验证的小场景。</w:t>
      </w:r>
    </w:p>
    <w:p w14:paraId="0A73058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启动期重点场景包括内容生产、客服销售、资料整理、知识库、运营复盘、合同标书、行业研究、管理流程优化。这些场景与公司现有项目研究能力和AI技术能力匹配度较高，客户也容易理解效果。</w:t>
      </w:r>
    </w:p>
    <w:p w14:paraId="386FF99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从能力组合看，公司可以先形成三类服务。</w:t>
      </w:r>
    </w:p>
    <w:p w14:paraId="5871ADF8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研究型AI咨询。以项目研究员为主，帮助客户梳理行业、竞品、客户、业务流程和可改造场景。</w:t>
      </w:r>
    </w:p>
    <w:p w14:paraId="501DC578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方案型AI咨询。以AI产品经理为主，把客户需求转成AI流程方案和落地优先级。</w:t>
      </w:r>
    </w:p>
    <w:p w14:paraId="6807F278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轻量交付型AI咨询。以AI技术人员为主，完成工具配置、流程搭建、平台接入和使用支持。</w:t>
      </w:r>
    </w:p>
    <w:p w14:paraId="20FA9090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这三类服务应形成递进关系。前端调研解决“做什么”，产品方案解决“怎么做”，技术交付解决“能不能用”。如果三类能力脱节，项目容易停留在方案层面；如果没有前端调研，技术人员容易陷入客户临时提出的零散需求。</w:t>
      </w:r>
    </w:p>
    <w:p w14:paraId="63537839">
      <w:pPr>
        <w:pStyle w:val="3"/>
        <w:spacing w:before="0" w:after="120" w:line="360" w:lineRule="auto"/>
      </w:pPr>
      <w:bookmarkStart w:id="10" w:name="_Toc14436"/>
      <w:r>
        <w:rPr>
          <w:rFonts w:ascii="Times New Roman" w:hAnsi="Times New Roman" w:eastAsia="黑体"/>
          <w:b/>
          <w:sz w:val="28"/>
          <w:szCs w:val="28"/>
        </w:rPr>
        <w:t>2.4 市场环境是什么</w:t>
      </w:r>
      <w:bookmarkEnd w:id="10"/>
    </w:p>
    <w:p w14:paraId="2E3A133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企业AI市场正在从工具尝鲜进入落地交付阶段。头部AI公司近期的动作很清楚地说明了这一变化。</w:t>
      </w:r>
    </w:p>
    <w:p w14:paraId="06068127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2026年5月4日，Anthropic 宣布与 Blackstone、Hellman &amp; Friedman、Goldman Sachs 成立企业AI服务公司。Anthropic 在公告中明确，新公司会与中型企业合作，把 Claude 引入重要运营环节，并由应用AI工程师和工程团队一起识别高影响场景、构建定制方案、提供长期支持。2026年5月11日，OpenAI 发布 OpenAI Deployment Company。OpenAI 将其定位为帮助组织围绕AI构建和部署可日常依赖系统的新公司。公开信息显示，该公司会将 Forward Deployed Engineers 嵌入客户组织，和业务负责人、运营团队、一线团队一起识别AI价值点、重设关键工作流并形成可持续系统。OpenAI 同时披露，该公司将获得超过40亿美元初始投资，并与投资机构、咨询公司和系统集成商合作。</w:t>
      </w:r>
    </w:p>
    <w:p w14:paraId="0849B788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咨询机构的调研也指向同一问题。McKinsey 2025年全球AI调查显示，88%的受访组织已经在至少一个业务职能中常规使用AI，但多数企业仍停留在实验或试点阶段，只有约三分之一进入规模化。Deloitte 2026年企业AI报告显示，员工AI使用权限在2025年上升50%，但企业在基础设施、数据、风险和人才方面仍感到准备不足。Gartner 的企业AI调查也显示，生成式AI原型转入生产的比例仍然有限。</w:t>
      </w:r>
    </w:p>
    <w:p w14:paraId="3FB5FE5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这些信息共同说明，市场机会已经从“是否使用AI工具”转向“能否把AI放进流程并产生结果”。客户真正缺的不是另一个工具账号，而是有人帮他判断从哪里做、怎么做、做完谁来用、用完如何持续优化。</w:t>
      </w:r>
    </w:p>
    <w:p w14:paraId="0B359239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这一趋势对公司有两个启示。第一，AI咨询的竞争重点会转向场景理解和交付能力。第二，资本、渠道和工程交付正在结合，AI服务不再只是软件销售，也会成为项目发现和产业投资入口。</w:t>
      </w:r>
    </w:p>
    <w:p w14:paraId="7B3789B3">
      <w:pPr>
        <w:pStyle w:val="3"/>
        <w:spacing w:before="0" w:after="120" w:line="360" w:lineRule="auto"/>
      </w:pPr>
      <w:bookmarkStart w:id="11" w:name="_Toc12387"/>
      <w:r>
        <w:rPr>
          <w:rFonts w:ascii="Times New Roman" w:hAnsi="Times New Roman" w:eastAsia="黑体"/>
          <w:b/>
          <w:sz w:val="28"/>
          <w:szCs w:val="28"/>
        </w:rPr>
        <w:t>2.5 市场竞争压力和对手</w:t>
      </w:r>
      <w:bookmarkEnd w:id="11"/>
    </w:p>
    <w:p w14:paraId="45BB6B4B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竞争对手分五类。</w:t>
      </w:r>
    </w:p>
    <w:p w14:paraId="59E80A6C">
      <w:pPr>
        <w:pStyle w:val="20"/>
        <w:numPr>
          <w:ilvl w:val="0"/>
          <w:numId w:val="0"/>
        </w:numPr>
        <w:spacing w:before="0" w:after="120" w:line="360" w:lineRule="auto"/>
        <w:ind w:left="480"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1. 大模型公司企业服务团队。</w:t>
      </w:r>
      <w:r>
        <w:rPr>
          <w:rFonts w:ascii="Times New Roman" w:hAnsi="Times New Roman" w:eastAsia="宋体" w:cs="宋体"/>
          <w:sz w:val="24"/>
          <w:szCs w:val="24"/>
        </w:rPr>
        <w:t>优势是模型能力、品牌和技术资源，主要服务大客户。</w:t>
      </w:r>
    </w:p>
    <w:p w14:paraId="3A096AFD">
      <w:pPr>
        <w:pStyle w:val="20"/>
        <w:numPr>
          <w:ilvl w:val="0"/>
          <w:numId w:val="0"/>
        </w:numPr>
        <w:spacing w:before="0" w:after="120" w:line="360" w:lineRule="auto"/>
        <w:ind w:left="480"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2. 系统集成商。</w:t>
      </w:r>
      <w:r>
        <w:rPr>
          <w:rFonts w:ascii="Times New Roman" w:hAnsi="Times New Roman" w:eastAsia="宋体" w:cs="宋体"/>
          <w:sz w:val="24"/>
          <w:szCs w:val="24"/>
        </w:rPr>
        <w:t>优势是IT实施和企业系统连接，项目周期较长，适合预算较高的客户。</w:t>
      </w:r>
    </w:p>
    <w:p w14:paraId="379E825E">
      <w:pPr>
        <w:pStyle w:val="20"/>
        <w:numPr>
          <w:ilvl w:val="0"/>
          <w:numId w:val="0"/>
        </w:numPr>
        <w:spacing w:before="0" w:after="120" w:line="360" w:lineRule="auto"/>
        <w:ind w:left="480"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3. 传统咨询公司。</w:t>
      </w:r>
      <w:r>
        <w:rPr>
          <w:rFonts w:ascii="Times New Roman" w:hAnsi="Times New Roman" w:eastAsia="宋体" w:cs="宋体"/>
          <w:sz w:val="24"/>
          <w:szCs w:val="24"/>
        </w:rPr>
        <w:t>优势是行业经验、客户信任、高层关系和方案表达，短板在费用高、周期长、技术落地依赖外部团队。</w:t>
      </w:r>
    </w:p>
    <w:p w14:paraId="1D939725">
      <w:pPr>
        <w:pStyle w:val="20"/>
        <w:numPr>
          <w:ilvl w:val="0"/>
          <w:numId w:val="0"/>
        </w:numPr>
        <w:spacing w:before="0" w:after="120" w:line="360" w:lineRule="auto"/>
        <w:ind w:left="480"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4. 垂直AI工具公司。</w:t>
      </w:r>
      <w:r>
        <w:rPr>
          <w:rFonts w:ascii="Times New Roman" w:hAnsi="Times New Roman" w:eastAsia="宋体" w:cs="宋体"/>
          <w:sz w:val="24"/>
          <w:szCs w:val="24"/>
        </w:rPr>
        <w:t>优势是产品明确、上手快，短板是解决单点问题，难以覆盖客户完整业务流程。</w:t>
      </w:r>
    </w:p>
    <w:p w14:paraId="60B80EC1">
      <w:pPr>
        <w:pStyle w:val="20"/>
        <w:numPr>
          <w:ilvl w:val="0"/>
          <w:numId w:val="0"/>
        </w:numPr>
        <w:spacing w:before="0" w:after="120" w:line="360" w:lineRule="auto"/>
        <w:ind w:left="480"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5. 本地AI培训和轻咨询团队。</w:t>
      </w:r>
      <w:r>
        <w:rPr>
          <w:rFonts w:ascii="Times New Roman" w:hAnsi="Times New Roman" w:eastAsia="宋体" w:cs="宋体"/>
          <w:sz w:val="24"/>
          <w:szCs w:val="24"/>
        </w:rPr>
        <w:t>优势是价格低、获客快，短板是交付质量不稳定，难以承接长期项目判断。</w:t>
      </w:r>
    </w:p>
    <w:p w14:paraId="23385CAB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公司应切入中小客户轻量服务场景，以项目研究能力、AI技术支持、本地渠道和合资转化能力形成差异。传统咨询公司可以做复杂战略方案，大模型公司可以做大企业部署，公司更适合做小场景切入、真实业务验证和后续合资转化。</w:t>
      </w:r>
    </w:p>
    <w:p w14:paraId="47B00B27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与本地轻咨询和培训团队的核心差别，在于公司具备亲自完成业务诊断和工作流落地的能力，而不只是讲方法或卖工具。这一能力的关键承担者是合伙人，详见第五章。</w:t>
      </w:r>
    </w:p>
    <w:p w14:paraId="717EA1B5">
      <w:pPr>
        <w:spacing w:before="0" w:after="120" w:line="360" w:lineRule="auto"/>
        <w:ind w:firstLineChars="20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 w:cs="宋体"/>
          <w:sz w:val="24"/>
          <w:szCs w:val="24"/>
        </w:rPr>
        <w:t>公司竞争策略应聚焦四点</w:t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t>：</w:t>
      </w:r>
    </w:p>
    <w:p w14:paraId="16C936A7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不和大模型公司比模型能力，强调场景理解和本地服务。</w:t>
      </w:r>
    </w:p>
    <w:p w14:paraId="69793B0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不和系统集成商比大型项目经验，强调低门槛和短周期。</w:t>
      </w:r>
    </w:p>
    <w:p w14:paraId="2B6AA5AB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不和传统咨询公司比战略包装，强调能做出客户能用的东西。</w:t>
      </w:r>
    </w:p>
    <w:p w14:paraId="68C66F65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不和培训团队比低价课程，强调持续交付和项目筛选。</w:t>
      </w:r>
    </w:p>
    <w:p w14:paraId="3D1E6018">
      <w:pPr>
        <w:pStyle w:val="3"/>
        <w:spacing w:before="0" w:after="120" w:line="360" w:lineRule="auto"/>
      </w:pPr>
      <w:bookmarkStart w:id="12" w:name="_Toc13903"/>
      <w:r>
        <w:rPr>
          <w:rFonts w:ascii="Times New Roman" w:hAnsi="Times New Roman" w:eastAsia="黑体"/>
          <w:b/>
          <w:sz w:val="28"/>
          <w:szCs w:val="28"/>
        </w:rPr>
        <w:t>2.6 市场未来怎么样</w:t>
      </w:r>
      <w:bookmarkEnd w:id="12"/>
    </w:p>
    <w:p w14:paraId="33D9305E">
      <w:pPr>
        <w:spacing w:before="0" w:after="120" w:line="360" w:lineRule="auto"/>
        <w:ind w:firstLineChars="200"/>
        <w:jc w:val="both"/>
        <w:rPr>
          <w:b/>
          <w:bCs/>
        </w:rPr>
      </w:pPr>
      <w:r>
        <w:rPr>
          <w:rFonts w:ascii="Times New Roman" w:hAnsi="Times New Roman" w:eastAsia="宋体" w:cs="宋体"/>
          <w:bCs/>
          <w:sz w:val="24"/>
          <w:szCs w:val="24"/>
        </w:rPr>
        <w:t>未来AI咨询会分层。大企业走重部署、深集成、长期驻场路线。中小企业需要低门槛、短周期、看得见效果的轻量服务。</w:t>
      </w:r>
    </w:p>
    <w:p w14:paraId="5CFAC7D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BCG 2025年AI价值研究指出，只有少数企业真正从AI中获得显著价值，领先企业在收入提升和成本下降方面明显优于其他企业。McKinsey、Deloitte 和 Gartner 的数据也都显示，AI采用已经扩大，但从试点到规模化仍然困难。这个阶段给轻量AI咨询留下了空间：客户需要的不是大而全方案，而是能把一个具体流程跑通的人。</w:t>
      </w:r>
    </w:p>
    <w:p w14:paraId="654087C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对公司而言，AI咨询的更大价值在于形成项目入口。服务客户的过程，本身就是项目调研、业务验证和团队观察。做得好的客户，可以继续服务；更好的客户，可以进入合资路径。</w:t>
      </w:r>
    </w:p>
    <w:p w14:paraId="3AF26E7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中长期看，AI咨询业务可能形成三类资产。第一是客户资产，包括中小企业客户、行业客户和本地项目方。第二是案例资产，包括可复制的场景、方案和服务流程。第三是项目资产，包括经过服务验证的S级和A级项目。这三类资产沉淀下来，才有全国招商和基金化投资的基础。</w:t>
      </w:r>
    </w:p>
    <w:p w14:paraId="6A8A4488">
      <w:pPr>
        <w:pStyle w:val="2"/>
        <w:spacing w:before="0" w:after="120" w:line="360" w:lineRule="auto"/>
      </w:pPr>
      <w:bookmarkStart w:id="13" w:name="_Toc28798"/>
      <w:r>
        <w:rPr>
          <w:rFonts w:ascii="Times New Roman" w:hAnsi="Times New Roman" w:eastAsia="黑体"/>
          <w:b/>
          <w:sz w:val="36"/>
          <w:szCs w:val="36"/>
        </w:rPr>
        <w:t>三、业务定位与咨询服务模式</w:t>
      </w:r>
      <w:bookmarkEnd w:id="13"/>
    </w:p>
    <w:p w14:paraId="0D7FFF65">
      <w:pPr>
        <w:pStyle w:val="3"/>
        <w:spacing w:before="0" w:after="120" w:line="360" w:lineRule="auto"/>
      </w:pPr>
      <w:bookmarkStart w:id="14" w:name="_Toc23817"/>
      <w:r>
        <w:rPr>
          <w:rFonts w:ascii="Times New Roman" w:hAnsi="Times New Roman" w:eastAsia="黑体"/>
          <w:b/>
          <w:sz w:val="28"/>
          <w:szCs w:val="28"/>
        </w:rPr>
        <w:t>3.1 业务定位</w:t>
      </w:r>
      <w:bookmarkEnd w:id="14"/>
    </w:p>
    <w:p w14:paraId="3E5386C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AI咨询业务定位为公司前端项目入口，承担咨询服务、项目发现、合资转化三项功能。</w:t>
      </w:r>
    </w:p>
    <w:p w14:paraId="0707F464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咨询服务解决短期收入和案例问题。项目发现解决项目来源问题。合资转化解决长期价值问题。三项功能需要放在一条业务链路里设计。</w:t>
      </w:r>
    </w:p>
    <w:p w14:paraId="5E673C8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业务定位应避免两种偏差。第一，把AI咨询做成泛培训或泛课程，短期容易获客，但很难形成项目判断。第二，把AI咨询一开始就做成重系统集成，团队和案例都还不足，交付风险较高。当前更合适的位置，是轻咨询加轻交付，再从服务中筛选合资项目。</w:t>
      </w:r>
    </w:p>
    <w:p w14:paraId="26FD94FF">
      <w:pPr>
        <w:pStyle w:val="3"/>
        <w:spacing w:before="0" w:after="120" w:line="360" w:lineRule="auto"/>
      </w:pPr>
      <w:bookmarkStart w:id="15" w:name="_Toc2388"/>
      <w:r>
        <w:rPr>
          <w:rFonts w:ascii="Times New Roman" w:hAnsi="Times New Roman" w:eastAsia="黑体"/>
          <w:b/>
          <w:sz w:val="28"/>
          <w:szCs w:val="28"/>
        </w:rPr>
        <w:t>3.2 总体链路</w:t>
      </w:r>
      <w:bookmarkEnd w:id="15"/>
    </w:p>
    <w:p w14:paraId="6BD64428">
      <w:pPr>
        <w:spacing w:before="0" w:after="120" w:line="360" w:lineRule="auto"/>
        <w:ind w:firstLineChars="200"/>
        <w:jc w:val="both"/>
        <w:rPr>
          <w:b/>
          <w:bCs/>
        </w:rPr>
      </w:pPr>
      <w:r>
        <w:rPr>
          <w:rFonts w:ascii="Times New Roman" w:hAnsi="Times New Roman" w:eastAsia="宋体" w:cs="宋体"/>
          <w:sz w:val="24"/>
          <w:szCs w:val="24"/>
        </w:rPr>
        <w:t>业务总体链路为：</w:t>
      </w:r>
      <w:r>
        <w:rPr>
          <w:rFonts w:ascii="Times New Roman" w:hAnsi="Times New Roman" w:eastAsia="宋体" w:cs="宋体"/>
          <w:bCs/>
          <w:sz w:val="24"/>
          <w:szCs w:val="24"/>
        </w:rPr>
        <w:t>推荐人或渠道引入客户，项目研究员初步调研，AI产品经理参与需求讨论，形成AI咨询方案，技术人员评估落地可行性，客户付费或试点，实际落地，使用复盘，项目分级，优质项目进入合资路径。</w:t>
      </w:r>
    </w:p>
    <w:p w14:paraId="5ECE781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这条链路的重点在前半段调研和方案，也在后半段合资判断。客户是否愿意付费，只是一个节点；客户是否值得长期合作，才是更高价值的判断。</w:t>
      </w:r>
    </w:p>
    <w:p w14:paraId="6A0EF2E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链路中每个角色的任务要清楚。</w:t>
      </w:r>
      <w:r>
        <w:rPr>
          <w:rFonts w:ascii="Times New Roman" w:hAnsi="Times New Roman" w:eastAsia="宋体" w:cs="宋体"/>
          <w:bCs/>
          <w:sz w:val="24"/>
          <w:szCs w:val="24"/>
        </w:rPr>
        <w:t>合伙人作为经营合伙人，全程参与并是首批客户的第一交付人。</w:t>
      </w:r>
      <w:r>
        <w:rPr>
          <w:rFonts w:ascii="Times New Roman" w:hAnsi="Times New Roman" w:eastAsia="宋体" w:cs="宋体"/>
          <w:sz w:val="24"/>
          <w:szCs w:val="24"/>
        </w:rPr>
        <w:t>项目研究员负责识别业务问题和项目价值。AI产品经理负责把问题转成可落地方案。技术人员负责判断工具、数据和交付边界。商务运营/BD负责客户关系、合同和跟进。</w:t>
      </w:r>
    </w:p>
    <w:p w14:paraId="4468562A">
      <w:pPr>
        <w:pStyle w:val="3"/>
        <w:spacing w:before="0" w:after="120" w:line="360" w:lineRule="auto"/>
      </w:pPr>
      <w:bookmarkStart w:id="16" w:name="_Toc9505"/>
      <w:r>
        <w:rPr>
          <w:rFonts w:ascii="Times New Roman" w:hAnsi="Times New Roman" w:eastAsia="黑体"/>
          <w:b/>
          <w:sz w:val="28"/>
          <w:szCs w:val="28"/>
        </w:rPr>
        <w:t>3.3 咨询服务流程</w:t>
      </w:r>
      <w:bookmarkEnd w:id="16"/>
    </w:p>
    <w:p w14:paraId="03A202A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咨询服务分为三层。从调研到落地，合伙人作为经营合伙人全程参与，不是把调研丢给项目研究员、落地丢给技术，自己只做客户关系。</w:t>
      </w:r>
    </w:p>
    <w:p w14:paraId="2634BDBD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第一层，调研和方案。</w:t>
      </w:r>
    </w:p>
    <w:p w14:paraId="3D8209E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合伙人、项目研究员和AI产品经理共同介入客户调研和需求讨论。项目研究员负责了解客户行业、业务模式、现有流程和核心问题。AI产品经理负责判断哪些问题适合用AI解决，并把客户需求转成可执行的方案。合伙人凭借AI改造实操经验，参与场景判断和方案把关。</w:t>
      </w:r>
    </w:p>
    <w:p w14:paraId="6B20C2C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方案要回答四个问题。</w:t>
      </w:r>
    </w:p>
    <w:p w14:paraId="1A5568FC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客户现在的问题是什么。</w:t>
      </w:r>
    </w:p>
    <w:p w14:paraId="614A3F34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AI可以在哪个环节介入。</w:t>
      </w:r>
    </w:p>
    <w:p w14:paraId="37A620E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做完后预计能省什么、快什么、改善什么。</w:t>
      </w:r>
    </w:p>
    <w:p w14:paraId="6B1AF525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下一步要做什么、多少钱、多久能看到结果。</w:t>
      </w:r>
    </w:p>
    <w:p w14:paraId="223CFAF9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方案不宜写得过厚。客户早期需要的是判断和路径，不是完整咨询报告。方案应控制在可快速沟通、可报价、可进入下一步的程度。</w:t>
      </w:r>
    </w:p>
    <w:p w14:paraId="48D1E873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第二层，技术落地。</w:t>
      </w:r>
    </w:p>
    <w:p w14:paraId="3682C80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客户认可方案后，技术人员介入，评估具体工具、数据、流程、Token平台和交付边界。能落地的项目进入实际交付，暂时落不了地的项目调整方案或降低范围。启动期，合伙人参与首批落地的实际搭建，确认客户能用，而非只在交付完成后听汇报。</w:t>
      </w:r>
    </w:p>
    <w:p w14:paraId="325D79F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启动期重点是把客户能用的东西做出来。例如，为电商客户做商品文案、客服回复、私域跟进流程；为内容团队做选题、脚本、发布复盘流程；为销售团队做客户资料整理、跟进话术、报价说明流程；为企业管理者做会议纪要、周报、招聘筛选、制度初稿流程；为项目方做资料收集、竞品分析、项目简报流程。</w:t>
      </w:r>
    </w:p>
    <w:p w14:paraId="150DBDF4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技术落地要坚持小切口。每次只解决一个具体场景，避免客户一次性提出太多需求。一个场景跑通后，再扩展第二个场景。</w:t>
      </w:r>
    </w:p>
    <w:p w14:paraId="235DCFF1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第三层，合资路径实施。</w:t>
      </w:r>
    </w:p>
    <w:p w14:paraId="20ACF15F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在调研、方案和落地过程中，如果合伙人、项目研究员、AI产品经理和技术人员共同判断客户具备长期合作价值，可以将该客户纳入合资观察。合资路径不应等到咨询结束后再考虑，而应在咨询过程中同步观察。</w:t>
      </w:r>
    </w:p>
    <w:p w14:paraId="119E132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进入合资讨论前，至少要判断六件事。</w:t>
      </w:r>
    </w:p>
    <w:p w14:paraId="70826B4C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有真实业务和现金流。</w:t>
      </w:r>
    </w:p>
    <w:p w14:paraId="0FC92FF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有明确AI改造场景。</w:t>
      </w:r>
    </w:p>
    <w:p w14:paraId="17019B97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改造效果可以观察或量化。</w:t>
      </w:r>
    </w:p>
    <w:p w14:paraId="0366FD5B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老板愿意配合。</w:t>
      </w:r>
    </w:p>
    <w:p w14:paraId="01BBC481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5. 关键数据可以适度开放。</w:t>
      </w:r>
    </w:p>
    <w:p w14:paraId="677C6252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6. 合规风险可控。</w:t>
      </w:r>
    </w:p>
    <w:p w14:paraId="2F047E0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合资路径实施的关键，是不要把所有客户都当成合资对象。普通客户完成咨询和平台服务即可。只有S级和部分A级客户，才进入合资观察。</w:t>
      </w:r>
    </w:p>
    <w:p w14:paraId="43048F19">
      <w:pPr>
        <w:pStyle w:val="3"/>
        <w:spacing w:before="0" w:after="120" w:line="360" w:lineRule="auto"/>
      </w:pPr>
      <w:bookmarkStart w:id="17" w:name="_Toc19549"/>
      <w:r>
        <w:rPr>
          <w:rFonts w:ascii="Times New Roman" w:hAnsi="Times New Roman" w:eastAsia="黑体"/>
          <w:b/>
          <w:sz w:val="28"/>
          <w:szCs w:val="28"/>
        </w:rPr>
        <w:t>3.4 收费模型</w:t>
      </w:r>
      <w:bookmarkEnd w:id="17"/>
    </w:p>
    <w:p w14:paraId="29E68FF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收费模型按客户阶段设计。</w:t>
      </w:r>
    </w:p>
    <w:p w14:paraId="137B1B33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免费打样：用于建立信任，选择一个小场景做出效果。</w:t>
      </w:r>
    </w:p>
    <w:p w14:paraId="45D25657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方案费：用于业务梳理和AI改造方案。</w:t>
      </w:r>
    </w:p>
    <w:p w14:paraId="00F62B2E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项目交付费：用于具体AI流程搭建和工具配置。</w:t>
      </w:r>
    </w:p>
    <w:p w14:paraId="5F126368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月度服务费：用于持续优化、使用支持和新增小场景。</w:t>
      </w:r>
    </w:p>
    <w:p w14:paraId="3AB33A33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5. 平台或Token使用费：用于承接客户后续持续运行。</w:t>
      </w:r>
    </w:p>
    <w:p w14:paraId="446129BC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6. 效果分成：适用于效果可以量化的客户。</w:t>
      </w:r>
    </w:p>
    <w:p w14:paraId="30E3ECF0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初期收费应避免复杂化。优先让客户完成第一次付费和第一次真实使用。客户持续使用后，再转为月度服务费、平台使用费或效果分成。</w:t>
      </w:r>
    </w:p>
    <w:p w14:paraId="2C58B84D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不同客户适合不同收费方式。需求清楚、预算明确的客户，可以直接收项目交付费。需求不清楚但意愿较强的客户，先收方案费。效果能量化的客户，可以尝试效果分成。具备合资潜力的客户，可以在完成试点后讨论服务换股权或合资结构。</w:t>
      </w:r>
    </w:p>
    <w:p w14:paraId="4789F51B">
      <w:pPr>
        <w:pStyle w:val="3"/>
        <w:spacing w:before="0" w:after="120" w:line="360" w:lineRule="auto"/>
      </w:pPr>
      <w:bookmarkStart w:id="18" w:name="_Toc4274"/>
      <w:r>
        <w:rPr>
          <w:rFonts w:ascii="Times New Roman" w:hAnsi="Times New Roman" w:eastAsia="黑体"/>
          <w:b/>
          <w:sz w:val="28"/>
          <w:szCs w:val="28"/>
        </w:rPr>
        <w:t>3.5 与Token平台的关系</w:t>
      </w:r>
      <w:bookmarkEnd w:id="18"/>
    </w:p>
    <w:p w14:paraId="0D90F58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AI咨询负责获客、调研、方案和落地。Token平台承接客户后续运行、计费、数据沉淀和持续服务。咨询项目落地后，应尽量转为平台持续使用客户。</w:t>
      </w:r>
    </w:p>
    <w:p w14:paraId="2AB4747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对外表达上，Token平台不宜作为金融属性工具介绍，更适合作为AI服务运行、计费和持续优化的承接能力。</w:t>
      </w:r>
    </w:p>
    <w:p w14:paraId="273B71CE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内部管理上，Token平台还可以承担三项作用。第一，记录客户使用情况。第二，形成后续收费依据。第三，帮助判断客户是否真正持续使用AI流程。持续使用的客户，才有长期服务和合资观察价值。</w:t>
      </w:r>
    </w:p>
    <w:p w14:paraId="4A98E797">
      <w:pPr>
        <w:pStyle w:val="3"/>
        <w:spacing w:before="0" w:after="120" w:line="360" w:lineRule="auto"/>
        <w:rPr>
          <w:rFonts w:hint="default" w:ascii="Times New Roman" w:hAnsi="Times New Roman" w:eastAsia="黑体"/>
          <w:b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/>
          <w:b/>
          <w:sz w:val="28"/>
          <w:szCs w:val="28"/>
          <w:lang w:val="en-US" w:eastAsia="zh-CN"/>
        </w:rPr>
        <w:t>3.6 智能体切入模式</w:t>
      </w:r>
    </w:p>
    <w:p w14:paraId="2A74FB50">
      <w:pPr>
        <w:spacing w:before="0" w:after="120" w:line="360" w:lineRule="auto"/>
        <w:ind w:firstLine="480" w:firstLineChars="200"/>
        <w:jc w:val="both"/>
        <w:rPr>
          <w:rFonts w:hint="default" w:ascii="Times New Roman" w:hAnsi="Times New Roman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就目前切入来看，</w:t>
      </w:r>
      <w:r>
        <w:rPr>
          <w:rFonts w:hint="default" w:ascii="Times New Roman" w:hAnsi="Times New Roman" w:cs="宋体"/>
          <w:sz w:val="24"/>
          <w:szCs w:val="24"/>
          <w:lang w:val="en-US" w:eastAsia="zh-CN"/>
        </w:rPr>
        <w:t>公司可以将智能体作为AI咨询的标准化落地产品。基本思路是：先通过咨询判断客户业务中最适合AI介入的环节，再把该环节做成一个可对话、可执行、可持续优化的智能体。</w:t>
      </w:r>
    </w:p>
    <w:p w14:paraId="32E3B783">
      <w:pPr>
        <w:spacing w:before="0" w:after="120" w:line="360" w:lineRule="auto"/>
        <w:ind w:firstLine="480" w:firstLineChars="200"/>
        <w:jc w:val="both"/>
        <w:rPr>
          <w:rFonts w:hint="default" w:ascii="Times New Roman" w:hAnsi="Times New Roman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cs="宋体"/>
          <w:sz w:val="24"/>
          <w:szCs w:val="24"/>
          <w:lang w:val="en-US" w:eastAsia="zh-CN"/>
        </w:rPr>
        <w:t>从交付角度看，智能体适合作为AI咨询从方案走向落地的中间层。一方面，它比完整系统开发更轻，能够在较短时间内让客户看到效果；另一方面，它又比单纯提示词、培训课或工具推荐更具体，能够进入客户的实际工作流程，形成持续使用和后续优化空间。</w:t>
      </w:r>
    </w:p>
    <w:p w14:paraId="42FECFC1">
      <w:pPr>
        <w:pStyle w:val="2"/>
        <w:spacing w:before="0" w:after="120" w:line="360" w:lineRule="auto"/>
      </w:pPr>
      <w:bookmarkStart w:id="19" w:name="_Toc22466"/>
      <w:r>
        <w:rPr>
          <w:rFonts w:ascii="Times New Roman" w:hAnsi="Times New Roman" w:eastAsia="黑体"/>
          <w:b/>
          <w:sz w:val="36"/>
          <w:szCs w:val="36"/>
        </w:rPr>
        <w:t>四、项目分级、投资模型与合资转化</w:t>
      </w:r>
      <w:bookmarkEnd w:id="19"/>
    </w:p>
    <w:p w14:paraId="7C9C1F70">
      <w:pPr>
        <w:pStyle w:val="3"/>
        <w:spacing w:before="0" w:after="120" w:line="360" w:lineRule="auto"/>
      </w:pPr>
      <w:bookmarkStart w:id="20" w:name="_Toc16339"/>
      <w:r>
        <w:rPr>
          <w:rFonts w:ascii="Times New Roman" w:hAnsi="Times New Roman" w:eastAsia="黑体"/>
          <w:b/>
          <w:sz w:val="28"/>
          <w:szCs w:val="28"/>
        </w:rPr>
        <w:t>4.1 合资与投资目的</w:t>
      </w:r>
      <w:bookmarkEnd w:id="20"/>
    </w:p>
    <w:p w14:paraId="5017D1D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AI咨询业务为合资和投资提供前置观察。通过服务客户，公司可以看到业务真实情况、老板执行力、团队配合度、数据质量和增长空间。合资模式可以在控制风险的同时绑定资源、团队和业务，适合从AI咨询客户中筛选出来的优质项目。合资和投资判断应放在服务之后。没有经过调研、试点和复盘的项目，不宜直接进入重投入。AI咨询提供的是一个低成本观察窗口。</w:t>
      </w:r>
    </w:p>
    <w:p w14:paraId="5832AA57">
      <w:pPr>
        <w:pStyle w:val="3"/>
        <w:spacing w:before="0" w:after="120" w:line="360" w:lineRule="auto"/>
      </w:pPr>
      <w:bookmarkStart w:id="21" w:name="_Toc9102"/>
      <w:r>
        <w:rPr>
          <w:rFonts w:ascii="Times New Roman" w:hAnsi="Times New Roman" w:eastAsia="黑体"/>
          <w:b/>
          <w:sz w:val="28"/>
          <w:szCs w:val="28"/>
        </w:rPr>
        <w:t>4.2 SABC项目分级</w:t>
      </w:r>
      <w:bookmarkEnd w:id="21"/>
    </w:p>
    <w:p w14:paraId="250FD459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S级：重点合资项目。业务真实、团队执行力强、AI改造空间明确，双方资源互补，具备设立合资公司的基础。</w:t>
      </w:r>
    </w:p>
    <w:p w14:paraId="121D7F49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A级：重点跟进项目。业务基础较好，AI咨询后效果可观察，有潜在合资价值，但仍需进一步验证数据、团队或合作意愿。</w:t>
      </w:r>
    </w:p>
    <w:p w14:paraId="61E9700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B级：长期服务项目。适合持续提供AI咨询和平台服务，短期不进入合资，但可贡献服务收入和案例。</w:t>
      </w:r>
    </w:p>
    <w:p w14:paraId="6996A307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C级：单次服务项目。客户有具体需求，但业务规模、配合度或长期价值有限，交付完成后低频维护。</w:t>
      </w:r>
    </w:p>
    <w:p w14:paraId="1659B0D4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分级应由项目研究员牵头，AI产品经理和AI交付负责人参与，最终由合伙人确认。分级不是一次性判断，客户在服务过程中可以升级或降级。</w:t>
      </w:r>
    </w:p>
    <w:p w14:paraId="3E25835F">
      <w:pPr>
        <w:pStyle w:val="3"/>
        <w:spacing w:before="0" w:after="120" w:line="360" w:lineRule="auto"/>
      </w:pPr>
      <w:bookmarkStart w:id="22" w:name="_Toc27017"/>
      <w:r>
        <w:rPr>
          <w:rFonts w:ascii="Times New Roman" w:hAnsi="Times New Roman" w:eastAsia="黑体"/>
          <w:b/>
          <w:sz w:val="28"/>
          <w:szCs w:val="28"/>
        </w:rPr>
        <w:t>4.3 可选合作模型</w:t>
      </w:r>
      <w:bookmarkEnd w:id="22"/>
    </w:p>
    <w:p w14:paraId="2A4E7434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服务换股权：适合现金预算有限但业务有潜力的客户。</w:t>
      </w:r>
    </w:p>
    <w:p w14:paraId="6D0FD246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合资公司：适合业务基础较好、双方资源互补、可长期合作的项目。</w:t>
      </w:r>
    </w:p>
    <w:p w14:paraId="25D4EDE7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收入分成：适合效果可量化、客户暂不接受股权合作的项目。</w:t>
      </w:r>
    </w:p>
    <w:p w14:paraId="7A11892C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小额试投：适合需要资金验证下一阶段增长的项目。</w:t>
      </w:r>
    </w:p>
    <w:p w14:paraId="1B0FFAD8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5. 后续基金化投资：适合标杆案例成熟后形成批量项目池。</w:t>
      </w:r>
    </w:p>
    <w:p w14:paraId="59C45203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合作模型不宜过早确定。先通过AI咨询确认客户质量，再根据客户现金流、合作意愿、业务规模和风险情况选择合作方式。</w:t>
      </w:r>
    </w:p>
    <w:p w14:paraId="51B71301">
      <w:pPr>
        <w:pStyle w:val="3"/>
        <w:spacing w:before="0" w:after="120" w:line="360" w:lineRule="auto"/>
      </w:pPr>
      <w:bookmarkStart w:id="23" w:name="_Toc13639"/>
      <w:r>
        <w:rPr>
          <w:rFonts w:ascii="Times New Roman" w:hAnsi="Times New Roman" w:eastAsia="黑体"/>
          <w:b/>
          <w:sz w:val="28"/>
          <w:szCs w:val="28"/>
        </w:rPr>
        <w:t>4.4 进入合资或投资的要求</w:t>
      </w:r>
      <w:bookmarkEnd w:id="23"/>
    </w:p>
    <w:p w14:paraId="57E6A33F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项目进入合资或投资观察前，应满足六项要求。</w:t>
      </w:r>
    </w:p>
    <w:p w14:paraId="3E53C589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有真实业务和现金流。</w:t>
      </w:r>
    </w:p>
    <w:p w14:paraId="0517A48E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有明确AI改造场景。</w:t>
      </w:r>
    </w:p>
    <w:p w14:paraId="428ADAD0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改造效果可以观察或量化。</w:t>
      </w:r>
    </w:p>
    <w:p w14:paraId="1FD66F30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老板愿意配合。</w:t>
      </w:r>
    </w:p>
    <w:p w14:paraId="2331596D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5. 关键数据可以适度开放。</w:t>
      </w:r>
    </w:p>
    <w:p w14:paraId="786D5C06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6. 合规风险可控。</w:t>
      </w:r>
    </w:p>
    <w:p w14:paraId="4865FDE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其中，老板配合度和数据开放意愿尤其重要。AI咨询落地需要进入业务流程，如果客户只愿意停留在表面沟通，后续合资风险较高。</w:t>
      </w:r>
    </w:p>
    <w:p w14:paraId="3D782EC0">
      <w:pPr>
        <w:pStyle w:val="2"/>
        <w:spacing w:before="0" w:after="120" w:line="360" w:lineRule="auto"/>
      </w:pPr>
      <w:bookmarkStart w:id="24" w:name="_Toc25965"/>
      <w:r>
        <w:rPr>
          <w:rFonts w:ascii="Times New Roman" w:hAnsi="Times New Roman" w:eastAsia="黑体"/>
          <w:b/>
          <w:sz w:val="36"/>
          <w:szCs w:val="36"/>
        </w:rPr>
        <w:t>五、业务承接体系</w:t>
      </w:r>
      <w:bookmarkEnd w:id="24"/>
    </w:p>
    <w:p w14:paraId="1CC7F74C">
      <w:pPr>
        <w:pStyle w:val="3"/>
        <w:spacing w:before="0" w:after="120" w:line="360" w:lineRule="auto"/>
      </w:pPr>
      <w:bookmarkStart w:id="25" w:name="_Toc5518"/>
      <w:r>
        <w:rPr>
          <w:rFonts w:ascii="Times New Roman" w:hAnsi="Times New Roman" w:eastAsia="黑体"/>
          <w:b/>
          <w:sz w:val="28"/>
          <w:szCs w:val="28"/>
        </w:rPr>
        <w:t>5.1 总体架构</w:t>
      </w:r>
      <w:bookmarkEnd w:id="25"/>
    </w:p>
    <w:p w14:paraId="09520FC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业务承接体系由三个主体构成：母公司、城市合伙人（外部公司）和推荐人。三者通过同一条业务链路衔接，但承担不同角色。</w:t>
      </w:r>
    </w:p>
    <w:p w14:paraId="03170B43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从架构层面看，母公司提供方法、技术、Token平台、合资判断标准和品牌信用；城市合伙人在所在城市作为外部公司的股东级角色，全面负责本地AI咨询业务的获客、交付、团队管理和项目筛选；推荐人作为外部线索来源，只对推荐线索质量负责，不参与交付。</w:t>
      </w:r>
    </w:p>
    <w:p w14:paraId="5BD1AEF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从业务链路看，三者的接入点不同。合伙人通过在城市层面组织化获客接入主链路；推荐人通过单条线索接入主链路。两者最终都进入同一套调研、方案、落地、分级、合资观察的标准流程。</w:t>
      </w:r>
    </w:p>
    <w:p w14:paraId="4C5D5BAF">
      <w:pPr>
        <w:pStyle w:val="3"/>
        <w:spacing w:before="0" w:after="120" w:line="360" w:lineRule="auto"/>
      </w:pPr>
      <w:bookmarkStart w:id="26" w:name="_Toc4962"/>
      <w:r>
        <w:rPr>
          <w:rFonts w:ascii="Times New Roman" w:hAnsi="Times New Roman" w:eastAsia="黑体"/>
          <w:b/>
          <w:sz w:val="28"/>
          <w:szCs w:val="28"/>
        </w:rPr>
        <w:t>5.2 母公司的角色</w:t>
      </w:r>
      <w:bookmarkEnd w:id="26"/>
    </w:p>
    <w:p w14:paraId="3F908347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母公司在业务承接体系中承担五项职责。</w:t>
      </w:r>
    </w:p>
    <w:p w14:paraId="6173CC6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方法供给。提供调研模板、方案模板、SABC分级标准和合资判断框架。</w:t>
      </w:r>
    </w:p>
    <w:p w14:paraId="2F0DF731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技术支持。提供AI技术能力、工具、流程模板和Token平台。</w:t>
      </w:r>
    </w:p>
    <w:p w14:paraId="65C8BBCB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合规与重大判断。把控合规边界、重大项目判断和合资决策。</w:t>
      </w:r>
    </w:p>
    <w:p w14:paraId="647D8953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中台与资金。提供财务、法务、人力、行政等共享能力，必要时提供启动资金。</w:t>
      </w:r>
    </w:p>
    <w:p w14:paraId="7919A007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5. 品牌与背书。母公司品牌、案例库、对外合作资源为外部公司提供信用支持。</w:t>
      </w:r>
    </w:p>
    <w:p w14:paraId="34EBF856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母公司不介入日常执行。日常获客、客户沟通、方案出具、技术落地和团队管理由外部公司承担。这种分工的前提，是外部公司有一位经营合伙人能独立承担前线工作。</w:t>
      </w:r>
    </w:p>
    <w:p w14:paraId="15EE3A37">
      <w:pPr>
        <w:pStyle w:val="3"/>
        <w:spacing w:before="0" w:after="120" w:line="360" w:lineRule="auto"/>
      </w:pPr>
      <w:bookmarkStart w:id="27" w:name="_Toc16242"/>
      <w:r>
        <w:rPr>
          <w:rFonts w:ascii="Times New Roman" w:hAnsi="Times New Roman" w:eastAsia="黑体"/>
          <w:b/>
          <w:sz w:val="28"/>
          <w:szCs w:val="28"/>
        </w:rPr>
        <w:t>5.3 城市合伙人（经营合伙人）</w:t>
      </w:r>
      <w:bookmarkEnd w:id="27"/>
    </w:p>
    <w:p w14:paraId="6ADD2D76">
      <w:pPr>
        <w:spacing w:before="0" w:after="120" w:line="360" w:lineRule="auto"/>
        <w:ind w:firstLineChars="200"/>
        <w:jc w:val="both"/>
        <w:rPr>
          <w:rFonts w:hint="eastAsia" w:ascii="Times New Roman" w:hAnsi="Times New Roman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城市合伙人机制可作为中长期战略模式，短期不作为AI咨询业务启动的前置条件。当前阶段，公司应以总部集中承接、推荐人项目制和MVP案例验证为主，先跑通项目筛选、方案形成、AI改造交付和复盘机制。</w:t>
      </w:r>
    </w:p>
    <w:p w14:paraId="6AA8D8B4">
      <w:pPr>
        <w:spacing w:before="0" w:after="120" w:line="360" w:lineRule="auto"/>
        <w:ind w:firstLineChars="200"/>
        <w:jc w:val="both"/>
        <w:rPr>
          <w:rFonts w:hint="eastAsia" w:ascii="Times New Roman" w:hAnsi="Times New Roman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在此基础上，可以考虑将成都作为城市合伙人机制的优先试点城市。成都已有一定资源对接基础，适合用项目合作或试运营方式验证本地合伙人机制。若成都合作方能够承担本地项目获取、AI咨询交付、客户维护和团队组织，再进一步讨论股权绑定和长期合作结构。</w:t>
      </w:r>
    </w:p>
    <w:p w14:paraId="5772B8B4">
      <w:pPr>
        <w:spacing w:before="0" w:after="120" w:line="360" w:lineRule="auto"/>
        <w:ind w:firstLineChars="200"/>
        <w:jc w:val="both"/>
        <w:rPr>
          <w:rFonts w:hint="eastAsia" w:ascii="Times New Roman" w:hAnsi="Times New Roman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设置城市合伙人的目的有四项。</w:t>
      </w:r>
    </w:p>
    <w:p w14:paraId="41A49FCB">
      <w:pPr>
        <w:spacing w:before="0" w:after="120" w:line="360" w:lineRule="auto"/>
        <w:ind w:firstLineChars="200"/>
        <w:jc w:val="both"/>
        <w:rPr>
          <w:rFonts w:hint="eastAsia" w:ascii="Times New Roman" w:hAnsi="Times New Roman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宋体"/>
          <w:b/>
          <w:bCs/>
          <w:sz w:val="24"/>
          <w:szCs w:val="24"/>
          <w:lang w:val="en-US" w:eastAsia="zh-CN"/>
        </w:rPr>
        <w:t>第一，形成结构化、持续性的本地项目获取能力。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推荐人解决的是单个项目或单条线索来源，城市合伙人解决的是一个地区内的持续获客、客户维护和本地资源组织。两者性质不同。推荐人按项目贡献获得奖励，城市合伙人承担本地业务经营结果。</w:t>
      </w:r>
    </w:p>
    <w:p w14:paraId="574EEC5F">
      <w:pPr>
        <w:spacing w:before="0" w:after="120" w:line="360" w:lineRule="auto"/>
        <w:ind w:firstLineChars="200"/>
        <w:jc w:val="both"/>
        <w:rPr>
          <w:rFonts w:hint="eastAsia" w:ascii="Times New Roman" w:hAnsi="Times New Roman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宋体"/>
          <w:b/>
          <w:bCs/>
          <w:sz w:val="24"/>
          <w:szCs w:val="24"/>
          <w:lang w:val="en-US" w:eastAsia="zh-CN"/>
        </w:rPr>
        <w:t>第二，承接基础AI咨询项目和本地交付。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总部不宜长期承接所有基础咨询项目，否则会被大量小单、重复沟通和基础交付占用。成熟城市可以由城市合伙人承接本地基础AI咨询、客户沟通、轻量交付和持续服务，总部保留方法、技术、平台、合规和重大项目判断。</w:t>
      </w:r>
    </w:p>
    <w:p w14:paraId="52D3451B">
      <w:pPr>
        <w:spacing w:before="0" w:after="120" w:line="360" w:lineRule="auto"/>
        <w:ind w:firstLineChars="200"/>
        <w:jc w:val="both"/>
        <w:rPr>
          <w:rFonts w:hint="eastAsia" w:ascii="Times New Roman" w:hAnsi="Times New Roman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宋体"/>
          <w:b/>
          <w:bCs/>
          <w:sz w:val="24"/>
          <w:szCs w:val="24"/>
          <w:lang w:val="en-US" w:eastAsia="zh-CN"/>
        </w:rPr>
        <w:t>第三，筛选合资和投资项目。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城市合伙人在本地持续接触客户，更容易观察老板执行力、团队配合度、业务真实性和AI改造空间。基础咨询项目可由本地闭环处理，达到S级或A级的项目再进入总部合资或投资观察。</w:t>
      </w:r>
    </w:p>
    <w:p w14:paraId="0AE74F94">
      <w:pPr>
        <w:spacing w:before="0" w:after="120" w:line="360" w:lineRule="auto"/>
        <w:ind w:firstLineChars="200"/>
        <w:jc w:val="both"/>
        <w:rPr>
          <w:rFonts w:hint="default"/>
          <w:lang w:val="en-US"/>
        </w:rPr>
      </w:pPr>
      <w:r>
        <w:rPr>
          <w:rFonts w:hint="eastAsia" w:ascii="Times New Roman" w:hAnsi="Times New Roman" w:cs="宋体"/>
          <w:b/>
          <w:bCs/>
          <w:sz w:val="24"/>
          <w:szCs w:val="24"/>
          <w:lang w:val="en-US" w:eastAsia="zh-CN"/>
        </w:rPr>
        <w:t>第四，形成风险共担和长期绑定。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城市合伙人通过股权或结果分成参与长期收益，同时承担客户交付、团队管理、合规执行和阶段目标责任。</w:t>
      </w:r>
    </w:p>
    <w:p w14:paraId="1BC159E3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.3.1 三项能力硬标准</w:t>
      </w:r>
    </w:p>
    <w:p w14:paraId="33247BE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合伙人须同时具备以下三项能力。</w:t>
      </w:r>
    </w:p>
    <w:p w14:paraId="20FDEC56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行业资源。能接触真实客户和项目，体制内外资源均可，能为业务带来稳定的客户和项目对接渠道。</w:t>
      </w:r>
    </w:p>
    <w:p w14:paraId="47657E09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AI改造实操能力。能自己上手搭建AI工作流、改造业务流程，过往有可验证的落地案例，不限行业和赛道。</w:t>
      </w:r>
    </w:p>
    <w:p w14:paraId="0327A5B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成交与团队管理能力。能把咨询业务做成持续经营，包括客户成交、合同管理、团队组织和结果交付。</w:t>
      </w:r>
    </w:p>
    <w:p w14:paraId="798C164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三项能力缺一不可。只有资源没有AI实操，容易变成介绍人，业务做不深，合资判断也会失准；只有AI实操没有资源，客户进不来，业务起不来；只有资源和实操但缺乏成交管理，做不成持续经营。</w:t>
      </w:r>
    </w:p>
    <w:p w14:paraId="12A92B1C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.3.2 AI改造实操能力的具体衡量</w:t>
      </w:r>
    </w:p>
    <w:p w14:paraId="52E84E2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AI改造实操能力是合伙人筛选中最容易被忽略、也是最关键的标准。建议在筛选阶段设置实操考核环节。过往可验证的落地案例同样作为筛选依据。要求候选人提供过往亲手参与的AI改造案例，可由公司项目研究员或AI产品经理与候选人深入沟通，判断其参与深度。</w:t>
      </w:r>
    </w:p>
    <w:p w14:paraId="57AE78B0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.3.3 合伙人日常工作</w:t>
      </w:r>
    </w:p>
    <w:p w14:paraId="20F7EEF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合伙人在前期承担第一交付人的角色，亲自接客户、亲自做诊断、亲自参与方案、亲自参与首批落地。这一定位有三方面意义。</w:t>
      </w:r>
    </w:p>
    <w:p w14:paraId="31374844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第一，业务初期没有足够多的客户和案例支撑团队规模化交付，合伙人必须亲自下场，把首批客户跑通。第二，合伙人在前线接触客户，能更准确判断客户是否具备合资价值，避免合资判断脱离业务实际。第三，合伙人亲自参与交付，能形成本地团队的能力示范，带动项目研究员、AI产品经理和技术人员的实操水平。</w:t>
      </w:r>
    </w:p>
    <w:p w14:paraId="023D76B8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业务规模化之后，合伙人逐步将日常交付移交团队，重心转向客户开发、团队管理和项目分级判断。但合伙人不应彻底脱离一线，至少在重点客户和潜在合资项目上保持亲自参与。</w:t>
      </w:r>
    </w:p>
    <w:p w14:paraId="60F7516B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.3.</w:t>
      </w:r>
      <w:r>
        <w:rPr>
          <w:rFonts w:hint="eastAsia" w:ascii="Times New Roman" w:hAnsi="Times New Roman"/>
          <w:b/>
          <w:sz w:val="24"/>
          <w:szCs w:val="24"/>
          <w:lang w:val="en-US" w:eastAsia="zh-CN"/>
        </w:rPr>
        <w:t>4</w:t>
      </w:r>
      <w:r>
        <w:rPr>
          <w:rFonts w:ascii="Times New Roman" w:hAnsi="Times New Roman" w:eastAsia="宋体"/>
          <w:b/>
          <w:sz w:val="24"/>
          <w:szCs w:val="24"/>
        </w:rPr>
        <w:t xml:space="preserve"> 股权与绑定</w:t>
      </w:r>
    </w:p>
    <w:p w14:paraId="3B91D36B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外部合伙人通过股权深度绑定，具体比例结合新公司架构另行确定。本节确定绑定机制的方向。绑定机制应同时考虑激励和约束。</w:t>
      </w:r>
    </w:p>
    <w:p w14:paraId="225C624E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宋体"/>
          <w:bCs/>
          <w:sz w:val="24"/>
          <w:szCs w:val="24"/>
        </w:rPr>
        <w:t>激励方面，</w:t>
      </w:r>
      <w:r>
        <w:rPr>
          <w:rFonts w:ascii="Times New Roman" w:hAnsi="Times New Roman" w:eastAsia="宋体" w:cs="宋体"/>
          <w:sz w:val="24"/>
          <w:szCs w:val="24"/>
        </w:rPr>
        <w:t>合伙人通过股权分享业务长期价值，包括AI咨询业务利润、Token平台分成、合资项目转化收益。</w:t>
      </w:r>
    </w:p>
    <w:p w14:paraId="79A5B382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 w:cs="宋体"/>
          <w:bCs/>
          <w:sz w:val="24"/>
          <w:szCs w:val="24"/>
        </w:rPr>
        <w:t>约束方面，</w:t>
      </w:r>
      <w:r>
        <w:rPr>
          <w:rFonts w:ascii="Times New Roman" w:hAnsi="Times New Roman" w:eastAsia="宋体" w:cs="宋体"/>
          <w:sz w:val="24"/>
          <w:szCs w:val="24"/>
        </w:rPr>
        <w:t>合伙人须承担阶段目标、客户交付要求、合规责任和团队管理责任。具体目标在签约时一并约定。</w:t>
      </w:r>
    </w:p>
    <w:p w14:paraId="0644DC90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 w:cs="宋体"/>
          <w:bCs/>
          <w:sz w:val="24"/>
          <w:szCs w:val="24"/>
        </w:rPr>
        <w:t>退出条款方面，</w:t>
      </w:r>
      <w:r>
        <w:rPr>
          <w:rFonts w:ascii="Times New Roman" w:hAnsi="Times New Roman" w:eastAsia="宋体" w:cs="宋体"/>
          <w:sz w:val="24"/>
          <w:szCs w:val="24"/>
        </w:rPr>
        <w:t>需明确以下情形下的处理：连续多个考核周期未达成阶段目标，触发降级或重新评估；违反合规要求，触发立即退出；长期脱离一线交付（例如连续半年以上未亲自参与客户交付），触发角色重新评估。</w:t>
      </w:r>
    </w:p>
    <w:p w14:paraId="125F373C">
      <w:pPr>
        <w:pStyle w:val="4"/>
        <w:spacing w:before="0" w:after="120" w:line="360" w:lineRule="auto"/>
        <w:rPr>
          <w:rFonts w:hint="eastAsia" w:ascii="Times New Roman" w:hAnsi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/>
          <w:b/>
          <w:sz w:val="24"/>
          <w:szCs w:val="24"/>
          <w:lang w:eastAsia="zh-CN"/>
        </w:rPr>
        <w:t>5.3.5 总部与城市合伙人的权责边界</w:t>
      </w:r>
    </w:p>
    <w:p w14:paraId="2579BC21">
      <w:pPr>
        <w:spacing w:before="0" w:after="120" w:line="360" w:lineRule="auto"/>
        <w:ind w:firstLineChars="200"/>
        <w:jc w:val="both"/>
        <w:rPr>
          <w:rFonts w:hint="default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</w:rPr>
        <w:t>城市合伙人机制必须明确总部与本地的边界。</w:t>
      </w:r>
    </w:p>
    <w:p w14:paraId="4E691C1C">
      <w:pPr>
        <w:spacing w:before="0" w:after="120" w:line="360" w:lineRule="auto"/>
        <w:ind w:firstLineChars="200"/>
        <w:jc w:val="both"/>
        <w:rPr>
          <w:rFonts w:hint="default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</w:rPr>
        <w:t>总部负责：</w:t>
      </w:r>
    </w:p>
    <w:p w14:paraId="0E126911">
      <w:pPr>
        <w:numPr>
          <w:ilvl w:val="0"/>
          <w:numId w:val="0"/>
        </w:numPr>
        <w:spacing w:before="0" w:after="120" w:line="360" w:lineRule="auto"/>
        <w:ind w:firstLine="500" w:firstLineChars="0"/>
        <w:jc w:val="both"/>
        <w:rPr>
          <w:rFonts w:hint="default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宋体"/>
          <w:sz w:val="24"/>
          <w:szCs w:val="24"/>
        </w:rPr>
        <w:t>咨询方法论、调研模板、方案模板和交付标准。</w:t>
      </w:r>
    </w:p>
    <w:p w14:paraId="5457A608">
      <w:pPr>
        <w:numPr>
          <w:ilvl w:val="0"/>
          <w:numId w:val="0"/>
        </w:numPr>
        <w:spacing w:before="0" w:after="120" w:line="360" w:lineRule="auto"/>
        <w:ind w:firstLine="500" w:firstLineChars="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宋体"/>
          <w:sz w:val="24"/>
          <w:szCs w:val="24"/>
        </w:rPr>
        <w:t>技术中台、Token平台、开源组件选型和复杂技术支持。</w:t>
      </w:r>
    </w:p>
    <w:p w14:paraId="23981CC2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宋体"/>
          <w:sz w:val="24"/>
          <w:szCs w:val="24"/>
        </w:rPr>
        <w:t>项目分级、合资判断、投资决策和重大合同审核。</w:t>
      </w:r>
    </w:p>
    <w:p w14:paraId="4D77CCA4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宋体"/>
          <w:sz w:val="24"/>
          <w:szCs w:val="24"/>
        </w:rPr>
        <w:t>推荐人台账、项目归属规则和收益分配规则。</w:t>
      </w:r>
    </w:p>
    <w:p w14:paraId="2C3B918A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宋体"/>
          <w:sz w:val="24"/>
          <w:szCs w:val="24"/>
        </w:rPr>
        <w:t>法务、财务、人力、品牌和合规支持。</w:t>
      </w:r>
    </w:p>
    <w:p w14:paraId="63C3D790">
      <w:pPr>
        <w:spacing w:before="0" w:after="120" w:line="360" w:lineRule="auto"/>
        <w:ind w:firstLineChars="200"/>
        <w:jc w:val="both"/>
        <w:rPr>
          <w:rFonts w:hint="default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</w:rPr>
        <w:t>城市合伙人负责：</w:t>
      </w:r>
    </w:p>
    <w:p w14:paraId="724025CE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宋体"/>
          <w:sz w:val="24"/>
          <w:szCs w:val="24"/>
        </w:rPr>
        <w:t>本地客户获取和客户关系维护。</w:t>
      </w:r>
    </w:p>
    <w:p w14:paraId="0EB9E8B1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宋体"/>
          <w:sz w:val="24"/>
          <w:szCs w:val="24"/>
        </w:rPr>
        <w:t>本地基础AI咨询项目交付。</w:t>
      </w:r>
    </w:p>
    <w:p w14:paraId="3605A17A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宋体"/>
          <w:sz w:val="24"/>
          <w:szCs w:val="24"/>
        </w:rPr>
        <w:t>本地团队组织和日常管理。</w:t>
      </w:r>
    </w:p>
    <w:p w14:paraId="1841B337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宋体"/>
          <w:sz w:val="24"/>
          <w:szCs w:val="24"/>
        </w:rPr>
        <w:t>推荐人和渠道关系维护。</w:t>
      </w:r>
    </w:p>
    <w:p w14:paraId="5C498C56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宋体"/>
          <w:sz w:val="24"/>
          <w:szCs w:val="24"/>
        </w:rPr>
        <w:t>本地项目初筛、客户资料收集和SABC初步评级。</w:t>
      </w:r>
    </w:p>
    <w:p w14:paraId="5856D29A">
      <w:pPr>
        <w:spacing w:before="0" w:after="120" w:line="360" w:lineRule="auto"/>
        <w:ind w:firstLineChars="200"/>
        <w:jc w:val="both"/>
        <w:rPr>
          <w:rFonts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</w:rPr>
        <w:t>基础AI咨询项目可以由城市合伙人本地闭环。涉及合资、投资、重大客户、跨区域资源、平台深度接入或较高合规风险的项目，必须进入总部复核。总部保留最终判断权。</w:t>
      </w:r>
    </w:p>
    <w:p w14:paraId="5EDFDA78">
      <w:pPr>
        <w:pStyle w:val="3"/>
        <w:spacing w:before="0" w:after="120" w:line="360" w:lineRule="auto"/>
      </w:pPr>
      <w:bookmarkStart w:id="28" w:name="_Toc6667"/>
      <w:r>
        <w:rPr>
          <w:rFonts w:ascii="Times New Roman" w:hAnsi="Times New Roman" w:eastAsia="黑体"/>
          <w:b/>
          <w:sz w:val="28"/>
          <w:szCs w:val="28"/>
        </w:rPr>
        <w:t>5.4 推荐人体系</w:t>
      </w:r>
      <w:bookmarkEnd w:id="28"/>
    </w:p>
    <w:p w14:paraId="6FB6C3FF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推荐人是业务承接体系的另一条外部接入通道。定位为外部线索来源，不参与交付，只对推荐线索质量负责。</w:t>
      </w:r>
    </w:p>
    <w:p w14:paraId="1FF8DE77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.4.1 推荐对象</w:t>
      </w:r>
    </w:p>
    <w:p w14:paraId="66D58CE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推荐对象包括两类。</w:t>
      </w:r>
    </w:p>
    <w:p w14:paraId="402CB33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适合AI咨询的客户。</w:t>
      </w:r>
    </w:p>
    <w:p w14:paraId="453C79A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适合通过AI咨询观察并进入合资路径的项目。</w:t>
      </w:r>
    </w:p>
    <w:p w14:paraId="0BEEBE54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适合推荐的客户通常具备三个特征：有真实业务、有具体问题、老板愿意尝试改造。需求过于模糊、只想免费咨询、无法提供基本业务信息的客户，暂不作为重点推荐对象。</w:t>
      </w:r>
    </w:p>
    <w:p w14:paraId="1242BB77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.4.2 推荐人分层管理</w:t>
      </w:r>
    </w:p>
    <w:p w14:paraId="58FF08E8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推荐人按推荐频次和质量分两层管理。</w:t>
      </w:r>
    </w:p>
    <w:p w14:paraId="4C2F003C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普通推荐人。</w:t>
      </w:r>
      <w:r>
        <w:rPr>
          <w:rFonts w:ascii="Times New Roman" w:hAnsi="Times New Roman" w:eastAsia="宋体" w:cs="宋体"/>
          <w:sz w:val="24"/>
          <w:szCs w:val="24"/>
        </w:rPr>
        <w:t>提供零散线索，按规则获得相应激励，公司提供基础推荐材料和反馈机制。</w:t>
      </w:r>
    </w:p>
    <w:p w14:paraId="74462791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核心推荐人。</w:t>
      </w:r>
      <w:r>
        <w:rPr>
          <w:rFonts w:ascii="Times New Roman" w:hAnsi="Times New Roman" w:eastAsia="宋体" w:cs="宋体"/>
          <w:sz w:val="24"/>
          <w:szCs w:val="24"/>
        </w:rPr>
        <w:t>能持续带来高质量客户线索，公司提供更深入的支持，包括定期沟通、专属客户画像分析、典型案例同步等。</w:t>
      </w:r>
    </w:p>
    <w:p w14:paraId="0EA1354F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.4.3 推荐流程与台账</w:t>
      </w:r>
    </w:p>
    <w:p w14:paraId="2855F084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推荐流程为：推荐人提供线索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→</w:t>
      </w:r>
      <w:r>
        <w:rPr>
          <w:rFonts w:ascii="Times New Roman" w:hAnsi="Times New Roman" w:eastAsia="宋体" w:cs="宋体"/>
          <w:sz w:val="24"/>
          <w:szCs w:val="24"/>
        </w:rPr>
        <w:t>公司初筛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→</w:t>
      </w:r>
      <w:r>
        <w:rPr>
          <w:rFonts w:ascii="Times New Roman" w:hAnsi="Times New Roman" w:eastAsia="宋体" w:cs="宋体"/>
          <w:sz w:val="24"/>
          <w:szCs w:val="24"/>
        </w:rPr>
        <w:t>项目研究员和AI产品经理调研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→</w:t>
      </w:r>
      <w:r>
        <w:rPr>
          <w:rFonts w:ascii="Times New Roman" w:hAnsi="Times New Roman" w:eastAsia="宋体" w:cs="宋体"/>
          <w:sz w:val="24"/>
          <w:szCs w:val="24"/>
        </w:rPr>
        <w:t>形成方案，技术人员判断落地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→</w:t>
      </w:r>
      <w:r>
        <w:rPr>
          <w:rFonts w:ascii="Times New Roman" w:hAnsi="Times New Roman" w:eastAsia="宋体" w:cs="宋体"/>
          <w:sz w:val="24"/>
          <w:szCs w:val="24"/>
        </w:rPr>
        <w:t>客户进入AI咨询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→</w:t>
      </w:r>
      <w:r>
        <w:rPr>
          <w:rFonts w:ascii="Times New Roman" w:hAnsi="Times New Roman" w:eastAsia="宋体" w:cs="宋体"/>
          <w:sz w:val="24"/>
          <w:szCs w:val="24"/>
        </w:rPr>
        <w:t>项目复盘评级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→</w:t>
      </w:r>
      <w:r>
        <w:rPr>
          <w:rFonts w:ascii="Times New Roman" w:hAnsi="Times New Roman" w:eastAsia="宋体" w:cs="宋体"/>
          <w:sz w:val="24"/>
          <w:szCs w:val="24"/>
        </w:rPr>
        <w:t>S级或A级项目进入合资观察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→</w:t>
      </w:r>
      <w:r>
        <w:rPr>
          <w:rFonts w:ascii="Times New Roman" w:hAnsi="Times New Roman" w:eastAsia="宋体" w:cs="宋体"/>
          <w:sz w:val="24"/>
          <w:szCs w:val="24"/>
        </w:rPr>
        <w:t>按规则确认推荐激励。</w:t>
      </w:r>
    </w:p>
    <w:p w14:paraId="1FA0955B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该流程需要通过台账管理。每个推荐线索应记录推荐人、客户名称、客户类型、需求描述、跟进状态、成交情况、是否进入合资观察、是否触发激励。</w:t>
      </w:r>
    </w:p>
    <w:p w14:paraId="214EAF4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台账管理要解决两件事。第一，避免后续收益分配争议。第二，沉淀推荐渠道质量，判断哪些推荐人带来的线索更有效。</w:t>
      </w:r>
    </w:p>
    <w:p w14:paraId="541A8EBF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.4.4 AI咨询推荐激励</w:t>
      </w:r>
    </w:p>
    <w:p w14:paraId="6AAB5E0D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客户通过推荐进入AI咨询并成交后，推荐人按首单实收咨询服务费的10%获得一次性奖励。后续续费不重复计提。若该客户后续进入合资路径，另按合资项目激励计算。</w:t>
      </w:r>
    </w:p>
    <w:p w14:paraId="426A3DFD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.4.5 合资路径推荐激励</w:t>
      </w:r>
    </w:p>
    <w:p w14:paraId="5A3D15F3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客户通过AI咨询验证后进入合资路径，推荐人可获得公司所取得收益的10%。单项目封顶按项目落地后24个月内净利润确定。</w:t>
      </w:r>
    </w:p>
    <w:p w14:paraId="07455CD0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净利润低于1000万，封顶100万。净利润1000万至2000万，封顶200万。净利润超过2000万，封顶300万。分成周期按季度执行。</w:t>
      </w:r>
    </w:p>
    <w:p w14:paraId="4885954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合资路径奖励金额较高，应以合同、台账、收益确认和合规审查为前提。规则可以调整，但已经确认的项目应按原规则执行，避免破坏推荐人信任。</w:t>
      </w:r>
    </w:p>
    <w:p w14:paraId="20AC44ED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.4.6 二级推荐</w:t>
      </w:r>
    </w:p>
    <w:p w14:paraId="7F0B667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A推荐B，B推荐客户或项目进入AI咨询并最终形成合资项目后，B获得对应奖励，A获得额外3%激励。A只享受一级延伸激励。该规则用于鼓励推荐人介绍优质推荐人，也能避免多层分销结构带来的合规和管理风险。</w:t>
      </w:r>
    </w:p>
    <w:p w14:paraId="1E9C7759">
      <w:pPr>
        <w:pStyle w:val="4"/>
        <w:spacing w:before="0" w:after="120" w:line="360" w:lineRule="auto"/>
      </w:pPr>
      <w:r>
        <w:rPr>
          <w:rFonts w:hint="eastAsia" w:ascii="Times New Roman" w:hAnsi="Times New Roman"/>
          <w:b/>
          <w:sz w:val="24"/>
          <w:szCs w:val="24"/>
          <w:lang w:eastAsia="zh-CN"/>
        </w:rPr>
        <w:t>5</w:t>
      </w:r>
      <w:r>
        <w:rPr>
          <w:rFonts w:ascii="Times New Roman" w:hAnsi="Times New Roman" w:eastAsia="宋体"/>
          <w:b/>
          <w:sz w:val="24"/>
          <w:szCs w:val="24"/>
        </w:rPr>
        <w:t>.4.7 推荐人支持</w:t>
      </w:r>
    </w:p>
    <w:p w14:paraId="2A7432D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公司应向推荐人提供一页式AI咨询介绍、典型案例说明、适合推荐的客户画像、不适合推荐的客户类型、推荐线索登记表和项目进展反馈机制。推荐人不应只拿到奖励规则，还要拿到能帮他开口介绍的材料。介绍材料要短，重点讲客户能得到什么、公司怎么跟进、推荐人什么时候能知道进展。</w:t>
      </w:r>
    </w:p>
    <w:p w14:paraId="68125759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推荐人支持可以由商务运营/BD牵头，项目研究员和内容策划配合。商务运营/BD负责关系维护，内容策划负责材料，项目研究员负责判断线索质量。</w:t>
      </w:r>
    </w:p>
    <w:p w14:paraId="0A491178">
      <w:pPr>
        <w:pStyle w:val="3"/>
        <w:spacing w:before="0" w:after="120" w:line="360" w:lineRule="auto"/>
      </w:pPr>
      <w:bookmarkStart w:id="29" w:name="_Toc16278"/>
      <w:r>
        <w:rPr>
          <w:rFonts w:ascii="Times New Roman" w:hAnsi="Times New Roman" w:eastAsia="黑体"/>
          <w:b/>
          <w:sz w:val="28"/>
          <w:szCs w:val="28"/>
        </w:rPr>
        <w:t>5.5 合伙人与推荐人的关系</w:t>
      </w:r>
      <w:bookmarkEnd w:id="29"/>
    </w:p>
    <w:p w14:paraId="0092342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合伙人和推荐人是两套独立机制，性质不同，但都接到同一条业务链路上。两者关系如下。</w:t>
      </w:r>
    </w:p>
    <w:p w14:paraId="42C30A35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入口不同。</w:t>
      </w:r>
      <w:r>
        <w:rPr>
          <w:rFonts w:ascii="Times New Roman" w:hAnsi="Times New Roman" w:eastAsia="宋体" w:cs="宋体"/>
          <w:sz w:val="24"/>
          <w:szCs w:val="24"/>
        </w:rPr>
        <w:t>合伙人在城市层面组织化获客，通过商会、产业园、陌拜、本地活动等方式发掘客户；推荐人在个体层面提供具体线索。</w:t>
      </w:r>
    </w:p>
    <w:p w14:paraId="04F0B3B1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激励不同。</w:t>
      </w:r>
      <w:r>
        <w:rPr>
          <w:rFonts w:ascii="Times New Roman" w:hAnsi="Times New Roman" w:eastAsia="宋体" w:cs="宋体"/>
          <w:sz w:val="24"/>
          <w:szCs w:val="24"/>
        </w:rPr>
        <w:t>合伙人通过股权和经营分红参与业务长期价值；推荐人按单笔激励计算，与具体线索挂钩。</w:t>
      </w:r>
    </w:p>
    <w:p w14:paraId="25E3D599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不冲突的边界。</w:t>
      </w:r>
      <w:r>
        <w:rPr>
          <w:rFonts w:ascii="Times New Roman" w:hAnsi="Times New Roman" w:eastAsia="宋体" w:cs="宋体"/>
          <w:sz w:val="24"/>
          <w:szCs w:val="24"/>
        </w:rPr>
        <w:t>推荐人推荐的客户落地在某城市时，该城市合伙人参与交付，但推荐人激励照常按规则计提，不被合伙人侵占。此条须写入合伙人合同与推荐人规则，避免争利。</w:t>
      </w:r>
    </w:p>
    <w:p w14:paraId="072BD8FF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可能的通道。</w:t>
      </w:r>
      <w:r>
        <w:rPr>
          <w:rFonts w:ascii="Times New Roman" w:hAnsi="Times New Roman" w:eastAsia="宋体" w:cs="宋体"/>
          <w:sz w:val="24"/>
          <w:szCs w:val="24"/>
        </w:rPr>
        <w:t>核心推荐人如果具备行业资源、AI改造实操能力和经营意愿，可作为合伙人候选评估。但这不是自动晋升，合伙人是定向招募的角色，须按合伙人筛选标准重新评估，特别是AI改造实操考核环节。</w:t>
      </w:r>
    </w:p>
    <w:p w14:paraId="21AC27B1">
      <w:pPr>
        <w:pStyle w:val="3"/>
        <w:spacing w:before="0" w:after="120" w:line="360" w:lineRule="auto"/>
      </w:pPr>
      <w:bookmarkStart w:id="30" w:name="_Toc31203"/>
      <w:r>
        <w:rPr>
          <w:rFonts w:ascii="Times New Roman" w:hAnsi="Times New Roman" w:eastAsia="黑体"/>
          <w:b/>
          <w:sz w:val="28"/>
          <w:szCs w:val="28"/>
        </w:rPr>
        <w:t>5.6 全国招商：城市合伙人体系的延伸</w:t>
      </w:r>
      <w:bookmarkEnd w:id="30"/>
    </w:p>
    <w:p w14:paraId="04F005F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全国招商不是另一套独立机制，而是城市合伙人体系在跑通成都、厦门之后的延伸。基本思路是逐步在重点省份和城市发展合伙人，形成总部能力加合伙人体系的全国网络。</w:t>
      </w:r>
    </w:p>
    <w:p w14:paraId="74C9405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全国招商机制的目标有三层。</w:t>
      </w:r>
    </w:p>
    <w:p w14:paraId="0CD83D10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扩大AI咨询客户来源。</w:t>
      </w:r>
    </w:p>
    <w:p w14:paraId="62749D85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建立省级或城市级项目发现网络。</w:t>
      </w:r>
    </w:p>
    <w:p w14:paraId="1C420F91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为后续合资公司和基金化投资储备项目。</w:t>
      </w:r>
    </w:p>
    <w:p w14:paraId="26148917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各地合伙人的职责与成都、厦门合伙人一致，包括组织本地客户资源，对接商会、产业园、高校和企业服务机构，承担本地AI咨询交付，筛选具备合资可能的本地项目，配合总部完成调研、方案和交付。</w:t>
      </w:r>
    </w:p>
    <w:p w14:paraId="51927D3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总部保留三项核心能力：AI咨询方法和案例模板，技术交付和Token平台能力，项目分级、合资判断和投资决策标准。</w:t>
      </w:r>
    </w:p>
    <w:p w14:paraId="5120B0BD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全国招商应在具备样板后启动。没有标杆案例、合伙人筛选标准和推荐人材料时，不宜大规模招商，否则容易形成空泛承诺，后续管理成本会很高。</w:t>
      </w:r>
    </w:p>
    <w:p w14:paraId="05C789C5">
      <w:pPr>
        <w:pStyle w:val="2"/>
        <w:spacing w:before="0" w:after="120" w:line="360" w:lineRule="auto"/>
      </w:pPr>
      <w:bookmarkStart w:id="31" w:name="_Toc10593"/>
      <w:r>
        <w:rPr>
          <w:rFonts w:ascii="Times New Roman" w:hAnsi="Times New Roman" w:eastAsia="黑体"/>
          <w:b/>
          <w:sz w:val="36"/>
          <w:szCs w:val="36"/>
        </w:rPr>
        <w:t>六、首发方案：成都与厦门</w:t>
      </w:r>
      <w:bookmarkEnd w:id="31"/>
    </w:p>
    <w:p w14:paraId="73A6F4F0">
      <w:pPr>
        <w:pStyle w:val="3"/>
        <w:spacing w:before="0" w:after="120" w:line="360" w:lineRule="auto"/>
      </w:pPr>
      <w:bookmarkStart w:id="32" w:name="_Toc8741"/>
      <w:r>
        <w:rPr>
          <w:rFonts w:ascii="Times New Roman" w:hAnsi="Times New Roman" w:eastAsia="黑体"/>
          <w:b/>
          <w:sz w:val="28"/>
          <w:szCs w:val="28"/>
        </w:rPr>
        <w:t>6.1 成都首发</w:t>
      </w:r>
      <w:bookmarkEnd w:id="32"/>
    </w:p>
    <w:p w14:paraId="5BF651EB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成都作为首发城市，重点验证合伙人、推荐机制、线下渠道和首批案例。</w:t>
      </w:r>
    </w:p>
    <w:p w14:paraId="73A2792D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成都具备高校、商会、熟人网络和本地产业资源，适合作为首个样板城市。首发阶段重点不是铺规模，而是形成可展示案例、稳定交付方式和推荐人运行机制。</w:t>
      </w:r>
    </w:p>
    <w:p w14:paraId="3BAD97F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成都阶段应优先完成三件事。第一，确定首发赛道和合伙人。合伙人筛选必须通过AI改造实操考核，质量优于速度。第二，完成首批咨询客户和付费交付，合伙人作为第一交付人亲自参与。第三，筛选出至少一批S级或A级观察项目。</w:t>
      </w:r>
    </w:p>
    <w:p w14:paraId="3C02ADE8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成都合伙人的筛选质量直接决定全国招商的标杆是否成立。如果首发合伙人偏向资源型而缺乏AI改造实操能力，模式无法复制，后续招商缺少说服力。</w:t>
      </w:r>
    </w:p>
    <w:p w14:paraId="7E34C064">
      <w:pPr>
        <w:pStyle w:val="3"/>
        <w:spacing w:before="0" w:after="120" w:line="360" w:lineRule="auto"/>
      </w:pPr>
      <w:bookmarkStart w:id="33" w:name="_Toc31437"/>
      <w:r>
        <w:rPr>
          <w:rFonts w:ascii="Times New Roman" w:hAnsi="Times New Roman" w:eastAsia="黑体"/>
          <w:b/>
          <w:sz w:val="28"/>
          <w:szCs w:val="28"/>
        </w:rPr>
        <w:t>6.2 厦门验证</w:t>
      </w:r>
      <w:bookmarkEnd w:id="33"/>
    </w:p>
    <w:p w14:paraId="6DFE5FC7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厦门作为第二验证城市。成都形成可展示案例和稳定交付方式后，再启动厦门。</w:t>
      </w:r>
    </w:p>
    <w:p w14:paraId="09A8689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厦门的价值在于区域资源熟悉、沟通成本较低、商会和高校资源可借力。厦门验证的重点，是判断成都模式是否具备跨城市复制能力。</w:t>
      </w:r>
    </w:p>
    <w:p w14:paraId="6BBEDDD5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厦门阶段不宜重新摸索一套打法，应复用成都的客户画像、方案模板、推荐人材料、项目分级标准、合伙人筛选标准和交付方式。</w:t>
      </w:r>
    </w:p>
    <w:p w14:paraId="4A90364B">
      <w:pPr>
        <w:pStyle w:val="3"/>
        <w:spacing w:before="0" w:after="120" w:line="360" w:lineRule="auto"/>
      </w:pPr>
      <w:bookmarkStart w:id="34" w:name="_Toc24040"/>
      <w:r>
        <w:rPr>
          <w:rFonts w:ascii="Times New Roman" w:hAnsi="Times New Roman" w:eastAsia="黑体"/>
          <w:b/>
          <w:sz w:val="28"/>
          <w:szCs w:val="28"/>
        </w:rPr>
        <w:t>6.3 首发赛道选择</w:t>
      </w:r>
      <w:bookmarkEnd w:id="34"/>
    </w:p>
    <w:p w14:paraId="0526BAA3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首发赛道应满足五个条件：客户决策快，重复任务多，AI效果容易展示，客户有付费能力，后续有合资想象空间。优先赛道包括电商、本地生活、内容运营、企业行政、财税服务、销售型小微企业。</w:t>
      </w:r>
    </w:p>
    <w:p w14:paraId="1288282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首发赛道不宜太宽。建议先选择一个主要赛道和一个备用赛道。主要赛道用于沉淀案例，备用赛道用于验证客户需求是否更强。赛道选择应结合合伙人的过往背景，合伙人在哪个赛道有过AI改造经验，优先以该赛道为主赛道。</w:t>
      </w:r>
    </w:p>
    <w:p w14:paraId="42D38FAE">
      <w:pPr>
        <w:pStyle w:val="2"/>
        <w:spacing w:before="0" w:after="120" w:line="360" w:lineRule="auto"/>
      </w:pPr>
      <w:bookmarkStart w:id="35" w:name="_Toc2962"/>
      <w:r>
        <w:rPr>
          <w:rFonts w:ascii="Times New Roman" w:hAnsi="Times New Roman" w:eastAsia="黑体"/>
          <w:b/>
          <w:sz w:val="36"/>
          <w:szCs w:val="36"/>
        </w:rPr>
        <w:t>七、运营手段</w:t>
      </w:r>
      <w:bookmarkEnd w:id="35"/>
    </w:p>
    <w:p w14:paraId="64A6096C">
      <w:pPr>
        <w:pStyle w:val="3"/>
        <w:spacing w:before="0" w:after="120" w:line="360" w:lineRule="auto"/>
      </w:pPr>
      <w:bookmarkStart w:id="36" w:name="_Toc25364"/>
      <w:r>
        <w:rPr>
          <w:rFonts w:ascii="Times New Roman" w:hAnsi="Times New Roman" w:eastAsia="黑体"/>
          <w:b/>
          <w:sz w:val="28"/>
          <w:szCs w:val="28"/>
        </w:rPr>
        <w:t>7.1 线上运营</w:t>
      </w:r>
      <w:bookmarkEnd w:id="36"/>
    </w:p>
    <w:p w14:paraId="33502A93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线上运营以小红书为主渠道，配套企业微信和私域社群作为承接节点。账号矩阵设计为四号结构。</w:t>
      </w:r>
    </w:p>
    <w:p w14:paraId="561E5995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7.1.1 小红书四号矩阵</w:t>
      </w:r>
    </w:p>
    <w:p w14:paraId="080C94AB">
      <w:pPr>
        <w:spacing w:before="0" w:after="120" w:line="360" w:lineRule="auto"/>
        <w:jc w:val="center"/>
      </w:pPr>
      <w:r>
        <w:rPr>
          <w:rFonts w:ascii="Times New Roman" w:hAnsi="Times New Roman" w:eastAsia="宋体" w:cs="宋体"/>
          <w:bCs/>
          <w:sz w:val="24"/>
          <w:szCs w:val="24"/>
        </w:rPr>
        <w:t>表1  小红书账号矩阵</w:t>
      </w:r>
    </w:p>
    <w:tbl>
      <w:tblPr>
        <w:tblStyle w:val="15"/>
        <w:tblW w:w="9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1690"/>
        <w:gridCol w:w="1500"/>
        <w:gridCol w:w="2900"/>
        <w:gridCol w:w="1540"/>
      </w:tblGrid>
      <w:tr w14:paraId="3848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26E52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/>
                <w:sz w:val="22"/>
                <w:szCs w:val="22"/>
              </w:rPr>
              <w:t>账号</w:t>
            </w:r>
          </w:p>
        </w:tc>
        <w:tc>
          <w:tcPr>
            <w:tcW w:w="169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4812E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/>
                <w:sz w:val="22"/>
                <w:szCs w:val="22"/>
              </w:rPr>
              <w:t>定位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FF724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/>
                <w:sz w:val="22"/>
                <w:szCs w:val="22"/>
              </w:rPr>
              <w:t>出镜方式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5E69B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/>
                <w:sz w:val="22"/>
                <w:szCs w:val="22"/>
              </w:rPr>
              <w:t>主要内容</w:t>
            </w:r>
          </w:p>
        </w:tc>
        <w:tc>
          <w:tcPr>
            <w:tcW w:w="1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F9DBB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/>
                <w:sz w:val="22"/>
                <w:szCs w:val="22"/>
              </w:rPr>
              <w:t>运营节奏</w:t>
            </w:r>
          </w:p>
        </w:tc>
      </w:tr>
      <w:tr w14:paraId="49A83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2D83C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主理人IP号</w:t>
            </w:r>
          </w:p>
        </w:tc>
        <w:tc>
          <w:tcPr>
            <w:tcW w:w="169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580A5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合伙人/操盘人个人IP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3AD8C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真名真人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97CB9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AI改造方法论、行业洞察、客户故事、个人观点</w:t>
            </w:r>
          </w:p>
        </w:tc>
        <w:tc>
          <w:tcPr>
            <w:tcW w:w="1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98AB9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每周2至3篇</w:t>
            </w:r>
          </w:p>
        </w:tc>
      </w:tr>
      <w:tr w14:paraId="3318C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4A84E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工作室主号</w:t>
            </w:r>
          </w:p>
        </w:tc>
        <w:tc>
          <w:tcPr>
            <w:tcW w:w="169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AD3C4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公司品牌账号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2BB8B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团队形象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62248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案例拆解、教程、服务介绍、资料包</w:t>
            </w:r>
          </w:p>
        </w:tc>
        <w:tc>
          <w:tcPr>
            <w:tcW w:w="1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8849C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每周4至5篇</w:t>
            </w:r>
          </w:p>
        </w:tc>
      </w:tr>
      <w:tr w14:paraId="3DE0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25874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场景垂类号</w:t>
            </w:r>
          </w:p>
        </w:tc>
        <w:tc>
          <w:tcPr>
            <w:tcW w:w="169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EB1B4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按行业拆分2至3个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58EDA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内容策划主导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55286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该行业的具体工作流、SOP、痛点解答</w:t>
            </w:r>
          </w:p>
        </w:tc>
        <w:tc>
          <w:tcPr>
            <w:tcW w:w="1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E6F8D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每周3篇</w:t>
            </w:r>
          </w:p>
        </w:tc>
      </w:tr>
      <w:tr w14:paraId="31FFB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1BABF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AI全自动运营号</w:t>
            </w:r>
          </w:p>
        </w:tc>
        <w:tc>
          <w:tcPr>
            <w:tcW w:w="169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0FA01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试验性账号</w:t>
            </w:r>
          </w:p>
        </w:tc>
        <w:tc>
          <w:tcPr>
            <w:tcW w:w="1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D00B5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AI生成形象</w:t>
            </w:r>
          </w:p>
        </w:tc>
        <w:tc>
          <w:tcPr>
            <w:tcW w:w="2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67846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AI生成内容、AI配音、AI剪辑、AI自动回复</w:t>
            </w:r>
          </w:p>
        </w:tc>
        <w:tc>
          <w:tcPr>
            <w:tcW w:w="1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EA234">
            <w:pPr>
              <w:spacing w:before="0" w:after="120" w:line="360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宋体" w:cs="宋体"/>
                <w:bCs w:val="0"/>
                <w:sz w:val="22"/>
                <w:szCs w:val="22"/>
              </w:rPr>
              <w:t>频率不限</w:t>
            </w:r>
          </w:p>
        </w:tc>
      </w:tr>
    </w:tbl>
    <w:p w14:paraId="1F7EE5E3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四号矩阵的设计思路如下。</w:t>
      </w:r>
    </w:p>
    <w:p w14:paraId="7CF92313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宋体"/>
          <w:bCs/>
          <w:sz w:val="24"/>
          <w:szCs w:val="24"/>
        </w:rPr>
        <w:t>主理人IP号承担信任背书。</w:t>
      </w:r>
      <w:r>
        <w:rPr>
          <w:rFonts w:ascii="Times New Roman" w:hAnsi="Times New Roman" w:eastAsia="宋体" w:cs="宋体"/>
          <w:sz w:val="24"/>
          <w:szCs w:val="24"/>
        </w:rPr>
        <w:t>客户最终愿意付费，往往是因为相信这个人靠谱。合伙人或操盘人本人出镜，讲方法、讲案例、讲观点，让客户对人产生信任。</w:t>
      </w:r>
    </w:p>
    <w:p w14:paraId="287C6B9E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 w:cs="宋体"/>
          <w:bCs/>
          <w:sz w:val="24"/>
          <w:szCs w:val="24"/>
        </w:rPr>
        <w:t>工作室主号承担获客主阵地。</w:t>
      </w:r>
      <w:r>
        <w:rPr>
          <w:rFonts w:ascii="Times New Roman" w:hAnsi="Times New Roman" w:eastAsia="宋体" w:cs="宋体"/>
          <w:sz w:val="24"/>
          <w:szCs w:val="24"/>
        </w:rPr>
        <w:t>客户搜索具体问题（如AI客服怎么做）时看到的是工作室号的案例内容，是流量入口和留资载体。</w:t>
      </w:r>
    </w:p>
    <w:p w14:paraId="577EF168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 w:cs="宋体"/>
          <w:bCs/>
          <w:sz w:val="24"/>
          <w:szCs w:val="24"/>
        </w:rPr>
        <w:t>场景垂类号承担精准筛选。</w:t>
      </w:r>
      <w:r>
        <w:rPr>
          <w:rFonts w:ascii="Times New Roman" w:hAnsi="Times New Roman" w:eastAsia="宋体" w:cs="宋体"/>
          <w:sz w:val="24"/>
          <w:szCs w:val="24"/>
        </w:rPr>
        <w:t>电商老板进电商号、内容人进内容号，人群更纯，转化更准。垂类号可由内容策划主导，实习生协助运营。</w:t>
      </w:r>
    </w:p>
    <w:p w14:paraId="592435B0">
      <w:pPr>
        <w:pStyle w:val="20"/>
        <w:numPr>
          <w:ilvl w:val="0"/>
          <w:numId w:val="0"/>
        </w:numPr>
        <w:spacing w:before="0" w:after="120" w:line="360" w:lineRule="auto"/>
        <w:ind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4.</w:t>
      </w:r>
      <w:r>
        <w:rPr>
          <w:rFonts w:ascii="Times New Roman" w:hAnsi="Times New Roman" w:eastAsia="宋体" w:cs="宋体"/>
          <w:bCs/>
          <w:sz w:val="24"/>
          <w:szCs w:val="24"/>
        </w:rPr>
        <w:t>AI全自动运营号承担活广告。</w:t>
      </w:r>
      <w:r>
        <w:rPr>
          <w:rFonts w:ascii="Times New Roman" w:hAnsi="Times New Roman" w:eastAsia="宋体" w:cs="宋体"/>
          <w:sz w:val="24"/>
          <w:szCs w:val="24"/>
        </w:rPr>
        <w:t>整个账号的内容生产、配音、剪辑、私信回复全部用AI工作流完成。这个号的意义有二：一是测试AI内容生成的实际能力，二是它本身就是公司能力的活广告——我们自己的小红书号就是AI自动跑的，客户也可以做到。即便不直接获客，也是品牌资产。</w:t>
      </w:r>
    </w:p>
    <w:p w14:paraId="649D548B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7.1.2 矩阵引流闭环</w:t>
      </w:r>
    </w:p>
    <w:p w14:paraId="45625E54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四号之间形成完整引流闭环。</w:t>
      </w:r>
    </w:p>
    <w:p w14:paraId="6370673C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工作室号通过案例引发兴趣，引导客户去看主理人号建立信任；主理人号在签名挂工作室号链接，让客户了解服务详情；垂类号识别客户行业归属，引导留资；AI全自动运营号作为辅助流量入口。所有账号的留资都统一沉淀到一个私域承接节点（企业微信或微信群），由账号运营接手，避免线索分散。</w:t>
      </w:r>
    </w:p>
    <w:p w14:paraId="0CAA537B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7.1.3 线上内容的总体方向</w:t>
      </w:r>
    </w:p>
    <w:p w14:paraId="517C7B2F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线上内容应服务两个目标。第一，获得咨询客户线索。第二，为推荐人提供转发和介绍材料。内容不宜只追求播放量，重点看是否带来真实业务咨询。</w:t>
      </w:r>
    </w:p>
    <w:p w14:paraId="558751CB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7.1.4 后续线上玩法</w:t>
      </w:r>
    </w:p>
    <w:p w14:paraId="240E5EAB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以下线上玩法在小红书四号矩阵稳定运行、首批案例沉淀完成后再启动，启动期不分散精力。</w:t>
      </w:r>
    </w:p>
    <w:p w14:paraId="1513FD30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直播实操。每周一次，主理人号或工作室号开播，现场给粉丝做AI改造诊断，直播切片二次分发到所有矩阵号。</w:t>
      </w:r>
    </w:p>
    <w:p w14:paraId="0E57FF17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可下载资料包矩阵。针对每个首发赛道做3至5份行业AI工作流SOP，PDF形式，留资换取。每份资料包都是一次留资入口，长期沉淀。</w:t>
      </w:r>
    </w:p>
    <w:p w14:paraId="0657D38E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B站长视频备份。小红书做获客和留资，B站做深度案例和方法论沉淀。</w:t>
      </w:r>
    </w:p>
    <w:p w14:paraId="6419BB42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公众号承接。作为客户深度阅读和资料留存载体，适合放完整案例、白皮书、行业研报。客户搜公司名字时，公众号是第一接触点。</w:t>
      </w:r>
    </w:p>
    <w:p w14:paraId="1FA876A7">
      <w:pPr>
        <w:pStyle w:val="3"/>
        <w:spacing w:before="0" w:after="120" w:line="360" w:lineRule="auto"/>
      </w:pPr>
      <w:bookmarkStart w:id="37" w:name="_Toc19133"/>
      <w:r>
        <w:rPr>
          <w:rFonts w:ascii="Times New Roman" w:hAnsi="Times New Roman" w:eastAsia="黑体"/>
          <w:b/>
          <w:sz w:val="28"/>
          <w:szCs w:val="28"/>
        </w:rPr>
        <w:t>7.2 线下运营</w:t>
      </w:r>
      <w:bookmarkEnd w:id="37"/>
    </w:p>
    <w:p w14:paraId="7813FF18">
      <w:pPr>
        <w:spacing w:before="0" w:after="120" w:line="360" w:lineRule="auto"/>
        <w:ind w:firstLineChars="200"/>
        <w:jc w:val="both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启动期可以以线上运营作为低成本试错和内容沉淀的主要方式，但不能把线上作为唯一获客重心。线上触达的客户往往已经意识到需要做AI改造，正在主动了解AI工具、AI代运营或AI咨询服务。这类客户需求更显性，但也更容易货比三家，信息差相对有限，价格竞争和方案对比会更早出现。</w:t>
      </w:r>
    </w:p>
    <w:p w14:paraId="701066AE">
      <w:pPr>
        <w:spacing w:before="0" w:after="120" w:line="360" w:lineRule="auto"/>
        <w:ind w:firstLine="500" w:firstLineChars="0"/>
        <w:jc w:val="both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从战略视角上来看，</w:t>
      </w:r>
      <w:r>
        <w:rPr>
          <w:rFonts w:hint="eastAsia" w:ascii="Times New Roman" w:hAnsi="Times New Roman" w:eastAsia="宋体" w:cs="宋体"/>
          <w:sz w:val="24"/>
          <w:szCs w:val="24"/>
        </w:rPr>
        <w:t>更具增量空间的是线下传统商户和产业带经营者。这类客户未必主动搜索AI改造，也未必能准确表达需求，但他们通常存在真实经营痛点，例如获客效率低、内容产能不足、客服响应慢、门店转化弱、员工培训难等。只要通过现场展示、案例对比和低门槛诊断，让客户看到“AI可以直接解决我眼前的问题”，反而更容易形成强认知差、强信任感和试点机会。</w:t>
      </w:r>
    </w:p>
    <w:p w14:paraId="5E44AC7E">
      <w:pPr>
        <w:spacing w:before="0" w:after="120" w:line="360" w:lineRule="auto"/>
        <w:ind w:firstLine="500" w:firstLineChars="0"/>
        <w:jc w:val="both"/>
      </w:pPr>
      <w:r>
        <w:rPr>
          <w:rFonts w:hint="eastAsia" w:ascii="Times New Roman" w:hAnsi="Times New Roman" w:eastAsia="宋体" w:cs="宋体"/>
          <w:sz w:val="24"/>
          <w:szCs w:val="24"/>
        </w:rPr>
        <w:t>因此，前期运营不是简单地“重线上、轻线下”，而是将线上定位为内容验证、品牌背书和线索承接工具，将线下定位为下沉客户发现、需求教育和高质量试点转化工具。线下运营不按渠道罗列，而按具体获客动作设计，主要包括五类动作。</w:t>
      </w:r>
    </w:p>
    <w:p w14:paraId="35D8DBFE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7.2.1 陌拜</w:t>
      </w:r>
    </w:p>
    <w:p w14:paraId="6D68DEAF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陌拜是启动期主动获客的重要方式，适合首发赛道集中的物理空间。</w:t>
      </w:r>
    </w:p>
    <w:p w14:paraId="39E81666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宋体"/>
          <w:bCs/>
          <w:sz w:val="24"/>
          <w:szCs w:val="24"/>
        </w:rPr>
        <w:t>场景选择。</w:t>
      </w:r>
      <w:r>
        <w:rPr>
          <w:rFonts w:ascii="Times New Roman" w:hAnsi="Times New Roman" w:eastAsia="宋体" w:cs="宋体"/>
          <w:sz w:val="24"/>
          <w:szCs w:val="24"/>
        </w:rPr>
        <w:t>做电商赛道，走网商园、淘宝直播基地、本地电商孵化器；做本地生活，走临街餐饮聚集区、连锁奶茶店总部所在地；做内容，走MCN园区。</w:t>
      </w:r>
    </w:p>
    <w:p w14:paraId="1C9C2F1E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 w:cs="宋体"/>
          <w:bCs/>
          <w:sz w:val="24"/>
          <w:szCs w:val="24"/>
        </w:rPr>
        <w:t>动作细节。</w:t>
      </w:r>
      <w:r>
        <w:rPr>
          <w:rFonts w:ascii="Times New Roman" w:hAnsi="Times New Roman" w:eastAsia="宋体" w:cs="宋体"/>
          <w:sz w:val="24"/>
          <w:szCs w:val="24"/>
        </w:rPr>
        <w:t>两人一组，携带一份印好的“AI帮[行业]做了什么”对比图册（A4，5至8页），进店表明身份，10分钟内完成展示，留下二维码或名片。</w:t>
      </w:r>
    </w:p>
    <w:p w14:paraId="3C6DD2E0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 w:cs="宋体"/>
          <w:bCs/>
          <w:sz w:val="24"/>
          <w:szCs w:val="24"/>
        </w:rPr>
        <w:t>频率与目标。</w:t>
      </w:r>
      <w:r>
        <w:rPr>
          <w:rFonts w:ascii="Times New Roman" w:hAnsi="Times New Roman" w:eastAsia="宋体" w:cs="宋体"/>
          <w:sz w:val="24"/>
          <w:szCs w:val="24"/>
        </w:rPr>
        <w:t>每周固定2天陌拜日，每天15至20家，目标加微信5个、约到深聊1至2个、试点客户每两周1个。</w:t>
      </w:r>
    </w:p>
    <w:p w14:paraId="1A3ED48B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4.</w:t>
      </w:r>
      <w:r>
        <w:rPr>
          <w:rFonts w:ascii="Times New Roman" w:hAnsi="Times New Roman" w:eastAsia="宋体" w:cs="宋体"/>
          <w:bCs/>
          <w:sz w:val="24"/>
          <w:szCs w:val="24"/>
        </w:rPr>
        <w:t>物料清单。</w:t>
      </w:r>
      <w:r>
        <w:rPr>
          <w:rFonts w:ascii="Times New Roman" w:hAnsi="Times New Roman" w:eastAsia="宋体" w:cs="宋体"/>
          <w:sz w:val="24"/>
          <w:szCs w:val="24"/>
        </w:rPr>
        <w:t>对比图册、二维码立牌、案例小卡片、登记表。每个线索扫码即录入推荐人台账，来源标记为陌拜。</w:t>
      </w:r>
    </w:p>
    <w:p w14:paraId="728249E2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5.</w:t>
      </w:r>
      <w:r>
        <w:rPr>
          <w:rFonts w:ascii="Times New Roman" w:hAnsi="Times New Roman" w:eastAsia="宋体" w:cs="宋体"/>
          <w:bCs/>
          <w:sz w:val="24"/>
          <w:szCs w:val="24"/>
        </w:rPr>
        <w:t>责任人。</w:t>
      </w:r>
      <w:r>
        <w:rPr>
          <w:rFonts w:ascii="Times New Roman" w:hAnsi="Times New Roman" w:eastAsia="宋体" w:cs="宋体"/>
          <w:sz w:val="24"/>
          <w:szCs w:val="24"/>
        </w:rPr>
        <w:t>陌拜由商务运营/BD和账号运营牵头，必要时合伙人亲自参与。</w:t>
      </w:r>
    </w:p>
    <w:p w14:paraId="24068B04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7.2.2 闭门沙龙</w:t>
      </w:r>
    </w:p>
    <w:p w14:paraId="2AC2CA4F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闭门沙龙是精准转化的主要方式。</w:t>
      </w:r>
    </w:p>
    <w:p w14:paraId="0C6BFE6F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宋体"/>
          <w:bCs/>
          <w:sz w:val="24"/>
          <w:szCs w:val="24"/>
        </w:rPr>
        <w:t>形式。</w:t>
      </w:r>
      <w:r>
        <w:rPr>
          <w:rFonts w:ascii="Times New Roman" w:hAnsi="Times New Roman" w:eastAsia="宋体" w:cs="宋体"/>
          <w:sz w:val="24"/>
          <w:szCs w:val="24"/>
        </w:rPr>
        <w:t>每月一场，10至15人，通过推荐人或合作渠道邀约。主题锁定首发赛道的具体问题。</w:t>
      </w:r>
    </w:p>
    <w:p w14:paraId="58B9AE87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 w:cs="宋体"/>
          <w:bCs/>
          <w:sz w:val="24"/>
          <w:szCs w:val="24"/>
        </w:rPr>
        <w:t>内容结构。</w:t>
      </w:r>
      <w:r>
        <w:rPr>
          <w:rFonts w:ascii="Times New Roman" w:hAnsi="Times New Roman" w:eastAsia="宋体" w:cs="宋体"/>
          <w:sz w:val="24"/>
          <w:szCs w:val="24"/>
        </w:rPr>
        <w:t>1小时主题分享 + 1小时现场诊断。让2至3位客户现场说自己的问题，合伙人当场给改造建议。</w:t>
      </w:r>
    </w:p>
    <w:p w14:paraId="16AFF0C8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 w:cs="宋体"/>
          <w:bCs/>
          <w:sz w:val="24"/>
          <w:szCs w:val="24"/>
        </w:rPr>
        <w:t>转化方式。</w:t>
      </w:r>
      <w:r>
        <w:rPr>
          <w:rFonts w:ascii="Times New Roman" w:hAnsi="Times New Roman" w:eastAsia="宋体" w:cs="宋体"/>
          <w:sz w:val="24"/>
          <w:szCs w:val="24"/>
        </w:rPr>
        <w:t>现场被诊断的客户优先约下一步打样，旁观客户进入私域群。</w:t>
      </w:r>
    </w:p>
    <w:p w14:paraId="29E099DA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4.</w:t>
      </w:r>
      <w:r>
        <w:rPr>
          <w:rFonts w:ascii="Times New Roman" w:hAnsi="Times New Roman" w:eastAsia="宋体" w:cs="宋体"/>
          <w:bCs/>
          <w:sz w:val="24"/>
          <w:szCs w:val="24"/>
        </w:rPr>
        <w:t>责任人。</w:t>
      </w:r>
      <w:r>
        <w:rPr>
          <w:rFonts w:ascii="Times New Roman" w:hAnsi="Times New Roman" w:eastAsia="宋体" w:cs="宋体"/>
          <w:sz w:val="24"/>
          <w:szCs w:val="24"/>
        </w:rPr>
        <w:t>合伙人主讲并诊断，商务运营/BD负责邀约和会场，内容策划负责现场记录和后续内容产出。</w:t>
      </w:r>
    </w:p>
    <w:p w14:paraId="18D23849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7.2.3 商会与产业园合作</w:t>
      </w:r>
    </w:p>
    <w:p w14:paraId="5FEB1E1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商会和产业园是组织化获客的重要渠道，适合一次接触一批潜在客户。</w:t>
      </w:r>
    </w:p>
    <w:p w14:paraId="5FA97D80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1.进</w:t>
      </w:r>
      <w:r>
        <w:rPr>
          <w:rFonts w:ascii="Times New Roman" w:hAnsi="Times New Roman" w:eastAsia="宋体" w:cs="宋体"/>
          <w:bCs/>
          <w:sz w:val="24"/>
          <w:szCs w:val="24"/>
        </w:rPr>
        <w:t>入方式。</w:t>
      </w:r>
      <w:r>
        <w:rPr>
          <w:rFonts w:ascii="Times New Roman" w:hAnsi="Times New Roman" w:eastAsia="宋体" w:cs="宋体"/>
          <w:sz w:val="24"/>
          <w:szCs w:val="24"/>
        </w:rPr>
        <w:t>找本地商会秘书长或产业园招商负责人，免费提供一场内部分享。分享题目按商会行业定。</w:t>
      </w:r>
    </w:p>
    <w:p w14:paraId="0F16CAED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 w:cs="宋体"/>
          <w:bCs/>
          <w:sz w:val="24"/>
          <w:szCs w:val="24"/>
        </w:rPr>
        <w:t>活动结构。</w:t>
      </w:r>
      <w:r>
        <w:rPr>
          <w:rFonts w:ascii="Times New Roman" w:hAnsi="Times New Roman" w:eastAsia="宋体" w:cs="宋体"/>
          <w:sz w:val="24"/>
          <w:szCs w:val="24"/>
        </w:rPr>
        <w:t>30分钟主题分享 + 30分钟现场问答 + 留资环节。</w:t>
      </w:r>
    </w:p>
    <w:p w14:paraId="7CA6A43C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 w:cs="宋体"/>
          <w:bCs/>
          <w:sz w:val="24"/>
          <w:szCs w:val="24"/>
        </w:rPr>
        <w:t>跟进节奏。</w:t>
      </w:r>
      <w:r>
        <w:rPr>
          <w:rFonts w:ascii="Times New Roman" w:hAnsi="Times New Roman" w:eastAsia="宋体" w:cs="宋体"/>
          <w:sz w:val="24"/>
          <w:szCs w:val="24"/>
        </w:rPr>
        <w:t>活动当晚由商务运营/BD私信留资客户，2个工作日内电话跟进。</w:t>
      </w:r>
    </w:p>
    <w:p w14:paraId="7E21674F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4.</w:t>
      </w:r>
      <w:r>
        <w:rPr>
          <w:rFonts w:ascii="Times New Roman" w:hAnsi="Times New Roman" w:eastAsia="宋体" w:cs="宋体"/>
          <w:bCs/>
          <w:sz w:val="24"/>
          <w:szCs w:val="24"/>
        </w:rPr>
        <w:t>长期合作。</w:t>
      </w:r>
      <w:r>
        <w:rPr>
          <w:rFonts w:ascii="Times New Roman" w:hAnsi="Times New Roman" w:eastAsia="宋体" w:cs="宋体"/>
          <w:sz w:val="24"/>
          <w:szCs w:val="24"/>
        </w:rPr>
        <w:t>与重点商会建立长期合作机制，例如每季度一次活动加每月一次专题资料投放。</w:t>
      </w:r>
    </w:p>
    <w:p w14:paraId="7744E07D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7.2.4 高校合作</w:t>
      </w:r>
    </w:p>
    <w:p w14:paraId="539E2DEB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高校合作主要用于背书积累，不直接获客。</w:t>
      </w:r>
    </w:p>
    <w:p w14:paraId="1EDC58F2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宋体"/>
          <w:bCs/>
          <w:sz w:val="24"/>
          <w:szCs w:val="24"/>
        </w:rPr>
        <w:t>切入方式。</w:t>
      </w:r>
      <w:r>
        <w:rPr>
          <w:rFonts w:ascii="Times New Roman" w:hAnsi="Times New Roman" w:eastAsia="宋体" w:cs="宋体"/>
          <w:sz w:val="24"/>
          <w:szCs w:val="24"/>
        </w:rPr>
        <w:t>与高校AI学院、商学院谈课题合作或联合研究。。</w:t>
      </w:r>
    </w:p>
    <w:p w14:paraId="5FDF776B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 w:cs="宋体"/>
          <w:bCs/>
          <w:sz w:val="24"/>
          <w:szCs w:val="24"/>
        </w:rPr>
        <w:t>背书价值。</w:t>
      </w:r>
      <w:r>
        <w:rPr>
          <w:rFonts w:ascii="Times New Roman" w:hAnsi="Times New Roman" w:eastAsia="宋体" w:cs="宋体"/>
          <w:sz w:val="24"/>
          <w:szCs w:val="24"/>
        </w:rPr>
        <w:t>和XX大学联合研究的标识可用于账号简介、推荐人材料、客户拜访PPT，作为信任背书的长期资产。</w:t>
      </w:r>
    </w:p>
    <w:p w14:paraId="2E2EDEF8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 w:cs="宋体"/>
          <w:bCs/>
          <w:sz w:val="24"/>
          <w:szCs w:val="24"/>
        </w:rPr>
        <w:t>延伸价值。</w:t>
      </w:r>
      <w:r>
        <w:rPr>
          <w:rFonts w:ascii="Times New Roman" w:hAnsi="Times New Roman" w:eastAsia="宋体" w:cs="宋体"/>
          <w:sz w:val="24"/>
          <w:szCs w:val="24"/>
        </w:rPr>
        <w:t>高校合作也是人才接触渠道，可作为后续招聘和实习生来源。</w:t>
      </w:r>
    </w:p>
    <w:p w14:paraId="094D3A9C">
      <w:pPr>
        <w:pStyle w:val="4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7.2.5 熟人推荐和饭局</w:t>
      </w:r>
    </w:p>
    <w:p w14:paraId="2D76DE08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熟人推荐和饭局是高质量项目源的重要来源。</w:t>
      </w:r>
    </w:p>
    <w:p w14:paraId="10BD1273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宋体"/>
          <w:bCs/>
          <w:sz w:val="24"/>
          <w:szCs w:val="24"/>
        </w:rPr>
        <w:t>机制衔接。</w:t>
      </w:r>
      <w:r>
        <w:rPr>
          <w:rFonts w:ascii="Times New Roman" w:hAnsi="Times New Roman" w:eastAsia="宋体" w:cs="宋体"/>
          <w:sz w:val="24"/>
          <w:szCs w:val="24"/>
        </w:rPr>
        <w:t>衔接公司已有的ABC外联流程，把饭局作为推荐人来源的发现场景。</w:t>
      </w:r>
    </w:p>
    <w:p w14:paraId="020C5F73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eastAsia="宋体" w:cs="宋体"/>
          <w:bCs/>
          <w:sz w:val="24"/>
          <w:szCs w:val="24"/>
        </w:rPr>
        <w:t>现场判断。</w:t>
      </w:r>
      <w:r>
        <w:rPr>
          <w:rFonts w:ascii="Times New Roman" w:hAnsi="Times New Roman" w:eastAsia="宋体" w:cs="宋体"/>
          <w:sz w:val="24"/>
          <w:szCs w:val="24"/>
        </w:rPr>
        <w:t>饭局认识的人，如果有资源、有意愿，纳入推荐人池；如果本身是潜在客户，直接进入咨询流程。</w:t>
      </w:r>
    </w:p>
    <w:p w14:paraId="0EF7D51B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hint="eastAsia" w:ascii="Times New Roman" w:hAnsi="Times New Roman" w:eastAsia="宋体" w:cs="宋体"/>
          <w:bCs/>
          <w:sz w:val="24"/>
          <w:szCs w:val="24"/>
          <w:lang w:val="en-US" w:eastAsia="zh-CN"/>
        </w:rPr>
        <w:t>3.</w:t>
      </w:r>
      <w:r>
        <w:rPr>
          <w:rFonts w:ascii="Times New Roman" w:hAnsi="Times New Roman" w:eastAsia="宋体" w:cs="宋体"/>
          <w:bCs/>
          <w:sz w:val="24"/>
          <w:szCs w:val="24"/>
        </w:rPr>
        <w:t>台账登记。</w:t>
      </w:r>
      <w:r>
        <w:rPr>
          <w:rFonts w:ascii="Times New Roman" w:hAnsi="Times New Roman" w:eastAsia="宋体" w:cs="宋体"/>
          <w:sz w:val="24"/>
          <w:szCs w:val="24"/>
        </w:rPr>
        <w:t>每次饭局后由BD在24小时内做台账登记，关键人加微信备注来源。</w:t>
      </w:r>
    </w:p>
    <w:p w14:paraId="4CB24C60">
      <w:pPr>
        <w:pStyle w:val="3"/>
        <w:spacing w:before="0" w:after="120" w:line="360" w:lineRule="auto"/>
      </w:pPr>
      <w:bookmarkStart w:id="38" w:name="_Toc23077"/>
      <w:r>
        <w:rPr>
          <w:rFonts w:ascii="Times New Roman" w:hAnsi="Times New Roman" w:eastAsia="黑体"/>
          <w:b/>
          <w:sz w:val="28"/>
          <w:szCs w:val="28"/>
        </w:rPr>
        <w:t>7.3 线上线下联动</w:t>
      </w:r>
      <w:bookmarkEnd w:id="38"/>
    </w:p>
    <w:p w14:paraId="701B128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线上和线下不是两条平行线，应通过具体动作联动。</w:t>
      </w:r>
    </w:p>
    <w:p w14:paraId="3E78DC46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每场线下活动当天，主理人号同步发现场图文（例如今天在XX商会做了什么），把线下流量沉淀到线上账号。</w:t>
      </w:r>
    </w:p>
    <w:p w14:paraId="1085C393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陌拜物料反向用作线上内容素材，陌拜遇到的客户故事（去标识化）做成案例对比型内容。</w:t>
      </w:r>
    </w:p>
    <w:p w14:paraId="472D543C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沙龙现场为后续线上活动铺路，预告下一期内容或资料包，把线下客户转化为线上长期关注。</w:t>
      </w:r>
    </w:p>
    <w:p w14:paraId="1E7482C6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线下加微信的客户统一进入私域群，由账号运营按内容节奏推送案例和资料。</w:t>
      </w:r>
    </w:p>
    <w:p w14:paraId="65A02A79">
      <w:pPr>
        <w:pStyle w:val="3"/>
        <w:spacing w:before="0" w:after="120" w:line="360" w:lineRule="auto"/>
      </w:pPr>
      <w:bookmarkStart w:id="39" w:name="_Toc26102"/>
      <w:r>
        <w:rPr>
          <w:rFonts w:ascii="Times New Roman" w:hAnsi="Times New Roman" w:eastAsia="黑体"/>
          <w:b/>
          <w:sz w:val="28"/>
          <w:szCs w:val="28"/>
        </w:rPr>
        <w:t>7.4 案例建设</w:t>
      </w:r>
      <w:bookmarkEnd w:id="39"/>
    </w:p>
    <w:p w14:paraId="2157CEA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每个案例沉淀六项内容。</w:t>
      </w:r>
    </w:p>
    <w:p w14:paraId="7994E97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客户背景。</w:t>
      </w:r>
    </w:p>
    <w:p w14:paraId="6900FFE4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原有问题。</w:t>
      </w:r>
    </w:p>
    <w:p w14:paraId="7C110C93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AI介入环节。</w:t>
      </w:r>
    </w:p>
    <w:p w14:paraId="2ADE8BCB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实际做出的东西。</w:t>
      </w:r>
    </w:p>
    <w:p w14:paraId="721BBA3D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5. 客户使用反馈。</w:t>
      </w:r>
    </w:p>
    <w:p w14:paraId="6C69811B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6. 后续收费或合资机会。</w:t>
      </w:r>
    </w:p>
    <w:p w14:paraId="4DE603AD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案例用途包括账号内容、推荐人介绍、客户拜访、团队培训和合资项目初筛。案例材料要实事求是，避免夸大效果。客户能追问细节的案例，才适合对外使用。</w:t>
      </w:r>
    </w:p>
    <w:p w14:paraId="0ED5D8E6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案例建设是业务能否复制的关键。没有案例，账号内容会空；没有案例，推荐人不好开口；没有案例，全国招商缺少依据。案例同时也是合伙人筛选时的能力证明素材，要求候选人提供过往亲手参与的AI改造案例。</w:t>
      </w:r>
    </w:p>
    <w:p w14:paraId="3B8F9544">
      <w:pPr>
        <w:pStyle w:val="2"/>
        <w:spacing w:before="0" w:after="120" w:line="360" w:lineRule="auto"/>
      </w:pPr>
      <w:bookmarkStart w:id="40" w:name="_Toc11474"/>
      <w:r>
        <w:rPr>
          <w:rFonts w:ascii="Times New Roman" w:hAnsi="Times New Roman" w:eastAsia="黑体"/>
          <w:b/>
          <w:sz w:val="36"/>
          <w:szCs w:val="36"/>
        </w:rPr>
        <w:t>八、团队配置</w:t>
      </w:r>
      <w:bookmarkEnd w:id="40"/>
    </w:p>
    <w:p w14:paraId="1D0A3AA9">
      <w:pPr>
        <w:pStyle w:val="3"/>
        <w:spacing w:before="0" w:after="120" w:line="360" w:lineRule="auto"/>
      </w:pPr>
      <w:bookmarkStart w:id="41" w:name="_Toc4099"/>
      <w:r>
        <w:rPr>
          <w:rFonts w:ascii="Times New Roman" w:hAnsi="Times New Roman" w:eastAsia="黑体"/>
          <w:b/>
          <w:sz w:val="28"/>
          <w:szCs w:val="28"/>
        </w:rPr>
        <w:t>8.1 P0岗位</w:t>
      </w:r>
      <w:bookmarkEnd w:id="41"/>
    </w:p>
    <w:p w14:paraId="07BDF240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P0岗位直接决定业务能否启动。</w:t>
      </w:r>
    </w:p>
    <w:p w14:paraId="3F1BAEDC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合伙人（经营合伙人）。</w:t>
      </w:r>
      <w:r>
        <w:rPr>
          <w:rFonts w:ascii="Times New Roman" w:hAnsi="Times New Roman" w:eastAsia="宋体" w:cs="宋体"/>
          <w:sz w:val="24"/>
          <w:szCs w:val="24"/>
        </w:rPr>
        <w:t>负责业务整体推进、首发赛道选择、客户资源整合、团队管理和结果负责。作为经营合伙人，亲自接客户、亲自做诊断、亲自参与首批落地，前期是第一交付人。详见第五章。</w:t>
      </w:r>
    </w:p>
    <w:p w14:paraId="1A70C076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账号运营。</w:t>
      </w:r>
      <w:r>
        <w:rPr>
          <w:rFonts w:ascii="Times New Roman" w:hAnsi="Times New Roman" w:eastAsia="宋体" w:cs="宋体"/>
          <w:sz w:val="24"/>
          <w:szCs w:val="24"/>
        </w:rPr>
        <w:t>负责AI咨询账号矩阵的内容发布、私信回复、社群运营、留资台账。同时负责AI全自动运营号的搭建与维护，包括AI内容生成工作流、AI配音剪辑、AI私信自动回复等模块。</w:t>
      </w:r>
    </w:p>
    <w:p w14:paraId="7A1E2D0B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AI交付负责人。</w:t>
      </w:r>
      <w:r>
        <w:rPr>
          <w:rFonts w:ascii="Times New Roman" w:hAnsi="Times New Roman" w:eastAsia="宋体" w:cs="宋体"/>
          <w:sz w:val="24"/>
          <w:szCs w:val="24"/>
        </w:rPr>
        <w:t>负责判断客户场景、设计AI流程、组织实际落地、对接Token平台和后续优化。</w:t>
      </w:r>
    </w:p>
    <w:p w14:paraId="63349C5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三个P0岗位分别解决业务主导、线上获客和客户能否真正用起来三个问题。三者到位是业务启动的前提条件。</w:t>
      </w:r>
    </w:p>
    <w:p w14:paraId="383E68DF">
      <w:pPr>
        <w:pStyle w:val="3"/>
        <w:spacing w:before="0" w:after="120" w:line="360" w:lineRule="auto"/>
      </w:pPr>
      <w:bookmarkStart w:id="42" w:name="_Toc6926"/>
      <w:r>
        <w:rPr>
          <w:rFonts w:ascii="Times New Roman" w:hAnsi="Times New Roman" w:eastAsia="黑体"/>
          <w:b/>
          <w:sz w:val="28"/>
          <w:szCs w:val="28"/>
        </w:rPr>
        <w:t>8.2 P1岗位</w:t>
      </w:r>
      <w:bookmarkEnd w:id="42"/>
    </w:p>
    <w:p w14:paraId="6DD4EF7F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项目研究员。</w:t>
      </w:r>
      <w:r>
        <w:rPr>
          <w:rFonts w:ascii="Times New Roman" w:hAnsi="Times New Roman" w:eastAsia="宋体" w:cs="宋体"/>
          <w:sz w:val="24"/>
          <w:szCs w:val="24"/>
        </w:rPr>
        <w:t>负责客户行业、企业情况、业务痛点和潜在合作价值研究，重点判断客户哪些流程适合AI改造，哪些客户具备合资可能。</w:t>
      </w:r>
    </w:p>
    <w:p w14:paraId="19A42EFA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AI产品经理。</w:t>
      </w:r>
      <w:r>
        <w:rPr>
          <w:rFonts w:ascii="Times New Roman" w:hAnsi="Times New Roman" w:eastAsia="宋体" w:cs="宋体"/>
          <w:sz w:val="24"/>
          <w:szCs w:val="24"/>
        </w:rPr>
        <w:t>负责把客户需求转化为可落地的AI流程，把单次项目沉淀成可复用方案，降低后续交付成本。早期可由具备产品意识的项目负责人或合伙人本人兼任。</w:t>
      </w:r>
    </w:p>
    <w:p w14:paraId="61F23DCE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内容策划。</w:t>
      </w:r>
      <w:r>
        <w:rPr>
          <w:rFonts w:ascii="Times New Roman" w:hAnsi="Times New Roman" w:eastAsia="宋体" w:cs="宋体"/>
          <w:sz w:val="24"/>
          <w:szCs w:val="24"/>
        </w:rPr>
        <w:t>负责案例包装、短视频选题、直播脚本、资料包和行业场景内容。内容围绕真实咨询案例，少讲概念，多讲问题、过程和结果。</w:t>
      </w:r>
    </w:p>
    <w:p w14:paraId="0E087BBD">
      <w:pPr>
        <w:pStyle w:val="20"/>
        <w:numPr>
          <w:ilvl w:val="0"/>
          <w:numId w:val="0"/>
        </w:numPr>
        <w:spacing w:before="0" w:after="120" w:line="360" w:lineRule="auto"/>
        <w:ind w:leftChars="200" w:firstLineChars="200"/>
        <w:jc w:val="both"/>
      </w:pPr>
      <w:r>
        <w:rPr>
          <w:rFonts w:ascii="Times New Roman" w:hAnsi="Times New Roman" w:eastAsia="宋体" w:cs="宋体"/>
          <w:bCs/>
          <w:sz w:val="24"/>
          <w:szCs w:val="24"/>
        </w:rPr>
        <w:t>商务运营/BD。</w:t>
      </w:r>
      <w:r>
        <w:rPr>
          <w:rFonts w:ascii="Times New Roman" w:hAnsi="Times New Roman" w:eastAsia="宋体" w:cs="宋体"/>
          <w:sz w:val="24"/>
          <w:szCs w:val="24"/>
        </w:rPr>
        <w:t>负责商会、高校、产业园、推荐人和本地企业客户开发，也负责陌拜组织、线索跟进、客户沟通、活动组织和合同流程协同。</w:t>
      </w:r>
    </w:p>
    <w:p w14:paraId="507448A1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P1岗位决定业务能否从单个项目变成可复制流程。项目研究员负责判断，AI产品经理负责转化，内容策划负责传播，商务运营/BD负责线索承接和关系维护。</w:t>
      </w:r>
    </w:p>
    <w:p w14:paraId="522594D3">
      <w:pPr>
        <w:pStyle w:val="3"/>
        <w:spacing w:before="0" w:after="120" w:line="360" w:lineRule="auto"/>
      </w:pPr>
      <w:bookmarkStart w:id="43" w:name="_Toc2119"/>
      <w:r>
        <w:rPr>
          <w:rFonts w:ascii="Times New Roman" w:hAnsi="Times New Roman" w:eastAsia="黑体"/>
          <w:b/>
          <w:sz w:val="28"/>
          <w:szCs w:val="28"/>
        </w:rPr>
        <w:t>8.3 P2岗位</w:t>
      </w:r>
      <w:bookmarkEnd w:id="43"/>
    </w:p>
    <w:p w14:paraId="2F8097FA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财务、法务、人力、行政、基础技术支持由母公司中台或共享团队提供。早期不单独扩编，待客户量和交付量稳定后再补充。</w:t>
      </w:r>
    </w:p>
    <w:p w14:paraId="6F4C9490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早期团队不宜过重。最小启动配置应围绕合伙人、账号运营、AI交付负责人、项目研究员和商务运营/BD展开。AI产品经理可以先由具备产品意识的交付人员、项目负责人或合伙人兼任，待项目数量增加后再独立配置。</w:t>
      </w:r>
    </w:p>
    <w:p w14:paraId="585806C0">
      <w:pPr>
        <w:pStyle w:val="2"/>
        <w:spacing w:before="0" w:after="120" w:line="360" w:lineRule="auto"/>
      </w:pPr>
      <w:bookmarkStart w:id="44" w:name="_Toc20738"/>
      <w:r>
        <w:rPr>
          <w:rFonts w:ascii="Times New Roman" w:hAnsi="Times New Roman" w:eastAsia="黑体"/>
          <w:b/>
          <w:sz w:val="36"/>
          <w:szCs w:val="36"/>
        </w:rPr>
        <w:t>九、推进机制</w:t>
      </w:r>
      <w:bookmarkEnd w:id="44"/>
    </w:p>
    <w:p w14:paraId="64D42F2B">
      <w:pPr>
        <w:pStyle w:val="3"/>
        <w:spacing w:before="0" w:after="120" w:line="360" w:lineRule="auto"/>
        <w:rPr>
          <w:rFonts w:hint="eastAsia" w:ascii="Times New Roman" w:hAnsi="Times New Roman"/>
          <w:b/>
          <w:sz w:val="28"/>
          <w:szCs w:val="28"/>
          <w:lang w:val="en-US" w:eastAsia="zh-CN"/>
        </w:rPr>
      </w:pPr>
      <w:bookmarkStart w:id="45" w:name="_Toc21323"/>
      <w:r>
        <w:rPr>
          <w:rFonts w:ascii="Times New Roman" w:hAnsi="Times New Roman" w:eastAsia="黑体"/>
          <w:b/>
          <w:sz w:val="28"/>
          <w:szCs w:val="28"/>
        </w:rPr>
        <w:t>9.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1 下一步动作</w:t>
      </w:r>
    </w:p>
    <w:p w14:paraId="2E49527F">
      <w:pPr>
        <w:spacing w:before="0" w:after="120" w:line="360" w:lineRule="auto"/>
        <w:ind w:left="360" w:firstLineChars="200"/>
        <w:jc w:val="both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</w:rPr>
        <w:t>当前阶段不宜直接进入城市设点或大规模招商。公司应先围绕“对外展示、项目试点、能力补齐、合规准备”四件事推进，尽快形成第一个可展示、可复盘、可复制的AI改造案例。</w:t>
      </w:r>
    </w:p>
    <w:p w14:paraId="618D4C6C">
      <w:pPr>
        <w:spacing w:before="0" w:after="120" w:line="360" w:lineRule="auto"/>
        <w:ind w:left="360" w:firstLineChars="200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cs="宋体"/>
          <w:b/>
          <w:bCs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宋体"/>
          <w:b/>
          <w:bCs/>
          <w:sz w:val="24"/>
          <w:szCs w:val="24"/>
        </w:rPr>
        <w:t>建立对外展示体系。</w:t>
      </w:r>
    </w:p>
    <w:p w14:paraId="51227D4E">
      <w:pPr>
        <w:spacing w:before="0" w:after="120" w:line="360" w:lineRule="auto"/>
        <w:ind w:left="360" w:firstLineChars="200"/>
        <w:jc w:val="both"/>
        <w:rPr>
          <w:rFonts w:hint="default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</w:rPr>
        <w:t>公司应先完成一个独立官网，用于展示公司定位、AI咨询服务内容、典型应用场景、合作方式和联系方式。同步搭建小红书、抖音、公众号等内容账号体系。如需缩短冷启动周期，可以评估购买已有基础权重或垂类粉丝的成熟账号，但购买前需核查账号历史内容、粉丝质量、违规记录和行业匹配度。</w:t>
      </w:r>
    </w:p>
    <w:p w14:paraId="30517AED">
      <w:pPr>
        <w:spacing w:before="0" w:after="120" w:line="360" w:lineRule="auto"/>
        <w:ind w:left="360" w:firstLineChars="200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cs="宋体"/>
          <w:b/>
          <w:bCs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宋体"/>
          <w:b/>
          <w:bCs/>
          <w:sz w:val="24"/>
          <w:szCs w:val="24"/>
        </w:rPr>
        <w:t>从现有项目池中选择一个MVP改造案例。</w:t>
      </w:r>
    </w:p>
    <w:p w14:paraId="404275D9">
      <w:pPr>
        <w:spacing w:before="0" w:after="120" w:line="360" w:lineRule="auto"/>
        <w:ind w:left="360" w:firstLineChars="200"/>
        <w:jc w:val="both"/>
        <w:rPr>
          <w:rFonts w:hint="default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</w:rPr>
        <w:t>公司应从已有项目推荐人和项目方中，选择一个具备AI改造意愿、业务流程清晰、改造范围较小、资料较容易获得的项目作为首个MVP案例。该项目不追求完整企业级AI改造，只选择一个具体流程进行验证。</w:t>
      </w:r>
    </w:p>
    <w:p w14:paraId="0C23F63D">
      <w:pPr>
        <w:spacing w:before="0" w:after="120" w:line="360" w:lineRule="auto"/>
        <w:ind w:left="360" w:firstLineChars="200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cs="宋体"/>
          <w:b/>
          <w:bCs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宋体"/>
          <w:b/>
          <w:bCs/>
          <w:sz w:val="24"/>
          <w:szCs w:val="24"/>
        </w:rPr>
        <w:t>同步物色AI改造交付型人才和潜在合伙人。</w:t>
      </w:r>
    </w:p>
    <w:p w14:paraId="355063EB">
      <w:pPr>
        <w:spacing w:before="0" w:after="120" w:line="360" w:lineRule="auto"/>
        <w:ind w:left="360" w:firstLineChars="200"/>
        <w:jc w:val="both"/>
        <w:rPr>
          <w:rFonts w:hint="default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eastAsia="宋体" w:cs="宋体"/>
          <w:sz w:val="24"/>
          <w:szCs w:val="24"/>
        </w:rPr>
        <w:t>公司当前还没有形成成熟的企业级AI改造团队，因此人才补齐应与MVP项目同步推进。重点寻找既懂AI又懂业务、能参与交付、能理解客户流程的人。</w:t>
      </w:r>
    </w:p>
    <w:p w14:paraId="642386F5">
      <w:pPr>
        <w:spacing w:before="0" w:after="120" w:line="360" w:lineRule="auto"/>
        <w:ind w:left="360" w:firstLineChars="200"/>
        <w:jc w:val="both"/>
        <w:rPr>
          <w:rFonts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cs="宋体"/>
          <w:b/>
          <w:bCs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宋体"/>
          <w:b/>
          <w:bCs/>
          <w:sz w:val="24"/>
          <w:szCs w:val="24"/>
        </w:rPr>
        <w:t>启动中期公司设立和合规准备。</w:t>
      </w:r>
    </w:p>
    <w:p w14:paraId="0A9026AA">
      <w:pPr>
        <w:spacing w:before="0" w:after="120" w:line="360" w:lineRule="auto"/>
        <w:ind w:left="360" w:firstLineChars="200"/>
        <w:jc w:val="both"/>
        <w:rPr>
          <w:rFonts w:ascii="Times New Roman" w:hAnsi="Times New Roman" w:eastAsia="黑体"/>
          <w:b/>
          <w:sz w:val="28"/>
          <w:szCs w:val="28"/>
        </w:rPr>
      </w:pPr>
      <w:r>
        <w:rPr>
          <w:rFonts w:hint="default" w:ascii="Times New Roman" w:hAnsi="Times New Roman" w:eastAsia="宋体" w:cs="宋体"/>
          <w:sz w:val="24"/>
          <w:szCs w:val="24"/>
        </w:rPr>
        <w:t>AI咨询业务如果后续独立运营，需要提前处理主体、合同、收入确认、推荐人激励、数据安全、知识产权和Token平台表达边界等问题。该事项不影响MVP先行，但应由法务提前梳理，为后续签约、分账和合资项目转化做好准备。</w:t>
      </w:r>
    </w:p>
    <w:p w14:paraId="56D2B51F">
      <w:pPr>
        <w:pStyle w:val="3"/>
        <w:spacing w:before="0" w:after="120" w:line="360" w:lineRule="auto"/>
      </w:pPr>
      <w:r>
        <w:rPr>
          <w:rFonts w:ascii="Times New Roman" w:hAnsi="Times New Roman" w:eastAsia="黑体"/>
          <w:b/>
          <w:sz w:val="28"/>
          <w:szCs w:val="28"/>
        </w:rPr>
        <w:t>9.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2</w:t>
      </w:r>
      <w:r>
        <w:rPr>
          <w:rFonts w:ascii="Times New Roman" w:hAnsi="Times New Roman" w:eastAsia="黑体"/>
          <w:b/>
          <w:sz w:val="28"/>
          <w:szCs w:val="28"/>
        </w:rPr>
        <w:t xml:space="preserve"> 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长期</w:t>
      </w:r>
      <w:r>
        <w:rPr>
          <w:rFonts w:ascii="Times New Roman" w:hAnsi="Times New Roman" w:eastAsia="黑体"/>
          <w:b/>
          <w:sz w:val="28"/>
          <w:szCs w:val="28"/>
        </w:rPr>
        <w:t>推进阶段</w:t>
      </w:r>
      <w:bookmarkEnd w:id="45"/>
    </w:p>
    <w:p w14:paraId="12527A1C">
      <w:pPr>
        <w:spacing w:before="0" w:after="120" w:line="360" w:lineRule="auto"/>
        <w:ind w:firstLineChars="200"/>
        <w:jc w:val="both"/>
      </w:pP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后续成熟的</w:t>
      </w:r>
      <w:r>
        <w:rPr>
          <w:rFonts w:ascii="Times New Roman" w:hAnsi="Times New Roman" w:eastAsia="宋体" w:cs="宋体"/>
          <w:sz w:val="24"/>
          <w:szCs w:val="24"/>
        </w:rPr>
        <w:t>推进按七个阶段展开。</w:t>
      </w:r>
    </w:p>
    <w:p w14:paraId="3F1A89B3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 xml:space="preserve">1. 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成熟</w:t>
      </w:r>
      <w:r>
        <w:rPr>
          <w:rFonts w:ascii="Times New Roman" w:hAnsi="Times New Roman" w:eastAsia="宋体" w:cs="宋体"/>
          <w:sz w:val="24"/>
          <w:szCs w:val="24"/>
        </w:rPr>
        <w:t>团队配置。明确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一位</w:t>
      </w:r>
      <w:r>
        <w:rPr>
          <w:rFonts w:ascii="Times New Roman" w:hAnsi="Times New Roman" w:eastAsia="宋体" w:cs="宋体"/>
          <w:sz w:val="24"/>
          <w:szCs w:val="24"/>
        </w:rPr>
        <w:t>合伙人、账号运营、AI交付负责人和P1支持人员。合伙人候选必须通过AI改造实操考核。</w:t>
      </w:r>
    </w:p>
    <w:p w14:paraId="28FF1CEC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首批客户获取。通过熟人、商会、高校、产业园、陌拜和推荐人获取第一批客户。</w:t>
      </w:r>
    </w:p>
    <w:p w14:paraId="64A50962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方案和打样验证。用小场景验证客户真实需求和付费意愿。</w:t>
      </w:r>
    </w:p>
    <w:p w14:paraId="5B59824F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付费交付。形成首批收费项目，观察客户使用情况。合伙人作为第一交付人亲自参与。</w:t>
      </w:r>
    </w:p>
    <w:p w14:paraId="314BBC03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5. 推荐人池建立。筛选普通推荐人、核心推荐人和潜在合伙人候选。</w:t>
      </w:r>
    </w:p>
    <w:p w14:paraId="15D53EDD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6. 成都标杆形成。沉淀可展示案例、稳定交付方式、推荐机制和小红书四号矩阵。</w:t>
      </w:r>
    </w:p>
    <w:p w14:paraId="6FDDAB89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7. 厦门启动与全国招商准备。成都形成样板后启动厦门验证；两地都跑通后开始设计其他城市合伙人规则和招商材料。</w:t>
      </w:r>
    </w:p>
    <w:p w14:paraId="61AFA98E">
      <w:pPr>
        <w:pStyle w:val="2"/>
        <w:spacing w:before="0" w:after="120" w:line="360" w:lineRule="auto"/>
      </w:pPr>
      <w:bookmarkStart w:id="46" w:name="_Toc21660"/>
      <w:r>
        <w:rPr>
          <w:rFonts w:ascii="Times New Roman" w:hAnsi="Times New Roman" w:eastAsia="黑体"/>
          <w:b/>
          <w:sz w:val="36"/>
          <w:szCs w:val="36"/>
        </w:rPr>
        <w:t>十、落地执行工具</w:t>
      </w:r>
      <w:bookmarkEnd w:id="46"/>
    </w:p>
    <w:p w14:paraId="1A2B6C3E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本章用于把前文方案转为实际执行表单。启动期表单不宜复杂，重点是让线索、客户、交付、分级和推荐激励都能留下记录。客户能否继续服务、能否进入合资观察，应以这些记录为基础。</w:t>
      </w:r>
    </w:p>
    <w:p w14:paraId="2AB35A58">
      <w:pPr>
        <w:pStyle w:val="3"/>
        <w:spacing w:before="0" w:after="120" w:line="360" w:lineRule="auto"/>
      </w:pPr>
      <w:bookmarkStart w:id="47" w:name="_Toc11056"/>
      <w:r>
        <w:rPr>
          <w:rFonts w:ascii="Times New Roman" w:hAnsi="Times New Roman" w:eastAsia="黑体"/>
          <w:b/>
          <w:sz w:val="28"/>
          <w:szCs w:val="28"/>
        </w:rPr>
        <w:t>10.1 客户初筛表</w:t>
      </w:r>
      <w:bookmarkEnd w:id="47"/>
    </w:p>
    <w:p w14:paraId="48C77C93">
      <w:pPr>
        <w:spacing w:before="0" w:after="120" w:line="360" w:lineRule="auto"/>
        <w:jc w:val="center"/>
      </w:pPr>
      <w:r>
        <w:rPr>
          <w:rFonts w:ascii="Times New Roman" w:hAnsi="Times New Roman" w:eastAsia="宋体"/>
          <w:sz w:val="24"/>
          <w:szCs w:val="24"/>
        </w:rPr>
        <w:t>表2  客户初筛表</w:t>
      </w:r>
    </w:p>
    <w:tbl>
      <w:tblPr>
        <w:tblStyle w:val="15"/>
        <w:tblW w:w="10312" w:type="dxa"/>
        <w:tblInd w:w="-283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4424"/>
        <w:gridCol w:w="2827"/>
        <w:gridCol w:w="1456"/>
      </w:tblGrid>
      <w:tr w14:paraId="640F50A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1932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项目</w:t>
            </w:r>
          </w:p>
        </w:tc>
        <w:tc>
          <w:tcPr>
            <w:tcW w:w="44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911C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判断内容</w:t>
            </w:r>
          </w:p>
        </w:tc>
        <w:tc>
          <w:tcPr>
            <w:tcW w:w="28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DBDB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通过标准</w:t>
            </w:r>
          </w:p>
        </w:tc>
        <w:tc>
          <w:tcPr>
            <w:tcW w:w="14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8C9A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责任人</w:t>
            </w:r>
          </w:p>
        </w:tc>
      </w:tr>
      <w:tr w14:paraId="6D7306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586B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客户基本信息</w:t>
            </w:r>
          </w:p>
        </w:tc>
        <w:tc>
          <w:tcPr>
            <w:tcW w:w="44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9FD8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行业、规模、负责人、联系方式、来源</w:t>
            </w:r>
          </w:p>
        </w:tc>
        <w:tc>
          <w:tcPr>
            <w:tcW w:w="28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4461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信息完整，可进入首次沟通</w:t>
            </w:r>
          </w:p>
        </w:tc>
        <w:tc>
          <w:tcPr>
            <w:tcW w:w="14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EA86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商务运营/BD</w:t>
            </w:r>
          </w:p>
        </w:tc>
      </w:tr>
      <w:tr w14:paraId="2D77A2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72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真实需求</w:t>
            </w:r>
          </w:p>
        </w:tc>
        <w:tc>
          <w:tcPr>
            <w:tcW w:w="4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BC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客户是否能说清当前业务问题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8C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至少有一个具体场景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C2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项目研究员</w:t>
            </w:r>
          </w:p>
        </w:tc>
      </w:tr>
      <w:tr w14:paraId="61708B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44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AI改造空间</w:t>
            </w:r>
          </w:p>
        </w:tc>
        <w:tc>
          <w:tcPr>
            <w:tcW w:w="4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9E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重复劳动、销售客服、内容生产等环节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F7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可提出1至3个尝试场景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95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AI产品经理</w:t>
            </w:r>
          </w:p>
        </w:tc>
      </w:tr>
      <w:tr w14:paraId="3CFFF3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C1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数据与材料</w:t>
            </w:r>
          </w:p>
        </w:tc>
        <w:tc>
          <w:tcPr>
            <w:tcW w:w="4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D9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话术、表格、订单样例、内容素材、流程资料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87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客户愿意适度开放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85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项目研究员</w:t>
            </w:r>
          </w:p>
        </w:tc>
      </w:tr>
      <w:tr w14:paraId="208659D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20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决策与预算</w:t>
            </w:r>
          </w:p>
        </w:tc>
        <w:tc>
          <w:tcPr>
            <w:tcW w:w="4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FB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老板能否直接决策，是否接受试点预算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EF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可进入方案或打样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D4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合伙人</w:t>
            </w:r>
          </w:p>
        </w:tc>
      </w:tr>
      <w:tr w14:paraId="75B91A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6639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合资可能</w:t>
            </w:r>
          </w:p>
        </w:tc>
        <w:tc>
          <w:tcPr>
            <w:tcW w:w="44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6BD3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现金流、团队、增长空间、合规基础</w:t>
            </w:r>
          </w:p>
        </w:tc>
        <w:tc>
          <w:tcPr>
            <w:tcW w:w="28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A972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S级或A级进入观察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D2CB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合伙人</w:t>
            </w:r>
          </w:p>
        </w:tc>
      </w:tr>
    </w:tbl>
    <w:p w14:paraId="4B79BD47">
      <w:pPr>
        <w:pStyle w:val="3"/>
        <w:spacing w:before="0" w:after="120" w:line="360" w:lineRule="auto"/>
      </w:pPr>
      <w:bookmarkStart w:id="48" w:name="_Toc15484"/>
      <w:r>
        <w:rPr>
          <w:rFonts w:ascii="Times New Roman" w:hAnsi="Times New Roman" w:eastAsia="黑体"/>
          <w:b/>
          <w:sz w:val="28"/>
          <w:szCs w:val="28"/>
        </w:rPr>
        <w:t>10.2 咨询项目执行台账</w:t>
      </w:r>
      <w:bookmarkEnd w:id="48"/>
    </w:p>
    <w:p w14:paraId="64D956D7">
      <w:pPr>
        <w:spacing w:before="0" w:after="120" w:line="360" w:lineRule="auto"/>
        <w:jc w:val="center"/>
      </w:pPr>
      <w:r>
        <w:rPr>
          <w:rFonts w:ascii="Times New Roman" w:hAnsi="Times New Roman" w:eastAsia="宋体"/>
          <w:sz w:val="24"/>
          <w:szCs w:val="24"/>
        </w:rPr>
        <w:t>表3  咨询项目执行台账</w:t>
      </w:r>
    </w:p>
    <w:tbl>
      <w:tblPr>
        <w:tblStyle w:val="1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3834"/>
        <w:gridCol w:w="1556"/>
        <w:gridCol w:w="2555"/>
      </w:tblGrid>
      <w:tr w14:paraId="4E6D86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85A1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节点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386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记录内容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E0C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责任人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426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使用目的</w:t>
            </w:r>
          </w:p>
        </w:tc>
      </w:tr>
      <w:tr w14:paraId="2D05C8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93F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线索进入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6F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来源、推荐人、客户类型、初始需求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EEC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商务运营/BD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F48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确认归属和跟进优先级</w:t>
            </w:r>
          </w:p>
        </w:tc>
      </w:tr>
      <w:tr w14:paraId="4CF70B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B01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调研沟通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70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客户流程、痛点、资料清单、关键人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200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项目研究员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95B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判断是否适合AI咨询</w:t>
            </w:r>
          </w:p>
        </w:tc>
      </w:tr>
      <w:tr w14:paraId="4ADA59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C70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方案确认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9D8F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建议场景、预期效果、报价方式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C4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AI产品经理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9F0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形成可成交方案</w:t>
            </w:r>
          </w:p>
        </w:tc>
      </w:tr>
      <w:tr w14:paraId="67A002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550D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技术评估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A8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工具、数据、平台、交付边界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ED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AI交付负责人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A77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避免承诺无法落地的内容</w:t>
            </w:r>
          </w:p>
        </w:tc>
      </w:tr>
      <w:tr w14:paraId="40505B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6F7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付费或打样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508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收费金额、打样范围、客户反馈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14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合伙人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A15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验证需求和付费意愿</w:t>
            </w:r>
          </w:p>
        </w:tc>
      </w:tr>
      <w:tr w14:paraId="49B1A3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5D1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交付落地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208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实际做出的流程、使用人员、问题记录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5D3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AI交付负责人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AB2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确认客户能用</w:t>
            </w:r>
          </w:p>
        </w:tc>
      </w:tr>
      <w:tr w14:paraId="55C746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F9C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使用复盘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8C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使用频次、效率变化、客户反馈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F64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项目研究员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97B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判断持续服务价值</w:t>
            </w:r>
          </w:p>
        </w:tc>
      </w:tr>
      <w:tr w14:paraId="6AAA1DF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F16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SABC评级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9299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评级结果、依据、后续动作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59D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合伙人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124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决定是否进入合资观察</w:t>
            </w:r>
          </w:p>
        </w:tc>
      </w:tr>
    </w:tbl>
    <w:p w14:paraId="41B9CC20">
      <w:pPr>
        <w:pStyle w:val="3"/>
        <w:spacing w:before="0" w:after="120" w:line="360" w:lineRule="auto"/>
      </w:pPr>
      <w:bookmarkStart w:id="49" w:name="_Toc2928"/>
      <w:r>
        <w:rPr>
          <w:rFonts w:ascii="Times New Roman" w:hAnsi="Times New Roman" w:eastAsia="黑体"/>
          <w:b/>
          <w:sz w:val="28"/>
          <w:szCs w:val="28"/>
        </w:rPr>
        <w:t>10.3 SABC评分表</w:t>
      </w:r>
      <w:bookmarkEnd w:id="49"/>
    </w:p>
    <w:p w14:paraId="33C5CDEC">
      <w:pPr>
        <w:spacing w:before="0" w:after="120" w:line="360" w:lineRule="auto"/>
        <w:jc w:val="center"/>
      </w:pPr>
      <w:r>
        <w:rPr>
          <w:rFonts w:ascii="Times New Roman" w:hAnsi="Times New Roman" w:eastAsia="宋体"/>
          <w:sz w:val="24"/>
          <w:szCs w:val="24"/>
        </w:rPr>
        <w:t>表4  SABC评分表</w:t>
      </w:r>
    </w:p>
    <w:tbl>
      <w:tblPr>
        <w:tblStyle w:val="1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1083"/>
        <w:gridCol w:w="3864"/>
        <w:gridCol w:w="2789"/>
      </w:tblGrid>
      <w:tr w14:paraId="6A759C3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72EE3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维度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BFCC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权重建议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FB1B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观察重点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34F4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评级影响</w:t>
            </w:r>
          </w:p>
        </w:tc>
      </w:tr>
      <w:tr w14:paraId="51B9F1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61EF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业务真实性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75EF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AB58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是否有真实交易、现金流和客户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8BCD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决定是否具备基础合作价值</w:t>
            </w:r>
          </w:p>
        </w:tc>
      </w:tr>
      <w:tr w14:paraId="0C2FE9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5D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老板执行力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79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8A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响应速度、决策效率、落地配合度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60D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影响合资可控性</w:t>
            </w:r>
          </w:p>
        </w:tc>
      </w:tr>
      <w:tr w14:paraId="66479E3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C9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AI改造空间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38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A8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是否存在重复流程和可量化改善空间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B6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影响咨询和合资收益</w:t>
            </w:r>
          </w:p>
        </w:tc>
      </w:tr>
      <w:tr w14:paraId="421297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BC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数据开放意愿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D2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E8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是否愿意提供必要经营资料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7E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影响调研深度和后续判断</w:t>
            </w:r>
          </w:p>
        </w:tc>
      </w:tr>
      <w:tr w14:paraId="1592E4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71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团队配合度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14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9A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一线人员是否愿意使用新流程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D8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影响交付持续性</w:t>
            </w:r>
          </w:p>
        </w:tc>
      </w:tr>
      <w:tr w14:paraId="4F72CC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2ABB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合规风险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E5E1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6CC5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行业资质、数据、财税、劳动用工风险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08E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决定是否进入重投入</w:t>
            </w:r>
          </w:p>
        </w:tc>
      </w:tr>
    </w:tbl>
    <w:p w14:paraId="5F60F528">
      <w:pPr>
        <w:pStyle w:val="3"/>
        <w:spacing w:before="0" w:after="120" w:line="360" w:lineRule="auto"/>
      </w:pPr>
      <w:bookmarkStart w:id="50" w:name="_Toc4155"/>
      <w:r>
        <w:rPr>
          <w:rFonts w:ascii="Times New Roman" w:hAnsi="Times New Roman" w:eastAsia="黑体"/>
          <w:b/>
          <w:sz w:val="28"/>
          <w:szCs w:val="28"/>
        </w:rPr>
        <w:t>10.4 推荐人台账</w:t>
      </w:r>
      <w:bookmarkEnd w:id="50"/>
    </w:p>
    <w:p w14:paraId="1F071DC8">
      <w:pPr>
        <w:spacing w:before="0" w:after="120" w:line="360" w:lineRule="auto"/>
        <w:jc w:val="center"/>
      </w:pPr>
      <w:r>
        <w:rPr>
          <w:rFonts w:ascii="Times New Roman" w:hAnsi="Times New Roman" w:eastAsia="宋体"/>
          <w:sz w:val="24"/>
          <w:szCs w:val="24"/>
        </w:rPr>
        <w:t>表5  推荐人台账</w:t>
      </w:r>
    </w:p>
    <w:tbl>
      <w:tblPr>
        <w:tblStyle w:val="1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4525"/>
        <w:gridCol w:w="3206"/>
      </w:tblGrid>
      <w:tr w14:paraId="409D0E8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B064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记录项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7433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具体内容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CF1D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管理要求</w:t>
            </w:r>
          </w:p>
        </w:tc>
      </w:tr>
      <w:tr w14:paraId="6E2B15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2486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推荐人信息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BFD2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姓名、联系方式、来源、推荐人层级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956B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首次入库时完成</w:t>
            </w:r>
          </w:p>
        </w:tc>
      </w:tr>
      <w:tr w14:paraId="2C3007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F5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线索信息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A5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客户名称、客户类型、推荐时间、需求描述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D7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每条线索单独登记</w:t>
            </w:r>
          </w:p>
        </w:tc>
      </w:tr>
      <w:tr w14:paraId="3DE277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0C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跟进状态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45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初筛、调研、方案、成交、未成交、合资观察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5C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每次推进后更新</w:t>
            </w:r>
          </w:p>
        </w:tc>
      </w:tr>
      <w:tr w14:paraId="370161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A6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激励触发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B3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首单咨询成交、进入合资路径、收益确认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70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由商务运营/BD和财务共同确认</w:t>
            </w:r>
          </w:p>
        </w:tc>
      </w:tr>
      <w:tr w14:paraId="45A161F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94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反馈记录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CF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已反馈时间、反馈内容、下次沟通节点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82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避免推荐人长期无反馈</w:t>
            </w:r>
          </w:p>
        </w:tc>
      </w:tr>
      <w:tr w14:paraId="34540E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CBCD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二级推荐关系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6E09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A推荐B、B推荐客户或项目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FD4D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只记录一级延伸关系</w:t>
            </w:r>
          </w:p>
        </w:tc>
      </w:tr>
    </w:tbl>
    <w:p w14:paraId="3AD6C949">
      <w:pPr>
        <w:pStyle w:val="3"/>
        <w:spacing w:before="0" w:after="120" w:line="360" w:lineRule="auto"/>
      </w:pPr>
      <w:bookmarkStart w:id="51" w:name="_Toc32345"/>
      <w:r>
        <w:rPr>
          <w:rFonts w:ascii="Times New Roman" w:hAnsi="Times New Roman" w:eastAsia="黑体"/>
          <w:b/>
          <w:sz w:val="28"/>
          <w:szCs w:val="28"/>
        </w:rPr>
        <w:t>10.5 首批客户推进节奏</w:t>
      </w:r>
      <w:bookmarkEnd w:id="51"/>
    </w:p>
    <w:p w14:paraId="0E50F84C">
      <w:pPr>
        <w:spacing w:before="0" w:after="120" w:line="360" w:lineRule="auto"/>
        <w:jc w:val="center"/>
      </w:pPr>
      <w:r>
        <w:rPr>
          <w:rFonts w:ascii="Times New Roman" w:hAnsi="Times New Roman" w:eastAsia="宋体"/>
          <w:sz w:val="24"/>
          <w:szCs w:val="24"/>
        </w:rPr>
        <w:t>表6  首批客户推进节奏</w:t>
      </w:r>
    </w:p>
    <w:tbl>
      <w:tblPr>
        <w:tblStyle w:val="15"/>
        <w:tblW w:w="10116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5095"/>
        <w:gridCol w:w="3822"/>
      </w:tblGrid>
      <w:tr w14:paraId="63D910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4DD2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阶段</w:t>
            </w:r>
          </w:p>
        </w:tc>
        <w:tc>
          <w:tcPr>
            <w:tcW w:w="509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810F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主要动作</w:t>
            </w:r>
          </w:p>
        </w:tc>
        <w:tc>
          <w:tcPr>
            <w:tcW w:w="382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5199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完成标志</w:t>
            </w:r>
          </w:p>
        </w:tc>
      </w:tr>
      <w:tr w14:paraId="2146A0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3951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线索筛选</w:t>
            </w:r>
          </w:p>
        </w:tc>
        <w:tc>
          <w:tcPr>
            <w:tcW w:w="509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AC28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按客户画像初筛，剔除只想免费了解概念的客户</w:t>
            </w:r>
          </w:p>
        </w:tc>
        <w:tc>
          <w:tcPr>
            <w:tcW w:w="382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24AE7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形成可深聊客户清单</w:t>
            </w:r>
          </w:p>
        </w:tc>
      </w:tr>
      <w:tr w14:paraId="36622A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CC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初访诊断</w:t>
            </w: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0A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合伙人、项目研究员、AI产品经理共同沟通</w:t>
            </w:r>
          </w:p>
        </w:tc>
        <w:tc>
          <w:tcPr>
            <w:tcW w:w="3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A6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确认1至3个可尝试场景</w:t>
            </w:r>
          </w:p>
        </w:tc>
      </w:tr>
      <w:tr w14:paraId="443002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A3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小场景打样</w:t>
            </w: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D9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选一个最容易展示效果的场景先做</w:t>
            </w:r>
          </w:p>
        </w:tc>
        <w:tc>
          <w:tcPr>
            <w:tcW w:w="3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F2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客户能看到改造前后差异</w:t>
            </w:r>
          </w:p>
        </w:tc>
      </w:tr>
      <w:tr w14:paraId="3672E2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F1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方案报价</w:t>
            </w: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E6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明确下一步范围、价格、周期和责任边界</w:t>
            </w:r>
          </w:p>
        </w:tc>
        <w:tc>
          <w:tcPr>
            <w:tcW w:w="3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50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客户愿意进入付费环节</w:t>
            </w:r>
          </w:p>
        </w:tc>
      </w:tr>
      <w:tr w14:paraId="4DDF16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1C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付费交付</w:t>
            </w: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4E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技术人员介入，合伙人参与首批落地</w:t>
            </w:r>
          </w:p>
        </w:tc>
        <w:tc>
          <w:tcPr>
            <w:tcW w:w="3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97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客户团队开始真实使用</w:t>
            </w:r>
          </w:p>
        </w:tc>
      </w:tr>
      <w:tr w14:paraId="433747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65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复盘评级</w:t>
            </w: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2C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记录使用反馈、付费意愿、数据开放度和团队配合</w:t>
            </w:r>
          </w:p>
        </w:tc>
        <w:tc>
          <w:tcPr>
            <w:tcW w:w="3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16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完成SABC评级</w:t>
            </w:r>
          </w:p>
        </w:tc>
      </w:tr>
      <w:tr w14:paraId="6C5B57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2262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合资观察</w:t>
            </w:r>
          </w:p>
        </w:tc>
        <w:tc>
          <w:tcPr>
            <w:tcW w:w="509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E49C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仅S级和部分A级进入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FEA4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120" w:line="360" w:lineRule="auto"/>
              <w:textAlignment w:val="auto"/>
              <w:rPr>
                <w:rFonts w:ascii="Times New Roman" w:hAnsi="Times New Roman" w:eastAsia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color w:val="000000"/>
                <w:sz w:val="22"/>
                <w:szCs w:val="22"/>
              </w:rPr>
              <w:t>形成合资观察清单和下一步沟通安排</w:t>
            </w:r>
          </w:p>
        </w:tc>
      </w:tr>
    </w:tbl>
    <w:p w14:paraId="3C5AEEC7">
      <w:pPr>
        <w:pStyle w:val="2"/>
        <w:spacing w:before="0" w:after="120" w:line="360" w:lineRule="auto"/>
      </w:pPr>
      <w:bookmarkStart w:id="52" w:name="_Toc2608"/>
      <w:r>
        <w:rPr>
          <w:rFonts w:ascii="Times New Roman" w:hAnsi="Times New Roman" w:eastAsia="黑体"/>
          <w:b/>
          <w:sz w:val="36"/>
          <w:szCs w:val="36"/>
        </w:rPr>
        <w:t>十一、风险提示</w:t>
      </w:r>
      <w:bookmarkEnd w:id="52"/>
    </w:p>
    <w:p w14:paraId="7C6218E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主要风险包括：合伙人招募困难，合伙人偏离经营合伙人定位变为单纯资源型或挂名型角色，AI交付能力不足，公司缺少足够落地案例，传统咨询公司和本地服务商竞争，推荐人激励不清导致后续争议，客户效果难以量化，过早把普通咨询客户当成合资项目，全国招商过早铺开导致管理失控，Token相关表达存在政策敏感度。</w:t>
      </w:r>
    </w:p>
    <w:p w14:paraId="1333501E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应对方式包括以下几点。</w:t>
      </w:r>
    </w:p>
    <w:p w14:paraId="3D32D4BA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1. 合伙人筛选环节硬性执行AI改造实操考核，考核不通过不录用，即便候选人在资源方面表现突出。</w:t>
      </w:r>
    </w:p>
    <w:p w14:paraId="078C98F9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2. 首发赛道收窄，降低合伙人匹配难度。</w:t>
      </w:r>
    </w:p>
    <w:p w14:paraId="355B7C14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3. 合伙人长期脱离一线交付时，按股权绑定条款重新评估角色。</w:t>
      </w:r>
    </w:p>
    <w:p w14:paraId="31F05DEF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4. 先做小场景，验证后再扩展，避免承诺复杂系统交付。</w:t>
      </w:r>
    </w:p>
    <w:p w14:paraId="0B3E7B16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5. 推荐奖励通过合同和台账记录，规则一旦确定不轻易调整。</w:t>
      </w:r>
    </w:p>
    <w:p w14:paraId="091A3AA7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6. 合资判断放在AI咨询试点之后，不把普通客户当成合资对象。</w:t>
      </w:r>
    </w:p>
    <w:p w14:paraId="308F6812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7. 全国招商在成都、厦门形成案例后启动，不在标杆未成立前铺规模。</w:t>
      </w:r>
    </w:p>
    <w:p w14:paraId="3EFD27A8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8. 对外宣传只讲真实案例和实际效果，避免夸大。</w:t>
      </w:r>
    </w:p>
    <w:p w14:paraId="6AC519BC">
      <w:pPr>
        <w:spacing w:before="0" w:after="120" w:line="360" w:lineRule="auto"/>
        <w:ind w:left="360"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9. Token对外作为平台运行和服务计费能力呈现，避免过度强调金融属性。</w:t>
      </w:r>
    </w:p>
    <w:p w14:paraId="24526E42">
      <w:pPr>
        <w:spacing w:before="0" w:after="120" w:line="360" w:lineRule="auto"/>
        <w:ind w:firstLineChars="200"/>
        <w:jc w:val="both"/>
      </w:pPr>
      <w:r>
        <w:rPr>
          <w:rFonts w:ascii="Times New Roman" w:hAnsi="Times New Roman" w:eastAsia="宋体" w:cs="宋体"/>
          <w:sz w:val="24"/>
          <w:szCs w:val="24"/>
        </w:rPr>
        <w:t>风险管理的关键是节奏。先验证客户愿意付费，再验证团队能够交付，再验证推荐人能持续带来线索，最后再考虑全国招商和基金化。顺序不能反过来。新增落地执行工具后，各阶段复盘应同步回填客户初筛表、项目台账、SABC评分表和推荐人台账，保证后续复制有据可查。</w:t>
      </w:r>
    </w:p>
    <w:p w14:paraId="3D4E941E">
      <w:pPr>
        <w:pStyle w:val="2"/>
        <w:spacing w:before="0" w:after="120" w:line="360" w:lineRule="auto"/>
      </w:pPr>
      <w:bookmarkStart w:id="53" w:name="_Toc16644"/>
      <w:r>
        <w:rPr>
          <w:rFonts w:ascii="Times New Roman" w:hAnsi="Times New Roman" w:eastAsia="黑体"/>
          <w:b/>
          <w:sz w:val="36"/>
          <w:szCs w:val="36"/>
        </w:rPr>
        <w:t>附录</w:t>
      </w:r>
      <w:bookmarkEnd w:id="53"/>
    </w:p>
    <w:p w14:paraId="48CE035D">
      <w:pPr>
        <w:pStyle w:val="3"/>
        <w:spacing w:before="0" w:after="120" w:line="360" w:lineRule="auto"/>
      </w:pPr>
      <w:r>
        <w:rPr>
          <w:rFonts w:ascii="Times New Roman" w:hAnsi="Times New Roman" w:eastAsia="黑体"/>
          <w:b/>
          <w:sz w:val="28"/>
          <w:szCs w:val="28"/>
        </w:rPr>
        <w:t>附录一：资料来源与公开信息</w:t>
      </w:r>
    </w:p>
    <w:p w14:paraId="7D830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i/>
          <w:iCs/>
          <w:sz w:val="22"/>
          <w:szCs w:val="22"/>
        </w:rPr>
      </w:pPr>
      <w:r>
        <w:rPr>
          <w:rFonts w:hint="eastAsia" w:ascii="Arial" w:hAnsi="Arial" w:cs="Arial"/>
          <w:i/>
          <w:iCs/>
          <w:sz w:val="22"/>
          <w:szCs w:val="22"/>
          <w:lang w:val="en-US" w:eastAsia="zh-CN"/>
        </w:rPr>
        <w:t>1.</w:t>
      </w:r>
      <w:r>
        <w:rPr>
          <w:rFonts w:hint="default" w:ascii="Arial" w:hAnsi="Arial" w:cs="Arial"/>
          <w:i/>
          <w:iCs/>
          <w:sz w:val="22"/>
          <w:szCs w:val="22"/>
        </w:rPr>
        <w:t>企业AI服务案例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来源：Anthropic / BusinessWire，Anthropic Partners with Blackstone, Hellman &amp; Friedman, and Goldman Sachs to Launch Enterprise AI Services Firm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时间：2026年5月4日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链接：</w:t>
      </w:r>
      <w:r>
        <w:rPr>
          <w:rFonts w:hint="default" w:ascii="Arial" w:hAnsi="Arial" w:cs="Arial"/>
          <w:i/>
          <w:iCs/>
          <w:sz w:val="22"/>
          <w:szCs w:val="22"/>
        </w:rPr>
        <w:fldChar w:fldCharType="begin"/>
      </w:r>
      <w:r>
        <w:rPr>
          <w:rFonts w:hint="default" w:ascii="Arial" w:hAnsi="Arial" w:cs="Arial"/>
          <w:i/>
          <w:iCs/>
          <w:sz w:val="22"/>
          <w:szCs w:val="22"/>
        </w:rPr>
        <w:instrText xml:space="preserve"> HYPERLINK "https://www.nasdaq.com/press-release/anthropic-partners-blackstone-hellman-friedman-and-goldman-sachs-launch-enterprise-ai" \t "_blank" </w:instrText>
      </w:r>
      <w:r>
        <w:rPr>
          <w:rFonts w:hint="default" w:ascii="Arial" w:hAnsi="Arial" w:cs="Arial"/>
          <w:i/>
          <w:iCs/>
          <w:sz w:val="22"/>
          <w:szCs w:val="22"/>
        </w:rPr>
        <w:fldChar w:fldCharType="separate"/>
      </w:r>
      <w:r>
        <w:rPr>
          <w:rFonts w:hint="default" w:ascii="Arial" w:hAnsi="Arial" w:cs="Arial"/>
          <w:i/>
          <w:iCs/>
          <w:sz w:val="22"/>
          <w:szCs w:val="22"/>
        </w:rPr>
        <w:t>https://www.nasdaq.com/press-release/anthropic-partners-blackstone-hellman-friedman-and-goldman-sachs-launch-enterprise-ai</w:t>
      </w:r>
      <w:r>
        <w:rPr>
          <w:rFonts w:hint="default" w:ascii="Arial" w:hAnsi="Arial" w:cs="Arial"/>
          <w:i/>
          <w:iCs/>
          <w:sz w:val="22"/>
          <w:szCs w:val="22"/>
        </w:rPr>
        <w:fldChar w:fldCharType="end"/>
      </w:r>
    </w:p>
    <w:p w14:paraId="63310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i/>
          <w:iCs/>
          <w:sz w:val="22"/>
          <w:szCs w:val="22"/>
        </w:rPr>
      </w:pPr>
      <w:r>
        <w:rPr>
          <w:rFonts w:hint="eastAsia" w:ascii="Arial" w:hAnsi="Arial" w:cs="Arial"/>
          <w:i/>
          <w:iCs/>
          <w:sz w:val="22"/>
          <w:szCs w:val="22"/>
          <w:lang w:val="en-US" w:eastAsia="zh-CN"/>
        </w:rPr>
        <w:t>2.</w:t>
      </w:r>
      <w:r>
        <w:rPr>
          <w:rFonts w:hint="default" w:ascii="Arial" w:hAnsi="Arial" w:cs="Arial"/>
          <w:i/>
          <w:iCs/>
          <w:sz w:val="22"/>
          <w:szCs w:val="22"/>
        </w:rPr>
        <w:t>企业AI部署案例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来源：OpenAI，OpenAI launches the OpenAI Deployment Company to help businesses build around intelligence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时间：2026年5月11日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链接：</w:t>
      </w:r>
      <w:r>
        <w:rPr>
          <w:rFonts w:hint="default" w:ascii="Arial" w:hAnsi="Arial" w:cs="Arial"/>
          <w:i/>
          <w:iCs/>
          <w:sz w:val="22"/>
          <w:szCs w:val="22"/>
        </w:rPr>
        <w:fldChar w:fldCharType="begin"/>
      </w:r>
      <w:r>
        <w:rPr>
          <w:rFonts w:hint="default" w:ascii="Arial" w:hAnsi="Arial" w:cs="Arial"/>
          <w:i/>
          <w:iCs/>
          <w:sz w:val="22"/>
          <w:szCs w:val="22"/>
        </w:rPr>
        <w:instrText xml:space="preserve"> HYPERLINK "https://openai.com/index/openai-launches-the-deployment-company/" \t "_blank" </w:instrText>
      </w:r>
      <w:r>
        <w:rPr>
          <w:rFonts w:hint="default" w:ascii="Arial" w:hAnsi="Arial" w:cs="Arial"/>
          <w:i/>
          <w:iCs/>
          <w:sz w:val="22"/>
          <w:szCs w:val="22"/>
        </w:rPr>
        <w:fldChar w:fldCharType="separate"/>
      </w:r>
      <w:r>
        <w:rPr>
          <w:rFonts w:hint="default" w:ascii="Arial" w:hAnsi="Arial" w:cs="Arial"/>
          <w:i/>
          <w:iCs/>
          <w:sz w:val="22"/>
          <w:szCs w:val="22"/>
        </w:rPr>
        <w:t>https://openai.com/index/openai-launches-the-deployment-company/</w:t>
      </w:r>
      <w:r>
        <w:rPr>
          <w:rFonts w:hint="default" w:ascii="Arial" w:hAnsi="Arial" w:cs="Arial"/>
          <w:i/>
          <w:iCs/>
          <w:sz w:val="22"/>
          <w:szCs w:val="22"/>
        </w:rPr>
        <w:fldChar w:fldCharType="end"/>
      </w:r>
    </w:p>
    <w:p w14:paraId="3B9CF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i/>
          <w:iCs/>
          <w:sz w:val="22"/>
          <w:szCs w:val="22"/>
        </w:rPr>
      </w:pPr>
      <w:r>
        <w:rPr>
          <w:rFonts w:hint="eastAsia" w:ascii="Arial" w:hAnsi="Arial" w:cs="Arial"/>
          <w:i/>
          <w:iCs/>
          <w:sz w:val="22"/>
          <w:szCs w:val="22"/>
          <w:lang w:val="en-US" w:eastAsia="zh-CN"/>
        </w:rPr>
        <w:t>3.</w:t>
      </w:r>
      <w:r>
        <w:rPr>
          <w:rFonts w:hint="default" w:ascii="Arial" w:hAnsi="Arial" w:cs="Arial"/>
          <w:i/>
          <w:iCs/>
          <w:sz w:val="22"/>
          <w:szCs w:val="22"/>
        </w:rPr>
        <w:t>行业采用数据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来源：McKinsey，The State of AI: Global Survey 2025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时间：2025年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链接：</w:t>
      </w:r>
      <w:r>
        <w:rPr>
          <w:rFonts w:hint="default" w:ascii="Arial" w:hAnsi="Arial" w:cs="Arial"/>
          <w:i/>
          <w:iCs/>
          <w:sz w:val="22"/>
          <w:szCs w:val="22"/>
        </w:rPr>
        <w:fldChar w:fldCharType="begin"/>
      </w:r>
      <w:r>
        <w:rPr>
          <w:rFonts w:hint="default" w:ascii="Arial" w:hAnsi="Arial" w:cs="Arial"/>
          <w:i/>
          <w:iCs/>
          <w:sz w:val="22"/>
          <w:szCs w:val="22"/>
        </w:rPr>
        <w:instrText xml:space="preserve"> HYPERLINK "https://www.mckinsey.com/capabilities/quantumblack/our-insights/the-state-of-ai" \t "_blank" </w:instrText>
      </w:r>
      <w:r>
        <w:rPr>
          <w:rFonts w:hint="default" w:ascii="Arial" w:hAnsi="Arial" w:cs="Arial"/>
          <w:i/>
          <w:iCs/>
          <w:sz w:val="22"/>
          <w:szCs w:val="22"/>
        </w:rPr>
        <w:fldChar w:fldCharType="separate"/>
      </w:r>
      <w:r>
        <w:rPr>
          <w:rFonts w:hint="default" w:ascii="Arial" w:hAnsi="Arial" w:cs="Arial"/>
          <w:i/>
          <w:iCs/>
          <w:sz w:val="22"/>
          <w:szCs w:val="22"/>
        </w:rPr>
        <w:t>https://www.mckinsey.com/capabilities/quantumblack/our-insights/the-state-of-ai</w:t>
      </w:r>
      <w:r>
        <w:rPr>
          <w:rFonts w:hint="default" w:ascii="Arial" w:hAnsi="Arial" w:cs="Arial"/>
          <w:i/>
          <w:iCs/>
          <w:sz w:val="22"/>
          <w:szCs w:val="22"/>
        </w:rPr>
        <w:fldChar w:fldCharType="end"/>
      </w:r>
    </w:p>
    <w:p w14:paraId="43502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i/>
          <w:iCs/>
          <w:sz w:val="22"/>
          <w:szCs w:val="22"/>
        </w:rPr>
      </w:pPr>
      <w:r>
        <w:rPr>
          <w:rFonts w:hint="eastAsia" w:ascii="Arial" w:hAnsi="Arial" w:cs="Arial"/>
          <w:i/>
          <w:iCs/>
          <w:sz w:val="22"/>
          <w:szCs w:val="22"/>
          <w:lang w:val="en-US" w:eastAsia="zh-CN"/>
        </w:rPr>
        <w:t>4.</w:t>
      </w:r>
      <w:r>
        <w:rPr>
          <w:rFonts w:hint="default" w:ascii="Arial" w:hAnsi="Arial" w:cs="Arial"/>
          <w:i/>
          <w:iCs/>
          <w:sz w:val="22"/>
          <w:szCs w:val="22"/>
        </w:rPr>
        <w:t>AI价值差距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来源：BCG，Are You Generating Value from AI? The Widening Gap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时间：2025年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链接：</w:t>
      </w:r>
      <w:r>
        <w:rPr>
          <w:rFonts w:hint="default" w:ascii="Arial" w:hAnsi="Arial" w:cs="Arial"/>
          <w:i/>
          <w:iCs/>
          <w:sz w:val="22"/>
          <w:szCs w:val="22"/>
        </w:rPr>
        <w:fldChar w:fldCharType="begin"/>
      </w:r>
      <w:r>
        <w:rPr>
          <w:rFonts w:hint="default" w:ascii="Arial" w:hAnsi="Arial" w:cs="Arial"/>
          <w:i/>
          <w:iCs/>
          <w:sz w:val="22"/>
          <w:szCs w:val="22"/>
        </w:rPr>
        <w:instrText xml:space="preserve"> HYPERLINK "https://www.bcg.com/publications/2025/are-you-generating-value-from-ai-the-widening-gap" \t "_blank" </w:instrText>
      </w:r>
      <w:r>
        <w:rPr>
          <w:rFonts w:hint="default" w:ascii="Arial" w:hAnsi="Arial" w:cs="Arial"/>
          <w:i/>
          <w:iCs/>
          <w:sz w:val="22"/>
          <w:szCs w:val="22"/>
        </w:rPr>
        <w:fldChar w:fldCharType="separate"/>
      </w:r>
      <w:r>
        <w:rPr>
          <w:rFonts w:hint="default" w:ascii="Arial" w:hAnsi="Arial" w:cs="Arial"/>
          <w:i/>
          <w:iCs/>
          <w:sz w:val="22"/>
          <w:szCs w:val="22"/>
        </w:rPr>
        <w:t>https://www.bcg.com/publications/2025/are-you-generating-value-from-ai-the-widening-gap</w:t>
      </w:r>
      <w:r>
        <w:rPr>
          <w:rFonts w:hint="default" w:ascii="Arial" w:hAnsi="Arial" w:cs="Arial"/>
          <w:i/>
          <w:iCs/>
          <w:sz w:val="22"/>
          <w:szCs w:val="22"/>
        </w:rPr>
        <w:fldChar w:fldCharType="end"/>
      </w:r>
    </w:p>
    <w:p w14:paraId="44909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i/>
          <w:iCs/>
          <w:sz w:val="22"/>
          <w:szCs w:val="22"/>
        </w:rPr>
      </w:pPr>
      <w:r>
        <w:rPr>
          <w:rFonts w:hint="eastAsia" w:ascii="Arial" w:hAnsi="Arial" w:cs="Arial"/>
          <w:i/>
          <w:iCs/>
          <w:sz w:val="22"/>
          <w:szCs w:val="22"/>
          <w:lang w:val="en-US" w:eastAsia="zh-CN"/>
        </w:rPr>
        <w:t>5.</w:t>
      </w:r>
      <w:r>
        <w:rPr>
          <w:rFonts w:hint="default" w:ascii="Arial" w:hAnsi="Arial" w:cs="Arial"/>
          <w:i/>
          <w:iCs/>
          <w:sz w:val="22"/>
          <w:szCs w:val="22"/>
        </w:rPr>
        <w:t>企业AI准备度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来源：Deloitte，The State of AI in the Enterprise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时间：2026年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链接：</w:t>
      </w:r>
      <w:r>
        <w:rPr>
          <w:rFonts w:hint="default" w:ascii="Arial" w:hAnsi="Arial" w:cs="Arial"/>
          <w:i/>
          <w:iCs/>
          <w:sz w:val="22"/>
          <w:szCs w:val="22"/>
        </w:rPr>
        <w:fldChar w:fldCharType="begin"/>
      </w:r>
      <w:r>
        <w:rPr>
          <w:rFonts w:hint="default" w:ascii="Arial" w:hAnsi="Arial" w:cs="Arial"/>
          <w:i/>
          <w:iCs/>
          <w:sz w:val="22"/>
          <w:szCs w:val="22"/>
        </w:rPr>
        <w:instrText xml:space="preserve"> HYPERLINK "https://www.deloitte.com/us/en/what-we-do/capabilities/applied-artificial-intelligence/content/state-of-generative-ai-in-enterprise.html" \t "_blank" </w:instrText>
      </w:r>
      <w:r>
        <w:rPr>
          <w:rFonts w:hint="default" w:ascii="Arial" w:hAnsi="Arial" w:cs="Arial"/>
          <w:i/>
          <w:iCs/>
          <w:sz w:val="22"/>
          <w:szCs w:val="22"/>
        </w:rPr>
        <w:fldChar w:fldCharType="separate"/>
      </w:r>
      <w:r>
        <w:rPr>
          <w:rFonts w:hint="default" w:ascii="Arial" w:hAnsi="Arial" w:cs="Arial"/>
          <w:i/>
          <w:iCs/>
          <w:sz w:val="22"/>
          <w:szCs w:val="22"/>
        </w:rPr>
        <w:t>https://www.deloitte.com/us/en/what-we-do/capabilities/applied-artificial-intelligence/content/state-of-generative-ai-in-enterprise.html</w:t>
      </w:r>
      <w:r>
        <w:rPr>
          <w:rFonts w:hint="default" w:ascii="Arial" w:hAnsi="Arial" w:cs="Arial"/>
          <w:i/>
          <w:iCs/>
          <w:sz w:val="22"/>
          <w:szCs w:val="22"/>
        </w:rPr>
        <w:fldChar w:fldCharType="end"/>
      </w:r>
    </w:p>
    <w:p w14:paraId="73EEA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黑体"/>
          <w:b/>
          <w:sz w:val="28"/>
          <w:szCs w:val="28"/>
        </w:rPr>
      </w:pPr>
      <w:r>
        <w:rPr>
          <w:rFonts w:hint="eastAsia" w:ascii="Arial" w:hAnsi="Arial" w:cs="Arial"/>
          <w:i/>
          <w:iCs/>
          <w:sz w:val="22"/>
          <w:szCs w:val="22"/>
          <w:lang w:val="en-US" w:eastAsia="zh-CN"/>
        </w:rPr>
        <w:t>6.</w:t>
      </w:r>
      <w:r>
        <w:rPr>
          <w:rFonts w:hint="default" w:ascii="Arial" w:hAnsi="Arial" w:cs="Arial"/>
          <w:i/>
          <w:iCs/>
          <w:sz w:val="22"/>
          <w:szCs w:val="22"/>
        </w:rPr>
        <w:t>AI生产化瓶颈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来源：Gartner，AI Maturity Matters: Proportion of AI and GenAI Prototypes Making It Into Production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时间：2025年</w:t>
      </w:r>
      <w:r>
        <w:rPr>
          <w:rFonts w:hint="default" w:ascii="Arial" w:hAnsi="Arial" w:cs="Arial"/>
          <w:i/>
          <w:iCs/>
          <w:sz w:val="22"/>
          <w:szCs w:val="22"/>
        </w:rPr>
        <w:br w:type="textWrapping"/>
      </w:r>
      <w:r>
        <w:rPr>
          <w:rFonts w:hint="default" w:ascii="Arial" w:hAnsi="Arial" w:cs="Arial"/>
          <w:i/>
          <w:iCs/>
          <w:sz w:val="22"/>
          <w:szCs w:val="22"/>
        </w:rPr>
        <w:t>链接：</w:t>
      </w:r>
      <w:r>
        <w:rPr>
          <w:rFonts w:hint="default" w:ascii="Arial" w:hAnsi="Arial" w:cs="Arial"/>
          <w:i/>
          <w:iCs/>
          <w:sz w:val="22"/>
          <w:szCs w:val="22"/>
        </w:rPr>
        <w:fldChar w:fldCharType="begin"/>
      </w:r>
      <w:r>
        <w:rPr>
          <w:rFonts w:hint="default" w:ascii="Arial" w:hAnsi="Arial" w:cs="Arial"/>
          <w:i/>
          <w:iCs/>
          <w:sz w:val="22"/>
          <w:szCs w:val="22"/>
        </w:rPr>
        <w:instrText xml:space="preserve"> HYPERLINK "https://www.gartner.com/en/documents/6587902" \t "_blank" </w:instrText>
      </w:r>
      <w:r>
        <w:rPr>
          <w:rFonts w:hint="default" w:ascii="Arial" w:hAnsi="Arial" w:cs="Arial"/>
          <w:i/>
          <w:iCs/>
          <w:sz w:val="22"/>
          <w:szCs w:val="22"/>
        </w:rPr>
        <w:fldChar w:fldCharType="separate"/>
      </w:r>
      <w:r>
        <w:rPr>
          <w:rFonts w:hint="default" w:ascii="Arial" w:hAnsi="Arial" w:cs="Arial"/>
          <w:i/>
          <w:iCs/>
          <w:sz w:val="22"/>
          <w:szCs w:val="22"/>
        </w:rPr>
        <w:t>https://www.gartner.com/en/documents/6587902</w:t>
      </w:r>
      <w:r>
        <w:rPr>
          <w:rFonts w:hint="default" w:ascii="Arial" w:hAnsi="Arial" w:cs="Arial"/>
          <w:i/>
          <w:iCs/>
          <w:sz w:val="22"/>
          <w:szCs w:val="22"/>
        </w:rPr>
        <w:fldChar w:fldCharType="end"/>
      </w:r>
      <w:bookmarkStart w:id="54" w:name="_Toc29397"/>
    </w:p>
    <w:p w14:paraId="1A0EC2C1">
      <w:pPr>
        <w:pStyle w:val="3"/>
        <w:spacing w:before="0" w:after="120" w:line="360" w:lineRule="auto"/>
      </w:pPr>
      <w:r>
        <w:rPr>
          <w:rFonts w:ascii="Times New Roman" w:hAnsi="Times New Roman" w:eastAsia="黑体"/>
          <w:b/>
          <w:sz w:val="28"/>
          <w:szCs w:val="28"/>
        </w:rPr>
        <w:t>附录二：对标账号调研素材</w:t>
      </w:r>
      <w:bookmarkEnd w:id="54"/>
    </w:p>
    <w:p w14:paraId="7D8B9EF6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本部分用于沉淀小红书及相关内容平台上的对标样本，支持第七章线上运营策略。账号素材仅作为定位、选题、转化路径和背书方式参考，不直接复制其表达和承诺。</w:t>
      </w:r>
    </w:p>
    <w:p w14:paraId="6BBD7042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1. 刘翔老师（高端企业培训派）</w:t>
      </w:r>
    </w:p>
    <w:p w14:paraId="5D117417">
      <w:pPr>
        <w:jc w:val="center"/>
      </w:pPr>
      <w:r>
        <w:drawing>
          <wp:inline distT="0" distB="0" distL="114300" distR="114300">
            <wp:extent cx="4114800" cy="328104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ACF2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i/>
          <w:color w:val="666666"/>
          <w:sz w:val="24"/>
          <w:szCs w:val="24"/>
        </w:rPr>
        <w:t>图 B-1：刘翔老师 AI 工具落地多场景实战专家页面</w:t>
      </w:r>
    </w:p>
    <w:p w14:paraId="7D6E31A0"/>
    <w:p w14:paraId="1465F9EF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2. 杭州 AI 工坊（社区/孵化派）</w:t>
      </w:r>
    </w:p>
    <w:p w14:paraId="37DDF411">
      <w:pPr>
        <w:jc w:val="center"/>
      </w:pPr>
      <w:r>
        <w:drawing>
          <wp:inline distT="0" distB="0" distL="114300" distR="114300">
            <wp:extent cx="4114800" cy="24504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6350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i/>
          <w:color w:val="666666"/>
          <w:sz w:val="24"/>
          <w:szCs w:val="24"/>
        </w:rPr>
        <w:t>图 B-2：杭州 AI 工坊创业加速营/Demo Day 等内容</w:t>
      </w:r>
    </w:p>
    <w:p w14:paraId="1EB39583"/>
    <w:p w14:paraId="6E00FB5D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3. 桑梓 AI 企业培训（高端企业培训派）</w:t>
      </w:r>
    </w:p>
    <w:p w14:paraId="2A1E3AB3">
      <w:pPr>
        <w:jc w:val="center"/>
      </w:pPr>
      <w:r>
        <w:drawing>
          <wp:inline distT="0" distB="0" distL="114300" distR="114300">
            <wp:extent cx="4114800" cy="24180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40CC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i/>
          <w:color w:val="666666"/>
          <w:sz w:val="24"/>
          <w:szCs w:val="24"/>
        </w:rPr>
        <w:t>图 B-3：桑梓 AI 企业培训世界 500 强客户线下培训页面</w:t>
      </w:r>
    </w:p>
    <w:p w14:paraId="4C798E69"/>
    <w:p w14:paraId="32786A4F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4. 丽观未来(中小企业赋能派)</w:t>
      </w:r>
    </w:p>
    <w:p w14:paraId="08A00244">
      <w:pPr>
        <w:jc w:val="center"/>
      </w:pPr>
      <w:r>
        <w:drawing>
          <wp:inline distT="0" distB="0" distL="114300" distR="114300">
            <wp:extent cx="4114800" cy="23018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67A4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i/>
          <w:color w:val="666666"/>
          <w:sz w:val="24"/>
          <w:szCs w:val="24"/>
        </w:rPr>
        <w:t>图 B-4：丽观未来数字员工、企业转型相关内容页面</w:t>
      </w:r>
    </w:p>
    <w:p w14:paraId="4B89E2E3"/>
    <w:p w14:paraId="41D4BADA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5. 桥见未来（工具/场景派）</w:t>
      </w:r>
    </w:p>
    <w:p w14:paraId="330ECCED">
      <w:pPr>
        <w:jc w:val="center"/>
      </w:pPr>
      <w:r>
        <w:drawing>
          <wp:inline distT="0" distB="0" distL="114300" distR="114300">
            <wp:extent cx="4114800" cy="2554605"/>
            <wp:effectExtent l="0" t="0" r="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C36D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i/>
          <w:color w:val="666666"/>
          <w:sz w:val="24"/>
          <w:szCs w:val="24"/>
        </w:rPr>
        <w:t>图 B-5：桥见未来 AI 获客 + 智能体运营内容页面</w:t>
      </w:r>
    </w:p>
    <w:p w14:paraId="1D801092"/>
    <w:p w14:paraId="683473AC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6. 饶秋 1023（个人 IP 专家派）</w:t>
      </w:r>
    </w:p>
    <w:p w14:paraId="0EA53442">
      <w:pPr>
        <w:jc w:val="center"/>
      </w:pPr>
      <w:r>
        <w:drawing>
          <wp:inline distT="0" distB="0" distL="114300" distR="114300">
            <wp:extent cx="4114800" cy="2592070"/>
            <wp:effectExtent l="0" t="0" r="0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556C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i/>
          <w:color w:val="666666"/>
          <w:sz w:val="24"/>
          <w:szCs w:val="24"/>
        </w:rPr>
        <w:t>图 B-6：饶秋 1023 上市公司高管背书 + AI 内容分享页面</w:t>
      </w:r>
    </w:p>
    <w:p w14:paraId="73C44757"/>
    <w:p w14:paraId="4AADF187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7. 金妮 AI 提效（工具/场景派）</w:t>
      </w:r>
    </w:p>
    <w:p w14:paraId="48EE8534">
      <w:pPr>
        <w:jc w:val="center"/>
      </w:pPr>
      <w:r>
        <w:drawing>
          <wp:inline distT="0" distB="0" distL="114300" distR="114300">
            <wp:extent cx="4114800" cy="2276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060E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i/>
          <w:color w:val="666666"/>
          <w:sz w:val="24"/>
          <w:szCs w:val="24"/>
        </w:rPr>
        <w:t>图 B-7：金妮 AI 提效具体 AI 工具测评/场景应用页面</w:t>
      </w:r>
    </w:p>
    <w:p w14:paraId="24289559"/>
    <w:p w14:paraId="4AD31EEB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8. 老高商业（中小企业赋能派）</w:t>
      </w:r>
    </w:p>
    <w:p w14:paraId="780F0175">
      <w:pPr>
        <w:jc w:val="center"/>
      </w:pPr>
      <w:r>
        <w:drawing>
          <wp:inline distT="0" distB="0" distL="114300" distR="114300">
            <wp:extent cx="4114800" cy="2592070"/>
            <wp:effectExtent l="0" t="0" r="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5DAD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i/>
          <w:color w:val="666666"/>
          <w:sz w:val="24"/>
          <w:szCs w:val="24"/>
        </w:rPr>
        <w:t>图 B-8：老高商业 50 万私域粉丝、AI 赋能传统行业页面</w:t>
      </w:r>
    </w:p>
    <w:p w14:paraId="5110E04B">
      <w:pPr>
        <w:pStyle w:val="3"/>
        <w:numPr>
          <w:ilvl w:val="0"/>
          <w:numId w:val="0"/>
        </w:numPr>
        <w:spacing w:before="0" w:after="120" w:line="360" w:lineRule="auto"/>
        <w:rPr>
          <w:rStyle w:val="23"/>
          <w:rFonts w:hint="eastAsia" w:ascii="Times New Roman" w:hAnsi="Times New Roman"/>
          <w:b/>
          <w:bCs w:val="0"/>
          <w:sz w:val="28"/>
          <w:szCs w:val="28"/>
          <w:lang w:val="en-US" w:eastAsia="zh-CN"/>
        </w:rPr>
      </w:pPr>
      <w:bookmarkStart w:id="55" w:name="_Toc14032"/>
      <w:r>
        <w:rPr>
          <w:rStyle w:val="23"/>
          <w:rFonts w:hint="eastAsia" w:ascii="Times New Roman" w:hAnsi="Times New Roman" w:eastAsia="黑体"/>
          <w:b/>
          <w:bCs w:val="0"/>
          <w:sz w:val="28"/>
          <w:szCs w:val="28"/>
          <w:lang w:val="en-US" w:eastAsia="zh-CN"/>
        </w:rPr>
        <w:t>附录</w:t>
      </w:r>
      <w:r>
        <w:rPr>
          <w:rStyle w:val="23"/>
          <w:rFonts w:hint="eastAsia" w:ascii="Times New Roman" w:hAnsi="Times New Roman"/>
          <w:b/>
          <w:bCs w:val="0"/>
          <w:sz w:val="28"/>
          <w:szCs w:val="28"/>
          <w:lang w:val="en-US" w:eastAsia="zh-CN"/>
        </w:rPr>
        <w:t>三</w:t>
      </w:r>
      <w:r>
        <w:rPr>
          <w:rStyle w:val="23"/>
          <w:rFonts w:hint="eastAsia" w:ascii="Times New Roman" w:hAnsi="Times New Roman" w:eastAsia="黑体"/>
          <w:b/>
          <w:bCs w:val="0"/>
          <w:sz w:val="28"/>
          <w:szCs w:val="28"/>
          <w:lang w:val="en-US" w:eastAsia="zh-CN"/>
        </w:rPr>
        <w:t>：</w:t>
      </w:r>
      <w:r>
        <w:rPr>
          <w:rStyle w:val="23"/>
          <w:rFonts w:hint="eastAsia" w:ascii="Times New Roman" w:hAnsi="Times New Roman"/>
          <w:b/>
          <w:bCs w:val="0"/>
          <w:sz w:val="28"/>
          <w:szCs w:val="28"/>
          <w:lang w:val="en-US" w:eastAsia="zh-CN"/>
        </w:rPr>
        <w:t>智能体切入参考</w:t>
      </w:r>
    </w:p>
    <w:p w14:paraId="48FD7DFB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951355" cy="3256280"/>
            <wp:effectExtent l="0" t="0" r="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t="8206" r="-3136" b="3789"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325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28800" cy="3173730"/>
            <wp:effectExtent l="0" t="0" r="0" b="7620"/>
            <wp:docPr id="1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t="7583" r="-1834" b="102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173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28800" cy="3173730"/>
            <wp:effectExtent l="0" t="0" r="0" b="7620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t="7583" r="-1834" b="102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173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8015" cy="3255645"/>
            <wp:effectExtent l="0" t="0" r="0" b="1905"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 t="6946" r="-3864" b="2943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3255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1681EC">
      <w:pPr>
        <w:bidi w:val="0"/>
        <w:rPr>
          <w:rStyle w:val="23"/>
          <w:rFonts w:hint="eastAsia" w:ascii="Times New Roman" w:hAnsi="Times New Roman" w:eastAsia="黑体"/>
          <w:b/>
          <w:bCs w:val="0"/>
          <w:sz w:val="28"/>
          <w:szCs w:val="28"/>
          <w:lang w:val="en-US" w:eastAsia="zh-CN"/>
        </w:rPr>
      </w:pPr>
      <w:r>
        <w:rPr>
          <w:rFonts w:hint="eastAsia"/>
          <w:i/>
          <w:iCs/>
          <w:lang w:val="en-US" w:eastAsia="zh-CN"/>
        </w:rPr>
        <w:t>来自淘宝商家</w:t>
      </w:r>
    </w:p>
    <w:p w14:paraId="425A985A">
      <w:pPr>
        <w:pStyle w:val="3"/>
        <w:numPr>
          <w:ilvl w:val="0"/>
          <w:numId w:val="0"/>
        </w:numPr>
        <w:spacing w:before="0" w:after="120" w:line="360" w:lineRule="auto"/>
        <w:rPr>
          <w:rStyle w:val="24"/>
          <w:b/>
          <w:bCs w:val="0"/>
        </w:rPr>
      </w:pPr>
      <w:r>
        <w:rPr>
          <w:rStyle w:val="23"/>
          <w:rFonts w:hint="eastAsia" w:ascii="Times New Roman" w:hAnsi="Times New Roman" w:eastAsia="黑体"/>
          <w:b/>
          <w:bCs w:val="0"/>
          <w:sz w:val="28"/>
          <w:szCs w:val="28"/>
          <w:lang w:val="en-US" w:eastAsia="zh-CN"/>
        </w:rPr>
        <w:t>附录</w:t>
      </w:r>
      <w:r>
        <w:rPr>
          <w:rStyle w:val="23"/>
          <w:rFonts w:hint="eastAsia" w:ascii="Times New Roman" w:hAnsi="Times New Roman"/>
          <w:b/>
          <w:bCs w:val="0"/>
          <w:sz w:val="28"/>
          <w:szCs w:val="28"/>
          <w:lang w:val="en-US" w:eastAsia="zh-CN"/>
        </w:rPr>
        <w:t>四</w:t>
      </w:r>
      <w:r>
        <w:rPr>
          <w:rStyle w:val="23"/>
          <w:rFonts w:hint="eastAsia" w:ascii="Times New Roman" w:hAnsi="Times New Roman" w:eastAsia="黑体"/>
          <w:b/>
          <w:bCs w:val="0"/>
          <w:sz w:val="28"/>
          <w:szCs w:val="28"/>
          <w:lang w:val="en-US" w:eastAsia="zh-CN"/>
        </w:rPr>
        <w:t>：</w:t>
      </w:r>
      <w:r>
        <w:rPr>
          <w:rStyle w:val="23"/>
          <w:rFonts w:hint="eastAsia" w:ascii="Times New Roman" w:hAnsi="Times New Roman"/>
          <w:b/>
          <w:bCs w:val="0"/>
          <w:sz w:val="28"/>
          <w:szCs w:val="28"/>
          <w:lang w:val="en-US" w:eastAsia="zh-CN"/>
        </w:rPr>
        <w:t>包装</w:t>
      </w:r>
      <w:r>
        <w:rPr>
          <w:rStyle w:val="23"/>
          <w:rFonts w:hint="eastAsia" w:ascii="Times New Roman" w:hAnsi="Times New Roman" w:eastAsia="黑体"/>
          <w:b/>
          <w:bCs w:val="0"/>
          <w:sz w:val="28"/>
          <w:szCs w:val="28"/>
          <w:lang w:val="en-US" w:eastAsia="zh-CN"/>
        </w:rPr>
        <w:t>案例素材</w:t>
      </w:r>
      <w:bookmarkEnd w:id="55"/>
    </w:p>
    <w:p w14:paraId="535E6BDC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本部分案例用于说明AI咨询可进入的典型业务场景和方案方向。对外使用前应区分真实案例、脱敏案例和方案示例；尚未完成真实交付验证的内容，不宜作为已落地成果宣传。</w:t>
      </w:r>
    </w:p>
    <w:p w14:paraId="7D0E6479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bookmarkStart w:id="56" w:name="_Toc7492"/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C.1 案例一：某白酒品牌经销商智能管理升级项目</w:t>
      </w:r>
      <w:bookmarkEnd w:id="56"/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51023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940A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项目信息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CC3E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详情</w:t>
            </w:r>
          </w:p>
        </w:tc>
      </w:tr>
      <w:tr w14:paraId="57FBA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222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客户行业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940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白酒生产与分销（年营收约 2.8 亿元，全国经销商 480+）</w:t>
            </w:r>
          </w:p>
        </w:tc>
      </w:tr>
      <w:tr w14:paraId="7CA8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0F0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项目周期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483A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一期建设 12 周，持续迭代优化</w:t>
            </w:r>
          </w:p>
        </w:tc>
      </w:tr>
      <w:tr w14:paraId="2EA3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E6A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服务范围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1EE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经销商管理全流程 AI 升级（招商、管控、激励、培训）</w:t>
            </w:r>
          </w:p>
        </w:tc>
      </w:tr>
      <w:tr w14:paraId="01A9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CD2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核心交付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368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Agent 系统 + 数据管理后台 + 运营 SOP 手册</w:t>
            </w:r>
          </w:p>
        </w:tc>
      </w:tr>
    </w:tbl>
    <w:p w14:paraId="380BDDC8">
      <w:pPr>
        <w:pStyle w:val="4"/>
        <w:bidi w:val="0"/>
        <w:spacing w:before="0" w:after="120" w:line="360" w:lineRule="auto"/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C.1.1 客户背景与业务现状</w:t>
      </w:r>
    </w:p>
    <w:p w14:paraId="4BA22CC0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该客户为中国中部某知名白酒品牌，主营中高端浓香型白酒，产品线覆盖从 68 元到 1680 元多个价位段。全国范围内拥有 480 余家各级经销商，其中省级总代理 12 家、地市级经销商 86 家、县域/终端经销商 380 余家。近年来随着行业竞争加剧和渠道下沉趋势明显，经销商体系的管理复杂度急剧上升。</w:t>
      </w:r>
    </w:p>
    <w:p w14:paraId="6E160B04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C.1.2 核心痛点诊断</w:t>
      </w:r>
    </w:p>
    <w:p w14:paraId="76275C63">
      <w:pPr>
        <w:pStyle w:val="5"/>
        <w:bidi w:val="0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痛点一：经销商分级管理粗放，缺乏动态评估机制</w:t>
      </w:r>
    </w:p>
    <w:p w14:paraId="0AA206C7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原有经销商管理体系仅按年度销量进行简单分级（A/B/C 三级），评估周期为每年一次，无法及时识别经销商的经营波动、市场变化和潜在风险。近两年出现 3 起省级总代理突然断货事件，均因市场部未能提前发现经销商的库存异常和回款滞后问题。</w:t>
      </w:r>
    </w:p>
    <w:p w14:paraId="4E308A42">
      <w:pPr>
        <w:pStyle w:val="5"/>
        <w:bidi w:val="0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痛点二：新经销商招募依赖人脉，转化率低</w:t>
      </w:r>
    </w:p>
    <w:p w14:paraId="53DDB749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招商团队共 8 人，年均新增经销商约 35 家，但有效经营率仅 58%。招商主要依赖行业展会、熟人介绍和线下拜访，缺乏系统性的线索管理和跟进机制。招商经理反馈：“我们每年跑 20 多场展会，收回上千张名片，但最终成功转化的不到 15%。大量线索在 Excel 表格里躁着，没人跟进。”</w:t>
      </w:r>
    </w:p>
    <w:p w14:paraId="75E4ECC3">
      <w:pPr>
        <w:pStyle w:val="5"/>
        <w:bidi w:val="0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痛点三：经销商培训与支持体系薄弱</w:t>
      </w:r>
    </w:p>
    <w:p w14:paraId="76A17A27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全国 480 家经销商的培训仅依赖每年两次线下大会和不定期的微信群通知。新品上市政策、促销方案、陈列标准等信息传达链条过长，从总部到终端经销商平均需要 7–14 天，且信息失真率较高。</w:t>
      </w:r>
    </w:p>
    <w:p w14:paraId="5738204B">
      <w:pPr>
        <w:pStyle w:val="4"/>
        <w:bidi w:val="0"/>
        <w:spacing w:before="0" w:after="120" w:line="360" w:lineRule="auto"/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C.1.3 技术方案设计</w:t>
      </w:r>
    </w:p>
    <w:p w14:paraId="7DAFB535">
      <w:pPr>
        <w:bidi w:val="0"/>
        <w:spacing w:before="0" w:after="120" w:line="360" w:lineRule="auto"/>
        <w:ind w:firstLineChars="200"/>
        <w:rPr>
          <w:b/>
          <w:bCs/>
        </w:rPr>
      </w:pPr>
      <w:r>
        <w:rPr>
          <w:rFonts w:ascii="Times New Roman" w:hAnsi="Times New Roman" w:eastAsia="宋体"/>
          <w:bCs/>
          <w:sz w:val="24"/>
          <w:szCs w:val="24"/>
        </w:rPr>
        <w:t>核心架构：“三个 Agent + 一个中台”</w:t>
      </w:r>
    </w:p>
    <w:p w14:paraId="2C0941C3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我们为客户设计了以 Agent 为核心的智能经销商管理体系，整体架构包含三个业务 Agent 和一个数据中台：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3237"/>
        <w:gridCol w:w="4360"/>
      </w:tblGrid>
      <w:tr w14:paraId="61518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AD3F9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Agent 名称</w:t>
            </w:r>
          </w:p>
        </w:tc>
        <w:tc>
          <w:tcPr>
            <w:tcW w:w="32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2363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核心功能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C46A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技术实现</w:t>
            </w:r>
          </w:p>
        </w:tc>
      </w:tr>
      <w:tr w14:paraId="39F4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003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经销商健康度评估 Agent</w:t>
            </w:r>
          </w:p>
        </w:tc>
        <w:tc>
          <w:tcPr>
            <w:tcW w:w="32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73F9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多维度实时评分（销售达成、回款周期、库存周转、终端覆盖、客诉率），自动触发预警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15A7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对接 ERP + CRM 数据，基于 LLM 的多因子加权评分模型，设置红/黄/绿三级预警规则</w:t>
            </w:r>
          </w:p>
        </w:tc>
      </w:tr>
      <w:tr w14:paraId="0A9A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E68E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智能招商 Agent</w:t>
            </w:r>
          </w:p>
        </w:tc>
        <w:tc>
          <w:tcPr>
            <w:tcW w:w="32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FD3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线索自动采集、意向度评估、跟进策略推荐、招商话术生成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619D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多渠道爬取 + NLP 意向分析 + 自定义 Prompt 模板，支持企微/钉钉推送</w:t>
            </w:r>
          </w:p>
        </w:tc>
      </w:tr>
      <w:tr w14:paraId="65B5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D20D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经销商赋能 Agent</w:t>
            </w:r>
          </w:p>
        </w:tc>
        <w:tc>
          <w:tcPr>
            <w:tcW w:w="32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69B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智能问答、政策查询、培训内容推送、新品上市指南自动生成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DB3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基于 RAG 的知识库（导入历年政策文档、培训资料、产品手册），对接微信小程序</w:t>
            </w:r>
          </w:p>
        </w:tc>
      </w:tr>
    </w:tbl>
    <w:p w14:paraId="7ABAB5BE">
      <w:pPr>
        <w:bidi w:val="0"/>
        <w:spacing w:before="0" w:after="120" w:line="360" w:lineRule="auto"/>
        <w:ind w:firstLineChars="200"/>
        <w:rPr>
          <w:b/>
          <w:bCs/>
        </w:rPr>
      </w:pPr>
      <w:r>
        <w:rPr>
          <w:rFonts w:ascii="Times New Roman" w:hAnsi="Times New Roman" w:eastAsia="宋体"/>
          <w:bCs/>
          <w:sz w:val="24"/>
          <w:szCs w:val="24"/>
        </w:rPr>
        <w:t>数据中台架构</w:t>
      </w:r>
    </w:p>
    <w:p w14:paraId="75EA6EC2">
      <w:pPr>
        <w:bidi w:val="0"/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数据中台作为三个 Agent 的统一数据底座，负责数据采集、清洗、存储和可视化展示：</w:t>
      </w:r>
    </w:p>
    <w:p w14:paraId="4167DF9B">
      <w:pPr>
        <w:bidi w:val="0"/>
        <w:spacing w:before="0" w:after="120" w:line="360" w:lineRule="auto"/>
        <w:ind w:firstLineChars="200"/>
        <w:rPr>
          <w:b/>
          <w:bCs/>
        </w:rPr>
      </w:pPr>
      <w:r>
        <w:rPr>
          <w:rFonts w:ascii="Times New Roman" w:hAnsi="Times New Roman" w:eastAsia="宋体"/>
          <w:bCs/>
          <w:sz w:val="24"/>
          <w:szCs w:val="24"/>
        </w:rPr>
        <w:t>核心数据指标体系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3321"/>
        <w:gridCol w:w="2340"/>
        <w:gridCol w:w="2340"/>
      </w:tblGrid>
      <w:tr w14:paraId="1803B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B189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指标类别</w:t>
            </w:r>
          </w:p>
        </w:tc>
        <w:tc>
          <w:tcPr>
            <w:tcW w:w="3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63F7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具体指标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176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数据来源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67569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更新频率</w:t>
            </w:r>
          </w:p>
        </w:tc>
      </w:tr>
      <w:tr w14:paraId="425C4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216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销售表现</w:t>
            </w:r>
          </w:p>
        </w:tc>
        <w:tc>
          <w:tcPr>
            <w:tcW w:w="3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7887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月销量/销售额、季度达成率、同比增长率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835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ERP 订单数据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502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日更新</w:t>
            </w:r>
          </w:p>
        </w:tc>
      </w:tr>
      <w:tr w14:paraId="331D2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AC1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财务健康</w:t>
            </w:r>
          </w:p>
        </w:tc>
        <w:tc>
          <w:tcPr>
            <w:tcW w:w="3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9C9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回款周期、账龄分布、欠款率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9B5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财务系统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7A9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周更新</w:t>
            </w:r>
          </w:p>
        </w:tc>
      </w:tr>
      <w:tr w14:paraId="2D397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0E5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库存管理</w:t>
            </w:r>
          </w:p>
        </w:tc>
        <w:tc>
          <w:tcPr>
            <w:tcW w:w="3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581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库存周转天数、滞销品SKU占比、安全库存达标率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04C7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WMS/订单系统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174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日更新</w:t>
            </w:r>
          </w:p>
        </w:tc>
      </w:tr>
      <w:tr w14:paraId="3A34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565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终端覆盖</w:t>
            </w:r>
          </w:p>
        </w:tc>
        <w:tc>
          <w:tcPr>
            <w:tcW w:w="3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A0F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有效网点数、新增终端数、网点活跃率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649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CRM 巡店数据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AB4E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周更新</w:t>
            </w:r>
          </w:p>
        </w:tc>
      </w:tr>
    </w:tbl>
    <w:p w14:paraId="03B7AD83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C.1.4 项目成效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EDB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C717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E46E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升级前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2AA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升级后（3 个月数据）</w:t>
            </w:r>
          </w:p>
        </w:tc>
      </w:tr>
      <w:tr w14:paraId="07636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A8C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经销商健康度评估周期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59C4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每年 1 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82C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实时动态评估（日更新）</w:t>
            </w:r>
          </w:p>
        </w:tc>
      </w:tr>
      <w:tr w14:paraId="0D2B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257E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风险经销商识别提前量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D7E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无预警机制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8A5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平均提前 23 天发现异常</w:t>
            </w:r>
          </w:p>
        </w:tc>
      </w:tr>
      <w:tr w14:paraId="1E736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120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招商线索转化率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2E9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15%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6C6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34%</w:t>
            </w:r>
          </w:p>
        </w:tc>
      </w:tr>
      <w:tr w14:paraId="1279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531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新经销商有效经营率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68FB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58%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8793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79%</w:t>
            </w:r>
          </w:p>
        </w:tc>
      </w:tr>
      <w:tr w14:paraId="42A3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E634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政策触达时间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9F1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7–14 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4CD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平均 1.5 天（小程序即时推送）</w:t>
            </w:r>
          </w:p>
        </w:tc>
      </w:tr>
      <w:tr w14:paraId="4D0C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16C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经销商满意度（NPS）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C2E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32 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508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61 分</w:t>
            </w:r>
          </w:p>
        </w:tc>
      </w:tr>
    </w:tbl>
    <w:p w14:paraId="055351F5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C.1.5 运营人员操作指南</w:t>
      </w:r>
    </w:p>
    <w:p w14:paraId="1872FA8F">
      <w:pPr>
        <w:bidi w:val="0"/>
        <w:spacing w:before="0" w:after="120" w:line="360" w:lineRule="auto"/>
        <w:ind w:firstLineChars="200"/>
      </w:pPr>
      <w:r>
        <w:rPr>
          <w:rFonts w:ascii="Times New Roman" w:hAnsi="Times New Roman" w:eastAsia="宋体"/>
          <w:sz w:val="24"/>
          <w:szCs w:val="24"/>
        </w:rPr>
        <w:t>为确保系统持续发挥价值，我们为客户运营团队制定了以下日常操作流程：</w:t>
      </w:r>
    </w:p>
    <w:p w14:paraId="122FBED1">
      <w:pPr>
        <w:numPr>
          <w:ilvl w:val="0"/>
          <w:numId w:val="1"/>
        </w:numPr>
        <w:bidi w:val="0"/>
        <w:spacing w:before="0" w:after="120" w:line="360" w:lineRule="auto"/>
        <w:ind w:left="720" w:leftChars="0" w:firstLine="480" w:firstLineChars="200"/>
      </w:pPr>
      <w:r>
        <w:rPr>
          <w:rFonts w:ascii="Times New Roman" w:hAnsi="Times New Roman" w:eastAsia="宋体"/>
          <w:sz w:val="24"/>
          <w:szCs w:val="24"/>
        </w:rPr>
        <w:t>每日晚检查经销商健康度看板，重点关注红色预警卡片，对连续 3 天指标下滑的经销商主动联系</w:t>
      </w:r>
    </w:p>
    <w:p w14:paraId="1176AFF6">
      <w:pPr>
        <w:numPr>
          <w:ilvl w:val="0"/>
          <w:numId w:val="1"/>
        </w:numPr>
        <w:bidi w:val="0"/>
        <w:spacing w:before="0" w:after="120" w:line="360" w:lineRule="auto"/>
        <w:ind w:left="720" w:leftChars="0" w:firstLine="480" w:firstLineChars="200"/>
      </w:pPr>
      <w:r>
        <w:rPr>
          <w:rFonts w:ascii="Times New Roman" w:hAnsi="Times New Roman" w:eastAsia="宋体"/>
          <w:sz w:val="24"/>
          <w:szCs w:val="24"/>
        </w:rPr>
        <w:t>每周一导出招商 Agent 生成的线索周报，与招商团队对齐当周重点跟进对象</w:t>
      </w:r>
    </w:p>
    <w:p w14:paraId="7E6C8FCF">
      <w:pPr>
        <w:numPr>
          <w:ilvl w:val="0"/>
          <w:numId w:val="1"/>
        </w:numPr>
        <w:bidi w:val="0"/>
        <w:spacing w:before="0" w:after="120" w:line="360" w:lineRule="auto"/>
        <w:ind w:left="720" w:leftChars="0" w:firstLine="480" w:firstLineChars="200"/>
      </w:pPr>
      <w:r>
        <w:rPr>
          <w:rFonts w:ascii="Times New Roman" w:hAnsi="Times New Roman" w:eastAsia="宋体"/>
          <w:sz w:val="24"/>
          <w:szCs w:val="24"/>
        </w:rPr>
        <w:t>新品上市前 3 天，通过赋能 Agent 后台上传产品资料、促销政策和陈列指南，系统自动推送至全部经销商</w:t>
      </w:r>
    </w:p>
    <w:p w14:paraId="340B2A09">
      <w:pPr>
        <w:numPr>
          <w:ilvl w:val="0"/>
          <w:numId w:val="1"/>
        </w:numPr>
        <w:bidi w:val="0"/>
        <w:spacing w:before="0" w:after="120" w:line="360" w:lineRule="auto"/>
        <w:ind w:left="720" w:leftChars="0" w:firstLine="480" w:firstLineChars="200"/>
      </w:pPr>
      <w:r>
        <w:rPr>
          <w:rFonts w:ascii="Times New Roman" w:hAnsi="Times New Roman" w:eastAsia="宋体"/>
          <w:sz w:val="24"/>
          <w:szCs w:val="24"/>
        </w:rPr>
        <w:t>每月末生成经销商综合评估报告，作为季度经销商大会的讨论材料</w:t>
      </w:r>
    </w:p>
    <w:p w14:paraId="255A4083">
      <w:pPr>
        <w:pStyle w:val="4"/>
        <w:bidi w:val="0"/>
        <w:spacing w:before="0" w:after="120" w:line="360" w:lineRule="auto"/>
      </w:pPr>
      <w:bookmarkStart w:id="57" w:name="_Toc19612"/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C.2 案例二：某女性用品微商品牌代理招募与销售增长双引擎项目</w:t>
      </w:r>
      <w:bookmarkEnd w:id="57"/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29842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802A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项目信息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446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详情</w:t>
            </w:r>
          </w:p>
        </w:tc>
      </w:tr>
      <w:tr w14:paraId="4F45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921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客户行业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814A">
            <w:pPr>
              <w:spacing w:before="0" w:after="120" w:line="360" w:lineRule="auto"/>
            </w:pPr>
            <w:r>
              <w:rPr>
                <w:rFonts w:hint="eastAsia" w:ascii="Times New Roman" w:hAnsi="Times New Roman" w:eastAsia="宋体" w:cs="Arial"/>
                <w:sz w:val="24"/>
                <w:szCs w:val="24"/>
                <w:lang w:val="en-US" w:eastAsia="zh-CN"/>
              </w:rPr>
              <w:t>某新兴女性护肤品微商品牌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val="en-US" w:eastAsia="zh-CN"/>
              </w:rPr>
              <w:t>玻尿酸精华液、烟酰胺亮肤面霜、胶原蛋白修护面膜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，月流水约 380 万元）</w:t>
            </w:r>
          </w:p>
        </w:tc>
      </w:tr>
      <w:tr w14:paraId="68E1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A9B9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项目周期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EDA9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一期建设 8 周，持续运营优化</w:t>
            </w:r>
          </w:p>
        </w:tc>
      </w:tr>
      <w:tr w14:paraId="5C071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B62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服务范围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4C5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代理招募 AI 赋能 + 销售转化优化</w:t>
            </w:r>
          </w:p>
        </w:tc>
      </w:tr>
      <w:tr w14:paraId="5089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0314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核心交付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150D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招商 Agent + 销售转化 Agent + 运营工具包</w:t>
            </w:r>
          </w:p>
        </w:tc>
      </w:tr>
    </w:tbl>
    <w:p w14:paraId="036160C7">
      <w:pPr>
        <w:pStyle w:val="4"/>
        <w:bidi w:val="0"/>
        <w:spacing w:before="0" w:after="120" w:line="360" w:lineRule="auto"/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C.2.1 客户背景与业务现状</w:t>
      </w:r>
    </w:p>
    <w:p w14:paraId="3734315B">
      <w:pPr>
        <w:bidi w:val="0"/>
        <w:spacing w:before="0" w:after="120" w:line="360" w:lineRule="auto"/>
        <w:ind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该客户为国内某新兴女性护肤品微商品牌，主营玻尿酸精华液、烟酰胺亮肤面霜、胶原蛋白修护面膜、氨基酸洁面乳等产品，通过多级代理体系进行销售。现有代理商约 320 人，分为三级：联合创始人（10 人）、核心代理（45 人）、普通代理（265 人）。品牌创始人希望在 2026 年将代理团队规模扩展至 800 人，同时提升现有代理的人均产出。</w:t>
      </w:r>
    </w:p>
    <w:p w14:paraId="7D266994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C.2.2 核心痛点诊断</w:t>
      </w:r>
    </w:p>
    <w:p w14:paraId="33ED7E11">
      <w:pPr>
        <w:pStyle w:val="5"/>
        <w:bidi w:val="0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痛点一：代理招募效率低、留存差</w:t>
      </w:r>
    </w:p>
    <w:p w14:paraId="157ABF77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 xml:space="preserve">现有招募主要依赖核心代理的个人朋友圈和熟人推荐，新代理月均招募约 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8</w:t>
      </w:r>
      <w:r>
        <w:rPr>
          <w:rFonts w:ascii="Times New Roman" w:hAnsi="Times New Roman" w:eastAsia="宋体"/>
          <w:sz w:val="24"/>
          <w:szCs w:val="24"/>
        </w:rPr>
        <w:t xml:space="preserve"> 人，但首月流失率高达45%。招募材料只有一份通用 PPT 和一份价格表，无法根据不同候选人的背景、兴趣和资源禁区进行差异化沟通。创始人反馈：“我们的代理招募就像大海捞针，来的人很多，但留下来的很少。”</w:t>
      </w:r>
    </w:p>
    <w:p w14:paraId="10BFAC9C">
      <w:pPr>
        <w:pStyle w:val="5"/>
        <w:bidi w:val="0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痛点二：销售转化依赖个人经验，难以复制</w:t>
      </w:r>
    </w:p>
    <w:p w14:paraId="395C477A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代理的销售能力差异极大。前 10% 的代理贡献了 52% 的销售额，而后 50% 的代理月均销售仅 3000–5000 元。表现好的代理通常有自己的一套话术和客户经营方法，但这些经验难以被系统化提取和复制到新人身上。</w:t>
      </w:r>
    </w:p>
    <w:p w14:paraId="773834D2">
      <w:pPr>
        <w:pStyle w:val="5"/>
        <w:bidi w:val="0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痛点三：内容产出效率低，朋友圈素材千篇一律</w:t>
      </w:r>
    </w:p>
    <w:p w14:paraId="74F147FA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微商销售高度依赖朋友圈内容营销，但现有素材库仅有约 200 张图片和 50 条文案模板，导致全国 320 个代理发布的内容高度同质化。部分客户已向代理反馈“你们发的都一样”，严重影响信任感。</w:t>
      </w:r>
    </w:p>
    <w:p w14:paraId="13D6C761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C.2.3 技术方案设计</w:t>
      </w:r>
    </w:p>
    <w:p w14:paraId="106704E8">
      <w:pPr>
        <w:bidi w:val="0"/>
        <w:spacing w:before="0" w:after="120" w:line="360" w:lineRule="auto"/>
        <w:ind w:firstLineChars="200"/>
        <w:rPr>
          <w:b/>
          <w:bCs/>
        </w:rPr>
      </w:pPr>
      <w:r>
        <w:rPr>
          <w:rFonts w:ascii="Times New Roman" w:hAnsi="Times New Roman" w:eastAsia="宋体"/>
          <w:bCs/>
          <w:sz w:val="24"/>
          <w:szCs w:val="24"/>
        </w:rPr>
        <w:t>核心架构：“双引擎 Agent + 素材工厂”</w:t>
      </w:r>
    </w:p>
    <w:p w14:paraId="483D1689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bCs/>
          <w:sz w:val="24"/>
          <w:szCs w:val="24"/>
        </w:rPr>
        <w:t>引擎一：智能招商 Agent</w:t>
      </w:r>
    </w:p>
    <w:p w14:paraId="689A9F92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负责从“线索发现”到“入伙转化”的全流程智能化：</w:t>
      </w:r>
    </w:p>
    <w:p w14:paraId="405AE2C8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候选人画像建模：基于历史成功代理的 48 个特征维度（包括社交网络规模、过往微商经验、所在城市级别、职业背景等）构建“高潜力代理”预测模型</w:t>
      </w:r>
    </w:p>
    <w:p w14:paraId="7FAD79DC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差异化招募方案自动生成：根据候选人画像自动匹配招募话术、收益测算模板和成功案例，通过 LLM 生成个性化招募文档</w:t>
      </w:r>
    </w:p>
    <w:p w14:paraId="54B2E09B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新代理 21 天启动路径：基于 Agent 自动分配导师、推送每日任务清单、监控启动期关键指标（首单时间、客户数、朋友圈发布频率）</w:t>
      </w:r>
    </w:p>
    <w:p w14:paraId="24E96548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bCs/>
          <w:sz w:val="24"/>
          <w:szCs w:val="24"/>
        </w:rPr>
        <w:t>引擎二：销售转化 Agent</w:t>
      </w:r>
    </w:p>
    <w:p w14:paraId="2EF8B174">
      <w:pPr>
        <w:numPr>
          <w:ilvl w:val="0"/>
          <w:numId w:val="0"/>
        </w:num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负责将头部代理的销售经验系统化并赋能全员：</w:t>
      </w:r>
    </w:p>
    <w:p w14:paraId="09DDACF5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销售话术库构建：对前 30 名代理的聊天记录（脱敏后）进行分析，提取高转化场景的话术模式，构建覆盖 12 类客户异议场景的标准应答库</w:t>
      </w:r>
    </w:p>
    <w:p w14:paraId="7DD71E4A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实时辅助功能：代理在与客户沟通时可随时调用 Agent，输入客户异议关键词即可获取推荐回复策略、产品卖点和成功案例引用</w:t>
      </w:r>
    </w:p>
    <w:p w14:paraId="39E02E0F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客户生命周期管理：基于购买频率、复购间隔和产品偏好自动划分客户阶段（尝鲜期/复购期/忠实期/流失预警），推送差异化维护策略</w:t>
      </w:r>
    </w:p>
    <w:p w14:paraId="2B4609F8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bCs/>
          <w:sz w:val="24"/>
          <w:szCs w:val="24"/>
        </w:rPr>
        <w:t>素材工厂：智能内容生产系统</w:t>
      </w:r>
    </w:p>
    <w:p w14:paraId="1FEFA408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基于品牌调性和产品特点训练的 Prompt 模板库，</w:t>
      </w:r>
      <w:r>
        <w:rPr>
          <w:rFonts w:ascii="Times New Roman" w:hAnsi="Times New Roman" w:eastAsia="宋体" w:cs="宋体"/>
          <w:sz w:val="24"/>
          <w:szCs w:val="24"/>
        </w:rPr>
        <w:t>支持一键生成差异化朋友圈文案、产品海报、使用前后对比图、成分解析长图等</w:t>
      </w:r>
    </w:p>
    <w:p w14:paraId="34684457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 w:cs="宋体"/>
          <w:sz w:val="24"/>
          <w:szCs w:val="24"/>
        </w:rPr>
        <w:t>每周自动生成 3 套"周化内容包"，包含 7 天的朋友圈发布计划（产品实拍图 + 护肤知识科普 + 客户反馈截图 + 文案 + 最佳发布时间建议）</w:t>
      </w:r>
    </w:p>
    <w:p w14:paraId="5CD77E64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 w:cs="宋体"/>
          <w:sz w:val="24"/>
          <w:szCs w:val="24"/>
        </w:rPr>
        <w:t>支持代理自定义参数（个人风格、目标客群肤质特征、年龄段偏好、地域气候特色），生成真正差异化的个人化内容</w:t>
      </w:r>
    </w:p>
    <w:p w14:paraId="20ADC138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C.2.4 核心技术实现细节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0"/>
        <w:gridCol w:w="3830"/>
        <w:gridCol w:w="3680"/>
      </w:tblGrid>
      <w:tr w14:paraId="2AB9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507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技术模块</w:t>
            </w:r>
          </w:p>
        </w:tc>
        <w:tc>
          <w:tcPr>
            <w:tcW w:w="38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F6E7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实现方式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8821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关键技术点</w:t>
            </w:r>
          </w:p>
        </w:tc>
      </w:tr>
      <w:tr w14:paraId="6BCE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4F5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候选人评估模型</w:t>
            </w:r>
          </w:p>
        </w:tc>
        <w:tc>
          <w:tcPr>
            <w:tcW w:w="38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0B54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基于 XGBoost 的多特征评分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6D9A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训练数据：320 名现有代理的30/60/90 天留存与产出数据</w:t>
            </w:r>
          </w:p>
        </w:tc>
      </w:tr>
      <w:tr w14:paraId="7FC9B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D50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话术库构建</w:t>
            </w:r>
          </w:p>
        </w:tc>
        <w:tc>
          <w:tcPr>
            <w:tcW w:w="38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228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LLM + 人工标注混合流程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F067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先用 LLM 提取聊天模式，再由销售主管人工审核标注</w:t>
            </w:r>
          </w:p>
        </w:tc>
      </w:tr>
      <w:tr w14:paraId="6448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D3A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内容生成系统</w:t>
            </w:r>
          </w:p>
        </w:tc>
        <w:tc>
          <w:tcPr>
            <w:tcW w:w="38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3574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多模型协作（文案 + 图片）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337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文案生成用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val="en-US" w:eastAsia="zh-CN"/>
              </w:rPr>
              <w:t>claude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，图片用 Midjourney API，组合后人工审核发布</w:t>
            </w:r>
          </w:p>
        </w:tc>
      </w:tr>
      <w:tr w14:paraId="02581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A26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客户生命周期引擎</w:t>
            </w:r>
          </w:p>
        </w:tc>
        <w:tc>
          <w:tcPr>
            <w:tcW w:w="38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D60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基于 RFM 模型的自动分组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DE9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对接小程序订单数据，每日自动更新客户阶段标签</w:t>
            </w:r>
          </w:p>
        </w:tc>
      </w:tr>
    </w:tbl>
    <w:p w14:paraId="26A0DD5B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C.2.5 项目成效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6E39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AF7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0723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升级前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176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升级后（2 个月数据）</w:t>
            </w:r>
          </w:p>
        </w:tc>
      </w:tr>
      <w:tr w14:paraId="27443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B45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月均新增代理数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098E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12 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D644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31 人</w:t>
            </w:r>
          </w:p>
        </w:tc>
      </w:tr>
      <w:tr w14:paraId="50B2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62F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新代理首月流失率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AEDE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45%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EAF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18%</w:t>
            </w:r>
          </w:p>
        </w:tc>
      </w:tr>
      <w:tr w14:paraId="601C6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1DC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普通代理人均月销售额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B82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4,200 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7EF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7,800 元</w:t>
            </w:r>
          </w:p>
        </w:tc>
      </w:tr>
      <w:tr w14:paraId="33E2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6F4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朋友圈内容发布频率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BBBB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周均 2.1 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4D3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周均 5.8 条</w:t>
            </w:r>
          </w:p>
        </w:tc>
      </w:tr>
      <w:tr w14:paraId="4D32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C20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客户复购率（30 天）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0F1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22%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697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38%</w:t>
            </w:r>
          </w:p>
        </w:tc>
      </w:tr>
      <w:tr w14:paraId="13B4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3A33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整体月流水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AE3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380 万元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DEB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620 万元</w:t>
            </w:r>
          </w:p>
        </w:tc>
      </w:tr>
    </w:tbl>
    <w:p w14:paraId="5CF61431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C.2.6 运营人员操作指南</w:t>
      </w:r>
    </w:p>
    <w:p w14:paraId="27515576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每周一上午在招商 Agent 后台查看“高潜力候选人”列表，将评分 80 分以上的候选人分配给对应地域的核心代理跟进</w:t>
      </w:r>
    </w:p>
    <w:p w14:paraId="719A5D21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新代理入伙后立即开启 21 天启动路径，运营人员每 3 天检查一次启动进度看板，对“启动滞后”的新代理及时安排导师介入</w:t>
      </w:r>
    </w:p>
    <w:p w14:paraId="5DE05C71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每周五审核“周化内容包”质量，确认无品牌风险内容后发布到代理素材库</w:t>
      </w:r>
    </w:p>
    <w:p w14:paraId="3FA3E47E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每月 15 日导出代理产出排行榜和客户流失预警报告，作为月度代理大会讨论材料</w:t>
      </w:r>
    </w:p>
    <w:p w14:paraId="5622DF23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bookmarkStart w:id="58" w:name="_Toc22190"/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C.3 案例三：某短剧平台数据看板与AI分析中台建设项目</w:t>
      </w:r>
      <w:bookmarkEnd w:id="58"/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7"/>
        <w:gridCol w:w="7683"/>
      </w:tblGrid>
      <w:tr w14:paraId="1A25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F823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项目信息</w:t>
            </w:r>
          </w:p>
        </w:tc>
        <w:tc>
          <w:tcPr>
            <w:tcW w:w="7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37E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详情</w:t>
            </w:r>
          </w:p>
        </w:tc>
      </w:tr>
      <w:tr w14:paraId="7F2B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3E2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客户行业</w:t>
            </w:r>
          </w:p>
        </w:tc>
        <w:tc>
          <w:tcPr>
            <w:tcW w:w="7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B19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短剧内容平台（DAU 约 85 万，上线短剧 460+ 部，月投放预算约 1200 万元）</w:t>
            </w:r>
          </w:p>
        </w:tc>
      </w:tr>
      <w:tr w14:paraId="0DFCE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0A4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项目周期</w:t>
            </w:r>
          </w:p>
        </w:tc>
        <w:tc>
          <w:tcPr>
            <w:tcW w:w="7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2FF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一期建设 10 周，持续迭代</w:t>
            </w:r>
          </w:p>
        </w:tc>
      </w:tr>
      <w:tr w14:paraId="54E0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F97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服务范围</w:t>
            </w:r>
          </w:p>
        </w:tc>
        <w:tc>
          <w:tcPr>
            <w:tcW w:w="7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9FC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数据看板搭建 + AI 分析决策中台</w:t>
            </w:r>
          </w:p>
        </w:tc>
      </w:tr>
      <w:tr w14:paraId="6B39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33B6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核心交付</w:t>
            </w:r>
          </w:p>
        </w:tc>
        <w:tc>
          <w:tcPr>
            <w:tcW w:w="76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EB23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实时数据看板 + AI 分析引擎 + 运营决策助手 + 自动化报表系统</w:t>
            </w:r>
          </w:p>
        </w:tc>
      </w:tr>
    </w:tbl>
    <w:p w14:paraId="7D2CDC7B">
      <w:pPr>
        <w:pStyle w:val="4"/>
        <w:bidi w:val="0"/>
        <w:spacing w:before="0" w:after="120" w:line="360" w:lineRule="auto"/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C.3.1 客户背景与业务现状</w:t>
      </w:r>
    </w:p>
    <w:p w14:paraId="5B10BCE6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该客户为国内某中腰部短剧平台，主营都市情感、悬疑、职场类短剧内容。平台已上线短剧超过 460 部，DAU 约 85 万，月充值用户约 12 万人。平台采取“内容采购 + 自制”混合模式，每月新上线短剧约 25–35 部，各渠道广告投放预算约 1200 万元/月。随着行业竞争加剧，获客成本不断攻升，内容投入产出比波动加大，运营团队急需更精细化的数据支撑能力。</w:t>
      </w:r>
    </w:p>
    <w:p w14:paraId="328B756B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C.3.2 核心痛点诊断</w:t>
      </w:r>
    </w:p>
    <w:p w14:paraId="63FCC974">
      <w:pPr>
        <w:pStyle w:val="5"/>
        <w:bidi w:val="0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痛点一：数据散落各系统，无法形成统一视图</w:t>
      </w:r>
    </w:p>
    <w:p w14:paraId="37EA6284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平台的运营数据分散在 5 个不同系统中：广告投放数据在巨量引擎、头条引擎和快手磁力引擎的后台，用户行为数据在自研 APP 埋点系统，充值数据在财务系统，内容评估数据在内部 Wiki 和飞书文档中。运营总监反馈：“每周开会前，我需要让三个同事分别拉数据、往 Excel 里填，光出一份周报就要花两天。”</w:t>
      </w:r>
    </w:p>
    <w:p w14:paraId="5CA5095D">
      <w:pPr>
        <w:pStyle w:val="5"/>
        <w:bidi w:val="0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痛点二：投放决策过度依赖经验，缺乏数据驱动</w:t>
      </w:r>
    </w:p>
    <w:p w14:paraId="2CD9653C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广告投放团队 6 人，每天管理超过 200 条广告计划。投放策略主要依赖优化师的个人经验和“盘感”，缺乏系统化的数据分析支撑。常见问题包括：费用向低 ROI 素材过度集中、爆款素材未能及时识别和追加预算、不同剧目之间的投放资源分配缺乏量化依据。</w:t>
      </w:r>
    </w:p>
    <w:p w14:paraId="4047441B">
      <w:pPr>
        <w:pStyle w:val="5"/>
        <w:bidi w:val="0"/>
        <w:spacing w:before="0" w:after="120" w:line="360" w:lineRule="auto"/>
      </w:pPr>
      <w:r>
        <w:rPr>
          <w:rFonts w:ascii="Times New Roman" w:hAnsi="Times New Roman" w:eastAsia="宋体"/>
          <w:b/>
          <w:sz w:val="24"/>
          <w:szCs w:val="24"/>
        </w:rPr>
        <w:t>痛点三：内容评估主观化，优质内容识别滞后</w:t>
      </w:r>
    </w:p>
    <w:p w14:paraId="17596E46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短剧上线前的评估主要依赖内容编审的主观判断，缺乏基于历史数据的量化评估模型。部分潜力剧目因评审团队主观偏好而被忽视，同时上线后表现不佳的剧目未能及时下架，造成投放资源浪费。</w:t>
      </w:r>
    </w:p>
    <w:p w14:paraId="2E24FC0A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C.3.3 技术方案设计</w:t>
      </w:r>
    </w:p>
    <w:p w14:paraId="42ECAA37">
      <w:pPr>
        <w:bidi w:val="0"/>
        <w:spacing w:before="0" w:after="120" w:line="360" w:lineRule="auto"/>
        <w:ind w:firstLineChars="200"/>
        <w:rPr>
          <w:b/>
          <w:bCs/>
        </w:rPr>
      </w:pPr>
      <w:r>
        <w:rPr>
          <w:rFonts w:ascii="Times New Roman" w:hAnsi="Times New Roman" w:eastAsia="宋体"/>
          <w:bCs/>
          <w:sz w:val="24"/>
          <w:szCs w:val="24"/>
        </w:rPr>
        <w:t>核心架构：“数据汇聚层 + AI 分析引擎 + 可视化决策层”</w:t>
      </w:r>
    </w:p>
    <w:p w14:paraId="5835FEFC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bCs/>
          <w:sz w:val="24"/>
          <w:szCs w:val="24"/>
        </w:rPr>
        <w:t>第一层：数据汇聚层</w:t>
      </w:r>
    </w:p>
    <w:p w14:paraId="5521710E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负责将分散在多个系统的数据统一采集、清洗和存储：</w:t>
      </w:r>
    </w:p>
    <w:p w14:paraId="2AEC1232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广告数据：通过各平台 API 自动拉取巨量引擎、头条系、快手系的投放数据（曝光、点击、转化、消耗），每小时同步一次</w:t>
      </w:r>
    </w:p>
    <w:p w14:paraId="03B8C0D3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用户行为数据：对接 APP 埋点系统，采集观看时长、完播率、分集留存率、付费转化、分享率等核心指标</w:t>
      </w:r>
    </w:p>
    <w:p w14:paraId="02B92ADD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财务数据：对接财务系统获取充值收入、内容采购成本、投放消耗等财务数据</w:t>
      </w:r>
    </w:p>
    <w:p w14:paraId="1180A48C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</w:pPr>
      <w:r>
        <w:rPr>
          <w:rFonts w:ascii="Times New Roman" w:hAnsi="Times New Roman" w:eastAsia="宋体"/>
          <w:sz w:val="24"/>
          <w:szCs w:val="24"/>
        </w:rPr>
        <w:t>内容元数据：采集每部短剧的题材标签、演员阵容、集数、采购成本、上线时间等结构化信息</w:t>
      </w:r>
    </w:p>
    <w:p w14:paraId="0E82389F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bCs/>
          <w:sz w:val="24"/>
          <w:szCs w:val="24"/>
        </w:rPr>
        <w:t>第二层：AI 分析引擎</w:t>
      </w:r>
    </w:p>
    <w:p w14:paraId="01D009D3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基于汇聚数据提供三项核心 AI 分析能力：</w:t>
      </w:r>
    </w:p>
    <w:p w14:paraId="06D8A765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素材效果预测模型：基于历史投放数据训练，对新上线素材在前 4 小时的表现数据进行快速评估，预测其全生命周期 ROI，准确率达 78%</w:t>
      </w:r>
    </w:p>
    <w:p w14:paraId="5E1D83EE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剧目表现评估模型：基于剧目上线后前 48 小时的用户行为数据（完播率、分集留存曲线、付费转化漏斗），自动将剧目划分为 S/A/B/C 四个等级，并生成资源分配建议</w:t>
      </w:r>
    </w:p>
    <w:p w14:paraId="71B9DBF4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</w:pPr>
      <w:r>
        <w:rPr>
          <w:rFonts w:ascii="Times New Roman" w:hAnsi="Times New Roman" w:eastAsia="宋体"/>
          <w:sz w:val="24"/>
          <w:szCs w:val="24"/>
        </w:rPr>
        <w:t>投放策略优化建议：基于 LLM 的自然语言分析引擎，每日自动生成“投放日报”，包含异常指标警报、爆款素材推荐、预算调整建议和竞品动态摘要</w:t>
      </w:r>
    </w:p>
    <w:p w14:paraId="25E5CA20">
      <w:pPr>
        <w:spacing w:before="0" w:after="120" w:line="360" w:lineRule="auto"/>
        <w:ind w:firstLineChars="200"/>
      </w:pPr>
      <w:r>
        <w:rPr>
          <w:rFonts w:ascii="Times New Roman" w:hAnsi="Times New Roman" w:eastAsia="宋体"/>
          <w:bCs/>
          <w:sz w:val="24"/>
          <w:szCs w:val="24"/>
        </w:rPr>
        <w:t>第三层：可视化决策层</w:t>
      </w:r>
    </w:p>
    <w:p w14:paraId="4807656B">
      <w:pPr>
        <w:spacing w:before="0" w:after="120" w:line="360" w:lineRule="auto"/>
        <w:ind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基于 Grafana + Superset 搭建多层级可视化看板：</w:t>
      </w:r>
    </w:p>
    <w:p w14:paraId="0B0C953F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总裁看板：平台级核心指标一览（DAU、月充值、整体 ROI、用户增长曲线），支持日/周/月多粒度切换</w:t>
      </w:r>
    </w:p>
    <w:p w14:paraId="6BD63672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投放看板：按渠道、剧目、素材三个维度展示投放效果，支持钻取到单条计划级别</w:t>
      </w:r>
    </w:p>
    <w:p w14:paraId="2662A6E6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内容看板：每部剧目的全生命周期表现跟踪，包含观看曲线、付费转化漏斗、用户画像分布和 AI 评级结果</w:t>
      </w:r>
    </w:p>
    <w:p w14:paraId="23091728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</w:pPr>
      <w:r>
        <w:rPr>
          <w:rFonts w:ascii="Times New Roman" w:hAnsi="Times New Roman" w:eastAsia="宋体"/>
          <w:sz w:val="24"/>
          <w:szCs w:val="24"/>
        </w:rPr>
        <w:t>财务看板：内容采购 ROI、单剧利润核算、月度收支趋势分析</w:t>
      </w:r>
    </w:p>
    <w:p w14:paraId="0068022D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C.3.4 核心技术实现细节</w:t>
      </w:r>
    </w:p>
    <w:tbl>
      <w:tblPr>
        <w:tblStyle w:val="15"/>
        <w:tblW w:w="96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763"/>
        <w:gridCol w:w="4904"/>
      </w:tblGrid>
      <w:tr w14:paraId="1EF9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F213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技术模块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9BE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实现方式</w:t>
            </w:r>
          </w:p>
        </w:tc>
        <w:tc>
          <w:tcPr>
            <w:tcW w:w="4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8507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关键技术点</w:t>
            </w:r>
          </w:p>
        </w:tc>
      </w:tr>
      <w:tr w14:paraId="78B98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81B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数据采集层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62D9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Python + Airflow 定时任务</w:t>
            </w:r>
          </w:p>
        </w:tc>
        <w:tc>
          <w:tcPr>
            <w:tcW w:w="4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ED5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对接巨量/头条/快手 Marketing API，每小时自动同步</w:t>
            </w:r>
          </w:p>
        </w:tc>
      </w:tr>
      <w:tr w14:paraId="3C95E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6E1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数据仓库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8D52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ClickHouse + MySQL</w:t>
            </w:r>
          </w:p>
        </w:tc>
        <w:tc>
          <w:tcPr>
            <w:tcW w:w="4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C927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实时分析用 ClickHouse，业务元数据用 MySQL</w:t>
            </w:r>
          </w:p>
        </w:tc>
      </w:tr>
      <w:tr w14:paraId="0231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BDF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素材效果预测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60F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LightGBM 回归模型</w:t>
            </w:r>
          </w:p>
        </w:tc>
        <w:tc>
          <w:tcPr>
            <w:tcW w:w="4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FFB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特征工程：前 4h CTR/CVR/完播率 + 题材标签 + 投放时段 + 素材时长</w:t>
            </w:r>
          </w:p>
        </w:tc>
      </w:tr>
      <w:tr w14:paraId="7CCE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3F34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剧目评级引擎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F7F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多因子加权评分</w:t>
            </w:r>
          </w:p>
        </w:tc>
        <w:tc>
          <w:tcPr>
            <w:tcW w:w="4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E48D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基于完播率/留存曲线/付费转化/分享率的加权综合评分</w:t>
            </w:r>
          </w:p>
        </w:tc>
      </w:tr>
      <w:tr w14:paraId="6BA6D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87D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智能日报生成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A20E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LLM + 模板引擎</w:t>
            </w:r>
          </w:p>
        </w:tc>
        <w:tc>
          <w:tcPr>
            <w:tcW w:w="4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913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每日将异常指标 + 关键发现填入模板，由 LLM 生成可读性强的日报发送至飞书</w:t>
            </w:r>
          </w:p>
        </w:tc>
      </w:tr>
      <w:tr w14:paraId="7CA5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A339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可视化层</w:t>
            </w:r>
          </w:p>
        </w:tc>
        <w:tc>
          <w:tcPr>
            <w:tcW w:w="27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0BED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Grafana + Superset</w:t>
            </w:r>
          </w:p>
        </w:tc>
        <w:tc>
          <w:tcPr>
            <w:tcW w:w="49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5CB8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多看板多角色权限控制，支持移动端访问</w:t>
            </w:r>
          </w:p>
        </w:tc>
      </w:tr>
    </w:tbl>
    <w:p w14:paraId="4E272F54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C.3.5 项目成效</w:t>
      </w: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4"/>
        <w:gridCol w:w="2856"/>
        <w:gridCol w:w="3890"/>
      </w:tblGrid>
      <w:tr w14:paraId="0223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033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指标</w:t>
            </w:r>
          </w:p>
        </w:tc>
        <w:tc>
          <w:tcPr>
            <w:tcW w:w="28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23B9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升级前</w:t>
            </w:r>
          </w:p>
        </w:tc>
        <w:tc>
          <w:tcPr>
            <w:tcW w:w="3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549B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bCs/>
                <w:color w:val="FFFFFF"/>
                <w:sz w:val="24"/>
                <w:szCs w:val="24"/>
              </w:rPr>
              <w:t>升级后（2 个月数据）</w:t>
            </w:r>
          </w:p>
        </w:tc>
      </w:tr>
      <w:tr w14:paraId="14DFA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944D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周报产出时间</w:t>
            </w:r>
          </w:p>
        </w:tc>
        <w:tc>
          <w:tcPr>
            <w:tcW w:w="28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8DBD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2 天（3 人协作）</w:t>
            </w:r>
          </w:p>
        </w:tc>
        <w:tc>
          <w:tcPr>
            <w:tcW w:w="3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D36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15 分钟（自动生成）</w:t>
            </w:r>
          </w:p>
        </w:tc>
      </w:tr>
      <w:tr w14:paraId="1EC0A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F17B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爆款素材识别速度</w:t>
            </w:r>
          </w:p>
        </w:tc>
        <w:tc>
          <w:tcPr>
            <w:tcW w:w="28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B04A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平均 48 小时</w:t>
            </w:r>
          </w:p>
        </w:tc>
        <w:tc>
          <w:tcPr>
            <w:tcW w:w="3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0D3A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平均 4 小时（前 4h 数据即可判断）</w:t>
            </w:r>
          </w:p>
        </w:tc>
      </w:tr>
      <w:tr w14:paraId="15AC0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B7E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广告投放整体 ROI</w:t>
            </w:r>
          </w:p>
        </w:tc>
        <w:tc>
          <w:tcPr>
            <w:tcW w:w="28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54FC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1:2.3</w:t>
            </w:r>
          </w:p>
        </w:tc>
        <w:tc>
          <w:tcPr>
            <w:tcW w:w="3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CEC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1:3.1</w:t>
            </w:r>
          </w:p>
        </w:tc>
      </w:tr>
      <w:tr w14:paraId="712D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B104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无效素材投放浪费率</w:t>
            </w:r>
          </w:p>
        </w:tc>
        <w:tc>
          <w:tcPr>
            <w:tcW w:w="28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054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约 32%</w:t>
            </w:r>
          </w:p>
        </w:tc>
        <w:tc>
          <w:tcPr>
            <w:tcW w:w="3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24A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约 14%</w:t>
            </w:r>
          </w:p>
        </w:tc>
      </w:tr>
      <w:tr w14:paraId="23FE6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B5FA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低效剧目及时下架率</w:t>
            </w:r>
          </w:p>
        </w:tc>
        <w:tc>
          <w:tcPr>
            <w:tcW w:w="28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71B0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下架周期平均 12 天</w:t>
            </w:r>
          </w:p>
        </w:tc>
        <w:tc>
          <w:tcPr>
            <w:tcW w:w="3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C21F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下架周期平均 3 天</w:t>
            </w:r>
          </w:p>
        </w:tc>
      </w:tr>
      <w:tr w14:paraId="2682A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580B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投放团队人效</w:t>
            </w:r>
          </w:p>
        </w:tc>
        <w:tc>
          <w:tcPr>
            <w:tcW w:w="28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F6C5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人均管理 33 条计划</w:t>
            </w:r>
          </w:p>
        </w:tc>
        <w:tc>
          <w:tcPr>
            <w:tcW w:w="3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932A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人均管理 55 条计划</w:t>
            </w:r>
          </w:p>
        </w:tc>
      </w:tr>
      <w:tr w14:paraId="28FF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E7E1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月投放预算节省</w:t>
            </w:r>
          </w:p>
        </w:tc>
        <w:tc>
          <w:tcPr>
            <w:tcW w:w="28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F2C3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—</w:t>
            </w:r>
          </w:p>
        </w:tc>
        <w:tc>
          <w:tcPr>
            <w:tcW w:w="389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138D">
            <w:pPr>
              <w:spacing w:before="0" w:after="120" w:line="360" w:lineRule="auto"/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约 180 万元/月（减少无效消耗）</w:t>
            </w:r>
          </w:p>
        </w:tc>
      </w:tr>
    </w:tbl>
    <w:p w14:paraId="076AFFE4">
      <w:pPr>
        <w:pStyle w:val="4"/>
        <w:bidi w:val="0"/>
        <w:spacing w:before="0" w:after="120"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/>
          <w:b/>
          <w:sz w:val="24"/>
          <w:szCs w:val="24"/>
          <w:lang w:val="en-US" w:eastAsia="zh-CN"/>
        </w:rPr>
        <w:t>C.3.6 运营人员操作指南</w:t>
      </w:r>
    </w:p>
    <w:p w14:paraId="055341B4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每日上午 9:00 查看“投放日报”（自动推送至飞书群），重点关注红色异常指标和爆款素材推荐</w:t>
      </w:r>
    </w:p>
    <w:p w14:paraId="34126D9A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新剧目上线 48 小时后查看 AI 评级结果，对 C 级剧目启动下架流程，对 S 级剧目启动追加投放流程</w:t>
      </w:r>
    </w:p>
    <w:p w14:paraId="1AAFA18A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新素材上线 4 小时后查看效果预测得分，低于阈值的素材立即暂停投放并替换</w:t>
      </w:r>
    </w:p>
    <w:p w14:paraId="4EAD3010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ascii="宋体" w:hAnsi="宋体" w:eastAsia="宋体"/>
        </w:rPr>
      </w:pPr>
      <w:r>
        <w:rPr>
          <w:rFonts w:ascii="Times New Roman" w:hAnsi="Times New Roman" w:eastAsia="宋体"/>
          <w:sz w:val="24"/>
          <w:szCs w:val="24"/>
        </w:rPr>
        <w:t>每周一下午召开数据周会，基于自动生成的周报讨论上周表现、本周策略和预算分配</w:t>
      </w:r>
    </w:p>
    <w:p w14:paraId="712F30E7">
      <w:pPr>
        <w:numPr>
          <w:ilvl w:val="0"/>
          <w:numId w:val="1"/>
        </w:numPr>
        <w:spacing w:before="0" w:after="120" w:line="360" w:lineRule="auto"/>
        <w:ind w:left="720" w:leftChars="0" w:firstLine="480" w:firstLineChars="200"/>
        <w:rPr>
          <w:rFonts w:hint="default" w:ascii="宋体" w:hAnsi="宋体" w:eastAsia="宋体"/>
          <w:lang w:val="en-US" w:eastAsia="zh-CN"/>
        </w:rPr>
      </w:pPr>
      <w:r>
        <w:rPr>
          <w:rFonts w:ascii="Times New Roman" w:hAnsi="Times New Roman" w:eastAsia="宋体"/>
          <w:sz w:val="24"/>
          <w:szCs w:val="24"/>
        </w:rPr>
        <w:t>每月末导出月度内容 ROI 分析报告，作为内容采购决策的重要参考</w:t>
      </w:r>
    </w:p>
    <w:p w14:paraId="156D8049">
      <w:pPr>
        <w:spacing w:before="0" w:after="120" w:line="360" w:lineRule="auto"/>
        <w:jc w:val="both"/>
        <w:rPr>
          <w:rFonts w:ascii="Times New Roman" w:hAnsi="Times New Roman" w:eastAsia="宋体" w:cs="宋体"/>
          <w:sz w:val="24"/>
          <w:szCs w:val="24"/>
        </w:rPr>
      </w:pPr>
    </w:p>
    <w:sectPr>
      <w:footerReference r:id="rId3" w:type="default"/>
      <w:pgSz w:w="11906" w:h="16838"/>
      <w:pgMar w:top="1803" w:right="1440" w:bottom="1803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CD78A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docVars>
    <w:docVar w:name="commondata" w:val="eyJoZGlkIjoiODNlMTgyNWU1ZjY3MjA5NDU0MmFmNmQ5MGQ0YzQ1MDUifQ=="/>
  </w:docVars>
  <w:rsids>
    <w:rsidRoot w:val="00000000"/>
    <w:rsid w:val="15C947BC"/>
    <w:rsid w:val="181F1BD5"/>
    <w:rsid w:val="1C5827DF"/>
    <w:rsid w:val="1CEB326A"/>
    <w:rsid w:val="1E764662"/>
    <w:rsid w:val="31124E12"/>
    <w:rsid w:val="3F6939B0"/>
    <w:rsid w:val="5AB75247"/>
    <w:rsid w:val="60D80C14"/>
    <w:rsid w:val="6D8201B6"/>
    <w:rsid w:val="7654171E"/>
    <w:rsid w:val="77CB5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basedOn w:val="1"/>
    <w:next w:val="1"/>
    <w:link w:val="23"/>
    <w:qFormat/>
    <w:uiPriority w:val="0"/>
    <w:pPr>
      <w:spacing w:before="360" w:after="200" w:line="576" w:lineRule="auto"/>
      <w:outlineLvl w:val="0"/>
    </w:pPr>
    <w:rPr>
      <w:rFonts w:ascii="黑体" w:hAnsi="黑体" w:eastAsia="黑体" w:cs="黑体"/>
      <w:b/>
      <w:bCs/>
      <w:color w:val="000000"/>
      <w:sz w:val="36"/>
      <w:szCs w:val="36"/>
    </w:rPr>
  </w:style>
  <w:style w:type="paragraph" w:styleId="3">
    <w:name w:val="heading 2"/>
    <w:basedOn w:val="1"/>
    <w:next w:val="1"/>
    <w:link w:val="24"/>
    <w:qFormat/>
    <w:uiPriority w:val="0"/>
    <w:pPr>
      <w:spacing w:before="240" w:after="140"/>
      <w:outlineLvl w:val="1"/>
    </w:pPr>
    <w:rPr>
      <w:rFonts w:ascii="黑体" w:hAnsi="黑体" w:eastAsia="黑体" w:cs="黑体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spacing w:before="180" w:after="100"/>
      <w:outlineLvl w:val="2"/>
    </w:pPr>
    <w:rPr>
      <w:rFonts w:ascii="宋体" w:hAnsi="宋体" w:eastAsia="宋体" w:cs="宋体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2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rPr>
      <w:sz w:val="24"/>
    </w:rPr>
  </w:style>
  <w:style w:type="paragraph" w:styleId="14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7">
    <w:name w:val="endnote reference"/>
    <w:semiHidden/>
    <w:unhideWhenUsed/>
    <w:qFormat/>
    <w:uiPriority w:val="99"/>
    <w:rPr>
      <w:vertAlign w:val="superscript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1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8"/>
    <w:semiHidden/>
    <w:unhideWhenUsed/>
    <w:qFormat/>
    <w:uiPriority w:val="99"/>
    <w:rPr>
      <w:sz w:val="20"/>
      <w:szCs w:val="20"/>
    </w:rPr>
  </w:style>
  <w:style w:type="character" w:customStyle="1" w:styleId="23">
    <w:name w:val="标题 1 Char"/>
    <w:link w:val="2"/>
    <w:qFormat/>
    <w:uiPriority w:val="0"/>
    <w:rPr>
      <w:rFonts w:ascii="黑体" w:hAnsi="黑体" w:eastAsia="黑体" w:cs="黑体"/>
      <w:b/>
      <w:bCs/>
      <w:color w:val="000000"/>
      <w:sz w:val="36"/>
      <w:szCs w:val="36"/>
    </w:rPr>
  </w:style>
  <w:style w:type="character" w:customStyle="1" w:styleId="24">
    <w:name w:val="标题 2 Char"/>
    <w:link w:val="3"/>
    <w:qFormat/>
    <w:uiPriority w:val="0"/>
    <w:rPr>
      <w:rFonts w:ascii="黑体" w:hAnsi="黑体" w:eastAsia="黑体" w:cs="黑体"/>
      <w:b/>
      <w:bCs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53</Pages>
  <Words>19296</Words>
  <Characters>21282</Characters>
  <TotalTime>74</TotalTime>
  <ScaleCrop>false</ScaleCrop>
  <LinksUpToDate>false</LinksUpToDate>
  <CharactersWithSpaces>21807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2026-05-20T03:13:00Z</dcterms:created>
  <dc:creator>Un-named</dc:creator>
  <cp:lastModifiedBy>15306889676</cp:lastModifiedBy>
  <dcterms:modified xsi:type="dcterms:W3CDTF">2026-05-22T04:47:01Z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eyJoZGlkIjoiMDhjMTU2MWQ1NThhODVlNGMwNjRmZTMyYjc0M2EzZDYiLCJ1c2VySWQiOiI4NzEzMzg1OTYifQ==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4E9D178229F54FDA91E79D1418FA5BAF_13</vt:lpwstr>
  </property>
</Properties>
</file>