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To-Do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Finish solidwork model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Shawn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thermal transfer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(For all of these, assume max delta temp 75 F and - 100 F)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Convection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Use surface area of 2 cylinders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Conduction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Use physical contact surface area of pins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Radiation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(Ignore)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Jimmy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leak rate</w:t>
      </w:r>
    </w:p>
    <w:p w:rsidR="00000000" w:rsidDel="00000000" w:rsidP="00000000" w:rsidRDefault="00000000" w:rsidRPr="00000000" w14:paraId="00000012">
      <w:pPr>
        <w:ind w:left="720" w:firstLine="72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https://www.engineersedge.com/fluid_flow/oring_leak_rate_13605.htm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Leak Rate</w:t>
      </w:r>
      <w:r w:rsidDel="00000000" w:rsidR="00000000" w:rsidRPr="00000000">
        <w:rPr>
          <w:rtl w:val="0"/>
        </w:rPr>
        <w:t xml:space="preserve">: </w:t>
        <w:tab/>
        <w:tab/>
        <w:tab/>
        <w:tab/>
        <w:tab/>
        <w:t xml:space="preserve">1.475e-6 to 2.098e-6 cc/sec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Interior volume of Case: </w:t>
        <w:tab/>
        <w:tab/>
        <w:tab/>
        <w:t xml:space="preserve">19.190 cubic in = 314.468 cubic cm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Volume of the Caddy: </w:t>
        <w:tab/>
        <w:tab/>
        <w:tab/>
        <w:t xml:space="preserve">8.062 cubic in =  132.111 cubic cm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Total volume of air</w:t>
      </w:r>
      <w:r w:rsidDel="00000000" w:rsidR="00000000" w:rsidRPr="00000000">
        <w:rPr>
          <w:rtl w:val="0"/>
        </w:rPr>
        <w:t xml:space="preserve">: </w:t>
        <w:tab/>
        <w:tab/>
        <w:tab/>
        <w:tab/>
        <w:t xml:space="preserve">182.357 cubic cm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Volume of air lost over a year:</w:t>
        <w:tab/>
        <w:tab/>
        <w:t xml:space="preserve">46.522 cubic cm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Total Volume in Caddy After a Year</w:t>
      </w:r>
      <w:r w:rsidDel="00000000" w:rsidR="00000000" w:rsidRPr="00000000">
        <w:rPr>
          <w:rtl w:val="0"/>
        </w:rPr>
        <w:t xml:space="preserve">: </w:t>
        <w:tab/>
      </w:r>
      <w:r w:rsidDel="00000000" w:rsidR="00000000" w:rsidRPr="00000000">
        <w:rPr>
          <w:u w:val="single"/>
          <w:rtl w:val="0"/>
        </w:rPr>
        <w:t xml:space="preserve">135.84 cc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u w:val="single"/>
          <w:rtl w:val="0"/>
        </w:rPr>
        <w:t xml:space="preserve">74.49%</w:t>
      </w:r>
      <w:r w:rsidDel="00000000" w:rsidR="00000000" w:rsidRPr="00000000">
        <w:rPr>
          <w:rtl w:val="0"/>
        </w:rPr>
        <w:t xml:space="preserve"> of original vol.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Zach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Power budget calculations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https://www.hindawi.com/journals/ijae/2019/8916416/tab3/</w:t>
        </w:r>
      </w:hyperlink>
      <w:r w:rsidDel="00000000" w:rsidR="00000000" w:rsidRPr="00000000">
        <w:rPr>
          <w:rtl w:val="0"/>
        </w:rPr>
        <w:t xml:space="preserve"> (camera reference)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gineersedge.com/fluid_flow/oring_leak_rate_13605.htm" TargetMode="External"/><Relationship Id="rId7" Type="http://schemas.openxmlformats.org/officeDocument/2006/relationships/hyperlink" Target="https://www.hindawi.com/journals/ijae/2019/8916416/tab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