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MSPR ObRail — Solution d'Intelligence Artificielle</w:t>
      </w:r>
    </w:p>
    <w:p>
      <w:pPr>
        <w:jc w:val="center"/>
      </w:pPr>
      <w:r>
        <w:rPr>
          <w:sz w:val="26"/>
        </w:rPr>
        <w:t>Bloc E6.2 — Développer un modèle prédictif d'une solution IA</w:t>
      </w:r>
    </w:p>
    <w:p>
      <w:pPr>
        <w:jc w:val="center"/>
      </w:pPr>
      <w:r>
        <w:rPr>
          <w:i/>
          <w:sz w:val="24"/>
        </w:rPr>
        <w:t>Partie Membre 1 — Data Analyst / ML Lead</w:t>
        <w:br/>
        <w:t>Étapes 1 (Business) · 2 (Analyse) · 3 (Préparation)</w:t>
      </w:r>
    </w:p>
    <w:p/>
    <w:p>
      <w:pPr>
        <w:pStyle w:val="Heading1"/>
      </w:pPr>
      <w:r>
        <w:rPr>
          <w:color w:val="1F4E79"/>
        </w:rPr>
        <w:t>Partie 1 — Résumé (synthèse)</w:t>
      </w:r>
    </w:p>
    <w:p>
      <w:r>
        <w:rPr>
          <w:b/>
          <w:i w:val="0"/>
        </w:rPr>
        <w:t>Mission.</w:t>
      </w:r>
    </w:p>
    <w:p>
      <w:r>
        <w:rPr>
          <w:b w:val="0"/>
          <w:i w:val="0"/>
        </w:rPr>
        <w:t>En tant que Membre 1, je suis responsable des trois premières étapes du cycle projet : le cadrage métier (Business), l'analyse exploratoire des données (EDA) et la préparation du jeu de données. Ma production constitue le socle sur lequel les Membres 2 et 3 entraînent et évaluent le modèle. Les données proviennent de la plateforme ObRail construite lors de la MSPR Industrialisation (base PostgreSQL/PostGIS, API FastAPI) : un référentiel de 52 314 services ferroviaires.</w:t>
      </w:r>
    </w:p>
    <w:p>
      <w:r>
        <w:rPr>
          <w:b/>
          <w:i w:val="0"/>
        </w:rPr>
        <w:t>Travail réalisé.</w:t>
      </w:r>
    </w:p>
    <w:p>
      <w:pPr>
        <w:pStyle w:val="ListBullet"/>
      </w:pPr>
      <w:r>
        <w:t>Acquisition d'un jeu de travail à plat (52 314 services) à partir de la base, avec distance recalculée en haversine et indicateur jour/nuit dérivé de l'heure de départ.</w:t>
      </w:r>
    </w:p>
    <w:p>
      <w:pPr>
        <w:pStyle w:val="ListBullet"/>
      </w:pPr>
      <w:r>
        <w:t>Analyse exploratoire complète : volumétrie, qualité, distributions, corrélations, vue au niveau liaison et cadrage de faisabilité métier (notebook exécuté, 5 figures).</w:t>
      </w:r>
    </w:p>
    <w:p>
      <w:pPr>
        <w:pStyle w:val="ListBullet"/>
      </w:pPr>
      <w:r>
        <w:t>Préparation des données pour la modélisation : nettoyage des aberrants, feature engineering, écartement d'une variable redondante, standardisation et découpage train/val/test 70/15/15.</w:t>
      </w:r>
    </w:p>
    <w:p>
      <w:pPr>
        <w:pStyle w:val="ListBullet"/>
      </w:pPr>
      <w:r>
        <w:t>Mise en place d'un environnement reproductible (versions figées) et publication du code sur Git.</w:t>
      </w:r>
    </w:p>
    <w:p>
      <w:r>
        <w:rPr>
          <w:b/>
          <w:i w:val="0"/>
        </w:rPr>
        <w:t>Décisions et découvertes majeures.</w:t>
      </w:r>
    </w:p>
    <w:p>
      <w:pPr>
        <w:pStyle w:val="ListBullet"/>
      </w:pPr>
      <w:r>
        <w:t>Recadrage de l'axe IA, justifié par les données : l'axe initial « substitution avion → train » est démontré non soutenable (seulement 0,08 % des trajets ≥ 800 km). L'équipe a retenu un axe non supervisé de découverte de familles de dessertes (clustering).</w:t>
      </w:r>
    </w:p>
    <w:p>
      <w:pPr>
        <w:pStyle w:val="ListBullet"/>
      </w:pPr>
      <w:r>
        <w:t>Détection d'une variable piège : les émissions de CO₂ sont une fonction linéaire exacte de la durée (corrélation = 1,0), donc redondantes ; elles sont écartées des variables de clustering.</w:t>
      </w:r>
    </w:p>
    <w:p>
      <w:pPr>
        <w:pStyle w:val="ListBullet"/>
      </w:pPr>
      <w:r>
        <w:t>Identification et traitement des limites de qualité : distance manquante à 55 %, jointure opérateur cassée (~100 % nulle), valeurs aberrantes corrigées.</w:t>
      </w:r>
    </w:p>
    <w:p>
      <w:r>
        <w:rPr>
          <w:b/>
          <w:i w:val="0"/>
        </w:rPr>
        <w:t>Livrable final.</w:t>
      </w:r>
    </w:p>
    <w:p>
      <w:r>
        <w:rPr>
          <w:b w:val="0"/>
          <w:i w:val="0"/>
        </w:rPr>
        <w:t>Un jeu de features propre et documenté (data/obrail_features.csv, 52 305 lignes × 14 colonnes), accompagné de son dictionnaire de données et d'un protocole train/val/test reproductible, prêt pour la modélisation par les Membres 2 et 3.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Partie 2 — Rapport détaillé</w:t>
      </w:r>
    </w:p>
    <w:p>
      <w:pPr>
        <w:pStyle w:val="Heading2"/>
      </w:pPr>
      <w:r>
        <w:rPr>
          <w:color w:val="1F4E79"/>
        </w:rPr>
        <w:t>1. Contexte et données</w:t>
      </w:r>
    </w:p>
    <w:p>
      <w:r>
        <w:rPr>
          <w:b w:val="0"/>
          <w:i w:val="0"/>
        </w:rPr>
        <w:t>La plateforme ObRail agrège un référentiel de trajets ferroviaires datés et horodatés. Chaque service est décrit par sa durée, ses émissions de CO₂, ses gares de départ et d'arrivée, sa ligne et son opérateur. L'enjeu de fond est le report modal et la décarbonation des mobilités (Green Deal européen) : mieux connaître l'offre ferroviaire pour la rendre plus lisible et identifier les dessertes fragiles ou atypiques.</w:t>
      </w:r>
    </w:p>
    <w:p>
      <w:r>
        <w:rPr>
          <w:b w:val="0"/>
          <w:i w:val="0"/>
        </w:rPr>
        <w:t>Le jeu de travail a été extrait de la table « trajet » jointe aux référentiels gares, lignes et opérateurs. Deux variables ont été dérivées : la distance à vol d'oiseau (haversine, à partir des coordonnées des gares) et le caractère jour/nuit (à partir de l'heure de départ).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Caractéristique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52 314 services horaires</w:t>
            </w:r>
          </w:p>
        </w:tc>
      </w:tr>
      <w:tr>
        <w:tc>
          <w:tcPr>
            <w:tcW w:type="dxa" w:w="4320"/>
          </w:tcPr>
          <w:p>
            <w:r>
              <w:t>Liaisons distinctes (O-D)</w:t>
            </w:r>
          </w:p>
        </w:tc>
        <w:tc>
          <w:tcPr>
            <w:tcW w:type="dxa" w:w="4320"/>
          </w:tcPr>
          <w:p>
            <w:r>
              <w:t>~3 800 (le grain est le service, pas la liaison)</w:t>
            </w:r>
          </w:p>
        </w:tc>
      </w:tr>
      <w:tr>
        <w:tc>
          <w:tcPr>
            <w:tcW w:type="dxa" w:w="4320"/>
          </w:tcPr>
          <w:p>
            <w:r>
              <w:t>Variables numériques</w:t>
            </w:r>
          </w:p>
        </w:tc>
        <w:tc>
          <w:tcPr>
            <w:tcW w:type="dxa" w:w="4320"/>
          </w:tcPr>
          <w:p>
            <w:r>
              <w:t>durée, CO₂, distance</w:t>
            </w:r>
          </w:p>
        </w:tc>
      </w:tr>
      <w:tr>
        <w:tc>
          <w:tcPr>
            <w:tcW w:type="dxa" w:w="4320"/>
          </w:tcPr>
          <w:p>
            <w:r>
              <w:t>Variables catégorielles</w:t>
            </w:r>
          </w:p>
        </w:tc>
        <w:tc>
          <w:tcPr>
            <w:tcW w:type="dxa" w:w="4320"/>
          </w:tcPr>
          <w:p>
            <w:r>
              <w:t>type jour/nuit, pays, ligne, opérateur</w:t>
            </w:r>
          </w:p>
        </w:tc>
      </w:tr>
    </w:tbl>
    <w:p/>
    <w:p>
      <w:pPr>
        <w:pStyle w:val="Heading2"/>
      </w:pPr>
      <w:r>
        <w:rPr>
          <w:color w:val="1F4E79"/>
        </w:rPr>
        <w:t>2. Étape 1 — Cadrage métier (Business)</w:t>
      </w:r>
    </w:p>
    <w:p>
      <w:r>
        <w:rPr>
          <w:b w:val="0"/>
          <w:i w:val="0"/>
        </w:rPr>
        <w:t>L'équipe avait initialement envisagé un axe d'« identification des lignes candidates à la substitution avion → train ». L'analyse des données (étape 2) a montré que cet axe n'était pas soutenable sur ce jeu de données — un constat déterminant qu'il valait mieux établir tôt.</w:t>
      </w:r>
    </w:p>
    <w:p>
      <w:r>
        <w:rPr>
          <w:b/>
          <w:i w:val="0"/>
        </w:rPr>
        <w:t>Axe retenu.</w:t>
      </w:r>
    </w:p>
    <w:p>
      <w:r>
        <w:rPr>
          <w:b w:val="0"/>
          <w:i w:val="0"/>
        </w:rPr>
        <w:t>« Peut-on découvrir automatiquement, sans étiquette préalable, des familles homogènes de dessertes ferroviaires (régionales denses, longue distance de nuit, etc.) afin de caractériser l'offre et de repérer les liaisons atypiques ? » Il s'agit d'un problème d'apprentissage non supervisé (clustering).</w:t>
      </w:r>
    </w:p>
    <w:p>
      <w:r>
        <w:rPr>
          <w:b/>
          <w:i w:val="0"/>
        </w:rPr>
        <w:t>Justification du choix.</w:t>
      </w:r>
    </w:p>
    <w:p>
      <w:pPr>
        <w:pStyle w:val="ListBullet"/>
      </w:pPr>
      <w:r>
        <w:t>Cohérence avec les données réellement disponibles (réseau régional, courtes distances).</w:t>
      </w:r>
    </w:p>
    <w:p>
      <w:pPr>
        <w:pStyle w:val="ListBullet"/>
      </w:pPr>
      <w:r>
        <w:t>Évite la circularité méthodologique d'un classifieur dont on fabriquerait les étiquettes à partir de seuils de distance/durée.</w:t>
      </w:r>
    </w:p>
    <w:p>
      <w:pPr>
        <w:pStyle w:val="ListBullet"/>
      </w:pPr>
      <w:r>
        <w:t>Répond à un besoin explicite du cas d'usage : caractériser les dessertes, détecter les zones fragiles.</w:t>
      </w:r>
    </w:p>
    <w:p>
      <w:r>
        <w:rPr>
          <w:b/>
          <w:i w:val="0"/>
        </w:rPr>
        <w:t>Spécifications fonctionnelles.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Définition</w:t>
            </w:r>
          </w:p>
        </w:tc>
      </w:tr>
      <w:tr>
        <w:tc>
          <w:tcPr>
            <w:tcW w:type="dxa" w:w="4320"/>
          </w:tcPr>
          <w:p>
            <w:r>
              <w:t>Entrées</w:t>
            </w:r>
          </w:p>
        </w:tc>
        <w:tc>
          <w:tcPr>
            <w:tcW w:type="dxa" w:w="4320"/>
          </w:tcPr>
          <w:p>
            <w:r>
              <w:t>durée, heure de départ, jour/nuit (+ distance/vitesse là où disponibles)</w:t>
            </w:r>
          </w:p>
        </w:tc>
      </w:tr>
      <w:tr>
        <w:tc>
          <w:tcPr>
            <w:tcW w:type="dxa" w:w="4320"/>
          </w:tcPr>
          <w:p>
            <w:r>
              <w:t>Sortie</w:t>
            </w:r>
          </w:p>
        </w:tc>
        <w:tc>
          <w:tcPr>
            <w:tcW w:type="dxa" w:w="4320"/>
          </w:tcPr>
          <w:p>
            <w:r>
              <w:t>partition en K familles + profil interprétable de chaque famille</w:t>
            </w:r>
          </w:p>
        </w:tc>
      </w:tr>
      <w:tr>
        <w:tc>
          <w:tcPr>
            <w:tcW w:type="dxa" w:w="4320"/>
          </w:tcPr>
          <w:p>
            <w:r>
              <w:t>Critère de succès</w:t>
            </w:r>
          </w:p>
        </w:tc>
        <w:tc>
          <w:tcPr>
            <w:tcW w:type="dxa" w:w="4320"/>
          </w:tcPr>
          <w:p>
            <w:r>
              <w:t>silhouette acceptable ET familles explicables métier</w:t>
            </w:r>
          </w:p>
        </w:tc>
      </w:tr>
    </w:tbl>
    <w:p/>
    <w:p>
      <w:pPr>
        <w:pStyle w:val="Heading2"/>
      </w:pPr>
      <w:r>
        <w:rPr>
          <w:color w:val="1F4E79"/>
        </w:rPr>
        <w:t>3. Étape 2 — Analyse exploratoire des données (EDA)</w:t>
      </w:r>
    </w:p>
    <w:p>
      <w:r>
        <w:rPr>
          <w:b/>
          <w:i w:val="0"/>
        </w:rPr>
        <w:t>Profil des trajets.</w:t>
      </w:r>
    </w:p>
    <w:p>
      <w:r>
        <w:rPr>
          <w:b w:val="0"/>
          <w:i w:val="0"/>
        </w:rPr>
        <w:t>Les distributions de durée, distance et CO₂ sont fortement asymétriques à droite : une majorité de trajets courts (régionaux) et une longue traîne de trajets plus longs. La distance médiane n'est que de 74 km.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Distributions et boxplots des variables numériques (durée, distance, CO₂).</w:t>
      </w:r>
    </w:p>
    <w:p>
      <w:r>
        <w:rPr>
          <w:b/>
          <w:i w:val="0"/>
        </w:rPr>
        <w:t>Qualité des données.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Problème détecté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Ampleur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Traitement</w:t>
            </w:r>
          </w:p>
        </w:tc>
      </w:tr>
      <w:tr>
        <w:tc>
          <w:tcPr>
            <w:tcW w:type="dxa" w:w="2880"/>
          </w:tcPr>
          <w:p>
            <w:r>
              <w:t>distance_km manquante</w:t>
            </w:r>
          </w:p>
        </w:tc>
        <w:tc>
          <w:tcPr>
            <w:tcW w:type="dxa" w:w="2880"/>
          </w:tcPr>
          <w:p>
            <w:r>
              <w:t>54,7 %</w:t>
            </w:r>
          </w:p>
        </w:tc>
        <w:tc>
          <w:tcPr>
            <w:tcW w:type="dxa" w:w="2880"/>
          </w:tcPr>
          <w:p>
            <w:r>
              <w:t>deux jeux de features assumés (cf. étape 3)</w:t>
            </w:r>
          </w:p>
        </w:tc>
      </w:tr>
      <w:tr>
        <w:tc>
          <w:tcPr>
            <w:tcW w:type="dxa" w:w="2880"/>
          </w:tcPr>
          <w:p>
            <w:r>
              <w:t>jointure opérateur cassée</w:t>
            </w:r>
          </w:p>
        </w:tc>
        <w:tc>
          <w:tcPr>
            <w:tcW w:type="dxa" w:w="2880"/>
          </w:tcPr>
          <w:p>
            <w:r>
              <w:t>~100 % nulle</w:t>
            </w:r>
          </w:p>
        </w:tc>
        <w:tc>
          <w:tcPr>
            <w:tcW w:type="dxa" w:w="2880"/>
          </w:tcPr>
          <w:p>
            <w:r>
              <w:t>variable écartée</w:t>
            </w:r>
          </w:p>
        </w:tc>
      </w:tr>
      <w:tr>
        <w:tc>
          <w:tcPr>
            <w:tcW w:type="dxa" w:w="2880"/>
          </w:tcPr>
          <w:p>
            <w:r>
              <w:t>gares manquantes</w:t>
            </w:r>
          </w:p>
        </w:tc>
        <w:tc>
          <w:tcPr>
            <w:tcW w:type="dxa" w:w="2880"/>
          </w:tcPr>
          <w:p>
            <w:r>
              <w:t>~47 %</w:t>
            </w:r>
          </w:p>
        </w:tc>
        <w:tc>
          <w:tcPr>
            <w:tcW w:type="dxa" w:w="2880"/>
          </w:tcPr>
          <w:p>
            <w:r>
              <w:t>conservées pour interprétation</w:t>
            </w:r>
          </w:p>
        </w:tc>
      </w:tr>
      <w:tr>
        <w:tc>
          <w:tcPr>
            <w:tcW w:type="dxa" w:w="2880"/>
          </w:tcPr>
          <w:p>
            <w:r>
              <w:t>CO₂ négatifs</w:t>
            </w:r>
          </w:p>
        </w:tc>
        <w:tc>
          <w:tcPr>
            <w:tcW w:type="dxa" w:w="2880"/>
          </w:tcPr>
          <w:p>
            <w:r>
              <w:t>8 lignes</w:t>
            </w:r>
          </w:p>
        </w:tc>
        <w:tc>
          <w:tcPr>
            <w:tcW w:type="dxa" w:w="2880"/>
          </w:tcPr>
          <w:p>
            <w:r>
              <w:t>supprimées</w:t>
            </w:r>
          </w:p>
        </w:tc>
      </w:tr>
      <w:tr>
        <w:tc>
          <w:tcPr>
            <w:tcW w:type="dxa" w:w="2880"/>
          </w:tcPr>
          <w:p>
            <w:r>
              <w:t>durées nulles</w:t>
            </w:r>
          </w:p>
        </w:tc>
        <w:tc>
          <w:tcPr>
            <w:tcW w:type="dxa" w:w="2880"/>
          </w:tcPr>
          <w:p>
            <w:r>
              <w:t>1 ligne</w:t>
            </w:r>
          </w:p>
        </w:tc>
        <w:tc>
          <w:tcPr>
            <w:tcW w:type="dxa" w:w="2880"/>
          </w:tcPr>
          <w:p>
            <w:r>
              <w:t>supprimée</w:t>
            </w:r>
          </w:p>
        </w:tc>
      </w:tr>
    </w:tbl>
    <w:p/>
    <w:p>
      <w:r>
        <w:rPr>
          <w:b/>
          <w:i w:val="0"/>
        </w:rPr>
        <w:t>Corrélations.</w:t>
      </w:r>
    </w:p>
    <w:p>
      <w:r>
        <w:rPr>
          <w:b w:val="0"/>
          <w:i w:val="0"/>
        </w:rPr>
        <w:t>La matrice de corrélation révèle une relation parfaite entre les émissions de CO₂ et la durée (coefficient = 1,0) : le CO₂ est une simple transformation linéaire de la durée (≈ 0,05 kg/min). Cette redondance est exploitée à l'étape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385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Matrice de corrélation des variables numériques.</w:t>
      </w:r>
    </w:p>
    <w:p>
      <w:r>
        <w:rPr>
          <w:b/>
          <w:i w:val="0"/>
        </w:rPr>
        <w:t>Cadrage de faisabilité métier.</w:t>
      </w:r>
    </w:p>
    <w:p>
      <w:r>
        <w:rPr>
          <w:b w:val="0"/>
          <w:i w:val="0"/>
        </w:rPr>
        <w:t>La substitution avion → train n'a de sens qu'au-delà de ~500–800 km. Or seulement 624 trajets (1,2 %) atteignent 500 km et 41 (0,08 %) atteignent 800 km. L'axe initial concerne donc une part marginale du réseau : il est statistiquement indéfendable.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ertinence_substit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Distribution des distances confrontée aux seuils de pertinence aérienne.</w:t>
      </w:r>
    </w:p>
    <w:p>
      <w:pPr>
        <w:pStyle w:val="Heading2"/>
      </w:pPr>
      <w:r>
        <w:rPr>
          <w:color w:val="1F4E79"/>
        </w:rPr>
        <w:t>4. Étape 3 — Préparation des données</w:t>
      </w:r>
    </w:p>
    <w:p>
      <w:r>
        <w:rPr>
          <w:b/>
          <w:i w:val="0"/>
        </w:rPr>
        <w:t>Nettoyage.</w:t>
      </w:r>
    </w:p>
    <w:p>
      <w:r>
        <w:rPr>
          <w:b w:val="0"/>
          <w:i w:val="0"/>
        </w:rPr>
        <w:t>Les 9 lignes physiquement impossibles (8 CO₂ négatifs, 1 durée nulle) sont retirées et tracées, sans imputation hasardeuse : 52 314 → 52 305 services.</w:t>
      </w:r>
    </w:p>
    <w:p>
      <w:r>
        <w:rPr>
          <w:b/>
          <w:i w:val="0"/>
        </w:rPr>
        <w:t>Feature engineering.</w:t>
      </w:r>
    </w:p>
    <w:p>
      <w:pPr>
        <w:pStyle w:val="ListBullet"/>
      </w:pPr>
      <w:r>
        <w:t>heure_decimale — heure de départ en continu (rythme de la desserte).</w:t>
      </w:r>
    </w:p>
    <w:p>
      <w:pPr>
        <w:pStyle w:val="ListBullet"/>
      </w:pPr>
      <w:r>
        <w:t>is_nuit — desserte de nuit (catégorie métier 0/1).</w:t>
      </w:r>
    </w:p>
    <w:p>
      <w:pPr>
        <w:pStyle w:val="ListBullet"/>
      </w:pPr>
      <w:r>
        <w:t>vitesse_kmh — signal indépendant de la durée, là où la distance est connue.</w:t>
      </w:r>
    </w:p>
    <w:p>
      <w:pPr>
        <w:pStyle w:val="ListBullet"/>
      </w:pPr>
      <w:r>
        <w:t>is_transfrontalier — liaison entre deux pays, là où les deux pays sont connus (1 344 cas).</w:t>
      </w:r>
    </w:p>
    <w:p>
      <w:r>
        <w:rPr>
          <w:b/>
          <w:i w:val="0"/>
        </w:rPr>
        <w:t>Sélection des variables.</w:t>
      </w:r>
    </w:p>
    <w:p>
      <w:r>
        <w:rPr>
          <w:b w:val="0"/>
          <w:i w:val="0"/>
        </w:rPr>
        <w:t>Le CO₂, redondant avec la durée, est écarté des variables de clustering (mais conservé dans le dataset pour le reporting décarbonation). Face aux 55 % de distances manquantes, deux jeux de features sont préparés plutôt qu'une imputation massive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Jeu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Lignes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Variables de clustering</w:t>
            </w:r>
          </w:p>
        </w:tc>
      </w:tr>
      <w:tr>
        <w:tc>
          <w:tcPr>
            <w:tcW w:type="dxa" w:w="2880"/>
          </w:tcPr>
          <w:p>
            <w:r>
              <w:t>Complet</w:t>
            </w:r>
          </w:p>
        </w:tc>
        <w:tc>
          <w:tcPr>
            <w:tcW w:type="dxa" w:w="2880"/>
          </w:tcPr>
          <w:p>
            <w:r>
              <w:t>~52 000</w:t>
            </w:r>
          </w:p>
        </w:tc>
        <w:tc>
          <w:tcPr>
            <w:tcW w:type="dxa" w:w="2880"/>
          </w:tcPr>
          <w:p>
            <w:r>
              <w:t>durée, heure décimale, jour/nuit (présents à 100 %)</w:t>
            </w:r>
          </w:p>
        </w:tc>
      </w:tr>
      <w:tr>
        <w:tc>
          <w:tcPr>
            <w:tcW w:type="dxa" w:w="2880"/>
          </w:tcPr>
          <w:p>
            <w:r>
              <w:t>Enrichi</w:t>
            </w:r>
          </w:p>
        </w:tc>
        <w:tc>
          <w:tcPr>
            <w:tcW w:type="dxa" w:w="2880"/>
          </w:tcPr>
          <w:p>
            <w:r>
              <w:t>~23 700</w:t>
            </w:r>
          </w:p>
        </w:tc>
        <w:tc>
          <w:tcPr>
            <w:tcW w:type="dxa" w:w="2880"/>
          </w:tcPr>
          <w:p>
            <w:r>
              <w:t>+ distance, vitesse (sous-réseau géolocalisé)</w:t>
            </w:r>
          </w:p>
        </w:tc>
      </w:tr>
    </w:tbl>
    <w:p/>
    <w:p>
      <w:r>
        <w:rPr>
          <w:b/>
          <w:i w:val="0"/>
        </w:rPr>
        <w:t>Standardisation et découpage.</w:t>
      </w:r>
    </w:p>
    <w:p>
      <w:r>
        <w:rPr>
          <w:b w:val="0"/>
          <w:i w:val="0"/>
        </w:rPr>
        <w:t>Les variables continues sont standardisées (z-score) pour KMeans ; la variable binaire jour/nuit est conservée en 0/1. Un découpage train/validation/test 70/15/15 est figé avec une graine (random_state = 42) pour garantir la reproductibilité.</w:t>
      </w:r>
    </w:p>
    <w:p>
      <w:r>
        <w:rPr>
          <w:b/>
          <w:i w:val="0"/>
        </w:rPr>
        <w:t>Contrôle de cohérence (aperçu clustering).</w:t>
      </w:r>
    </w:p>
    <w:p>
      <w:r>
        <w:rPr>
          <w:b w:val="0"/>
          <w:i w:val="0"/>
        </w:rPr>
        <w:t>Un KMeans à 4 groupes appliqué sur les features produit un score de silhouette de 0,42 et, surtout, quatre familles directement interprétables — preuve que les variables retenues structurent bien l'offre. La modélisation complète (choix de K, comparaison d'algorithmes, évaluation) relève de l'étape 4 (Membres 2 et 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Famille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Effectif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Durée méd.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Distance méd.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Lecture métier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20 811</w:t>
            </w:r>
          </w:p>
        </w:tc>
        <w:tc>
          <w:tcPr>
            <w:tcW w:type="dxa" w:w="1728"/>
          </w:tcPr>
          <w:p>
            <w:r>
              <w:t>76 min</w:t>
            </w:r>
          </w:p>
        </w:tc>
        <w:tc>
          <w:tcPr>
            <w:tcW w:type="dxa" w:w="1728"/>
          </w:tcPr>
          <w:p>
            <w:r>
              <w:t>65 km</w:t>
            </w:r>
          </w:p>
        </w:tc>
        <w:tc>
          <w:tcPr>
            <w:tcW w:type="dxa" w:w="1728"/>
          </w:tcPr>
          <w:p>
            <w:r>
              <w:t>Régional court — pointe du matin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19 344</w:t>
            </w:r>
          </w:p>
        </w:tc>
        <w:tc>
          <w:tcPr>
            <w:tcW w:type="dxa" w:w="1728"/>
          </w:tcPr>
          <w:p>
            <w:r>
              <w:t>65 min</w:t>
            </w:r>
          </w:p>
        </w:tc>
        <w:tc>
          <w:tcPr>
            <w:tcW w:type="dxa" w:w="1728"/>
          </w:tcPr>
          <w:p>
            <w:r>
              <w:t>59 km</w:t>
            </w:r>
          </w:p>
        </w:tc>
        <w:tc>
          <w:tcPr>
            <w:tcW w:type="dxa" w:w="1728"/>
          </w:tcPr>
          <w:p>
            <w:r>
              <w:t>Régional court — pointe du soir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7 811</w:t>
            </w:r>
          </w:p>
        </w:tc>
        <w:tc>
          <w:tcPr>
            <w:tcW w:type="dxa" w:w="1728"/>
          </w:tcPr>
          <w:p>
            <w:r>
              <w:t>186 min</w:t>
            </w:r>
          </w:p>
        </w:tc>
        <w:tc>
          <w:tcPr>
            <w:tcW w:type="dxa" w:w="1728"/>
          </w:tcPr>
          <w:p>
            <w:r>
              <w:t>306 km</w:t>
            </w:r>
          </w:p>
        </w:tc>
        <w:tc>
          <w:tcPr>
            <w:tcW w:type="dxa" w:w="1728"/>
          </w:tcPr>
          <w:p>
            <w:r>
              <w:t>Moyenne distance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4 339</w:t>
            </w:r>
          </w:p>
        </w:tc>
        <w:tc>
          <w:tcPr>
            <w:tcW w:type="dxa" w:w="1728"/>
          </w:tcPr>
          <w:p>
            <w:r>
              <w:t>324 min</w:t>
            </w:r>
          </w:p>
        </w:tc>
        <w:tc>
          <w:tcPr>
            <w:tcW w:type="dxa" w:w="1728"/>
          </w:tcPr>
          <w:p>
            <w:r>
              <w:t>502 km</w:t>
            </w:r>
          </w:p>
        </w:tc>
        <w:tc>
          <w:tcPr>
            <w:tcW w:type="dxa" w:w="1728"/>
          </w:tcPr>
          <w:p>
            <w:r>
              <w:t>Longue distance (dont nuit)</w:t>
            </w:r>
          </w:p>
        </w:tc>
      </w:tr>
    </w:tbl>
    <w:p/>
    <w:p>
      <w:pPr>
        <w:pStyle w:val="Heading2"/>
      </w:pPr>
      <w:r>
        <w:rPr>
          <w:color w:val="1F4E79"/>
        </w:rPr>
        <w:t>5. Environnement et reproductibilité</w:t>
      </w:r>
    </w:p>
    <w:p>
      <w:pPr>
        <w:pStyle w:val="ListBullet"/>
      </w:pPr>
      <w:r>
        <w:t>Environnement Python isolé (venv) avec versions figées dans requirements.txt.</w:t>
      </w:r>
    </w:p>
    <w:p>
      <w:pPr>
        <w:pStyle w:val="ListBullet"/>
      </w:pPr>
      <w:r>
        <w:t>Notebooks ré-exécutables de bout en bout (Run All), figures régénérées automatiquement.</w:t>
      </w:r>
    </w:p>
    <w:p>
      <w:pPr>
        <w:pStyle w:val="ListBullet"/>
      </w:pPr>
      <w:r>
        <w:t>Graine aléatoire fixée (random_state = 42) pour le découpage et le clustering.</w:t>
      </w:r>
    </w:p>
    <w:p>
      <w:pPr>
        <w:pStyle w:val="ListBullet"/>
      </w:pPr>
      <w:r>
        <w:t>Aucune donnée personnelle (offre de transport agrégée) — conformité RGPD respectée.</w:t>
      </w:r>
    </w:p>
    <w:p>
      <w:pPr>
        <w:pStyle w:val="Heading2"/>
      </w:pPr>
      <w:r>
        <w:rPr>
          <w:color w:val="1F4E79"/>
        </w:rPr>
        <w:t>6. Livrables et interface avec l'équipe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Livrable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Fichier</w:t>
            </w:r>
          </w:p>
        </w:tc>
      </w:tr>
      <w:tr>
        <w:tc>
          <w:tcPr>
            <w:tcW w:type="dxa" w:w="4320"/>
          </w:tcPr>
          <w:p>
            <w:r>
              <w:t>Cadrage métier (étape 1)</w:t>
            </w:r>
          </w:p>
        </w:tc>
        <w:tc>
          <w:tcPr>
            <w:tcW w:type="dxa" w:w="4320"/>
          </w:tcPr>
          <w:p>
            <w:r>
              <w:t>docs/01_business.md</w:t>
            </w:r>
          </w:p>
        </w:tc>
      </w:tr>
      <w:tr>
        <w:tc>
          <w:tcPr>
            <w:tcW w:type="dxa" w:w="4320"/>
          </w:tcPr>
          <w:p>
            <w:r>
              <w:t>Notebook EDA (étape 2)</w:t>
            </w:r>
          </w:p>
        </w:tc>
        <w:tc>
          <w:tcPr>
            <w:tcW w:type="dxa" w:w="4320"/>
          </w:tcPr>
          <w:p>
            <w:r>
              <w:t>notebooks/01_eda.ipynb</w:t>
            </w:r>
          </w:p>
        </w:tc>
      </w:tr>
      <w:tr>
        <w:tc>
          <w:tcPr>
            <w:tcW w:type="dxa" w:w="4320"/>
          </w:tcPr>
          <w:p>
            <w:r>
              <w:t>Notebook préparation (étape 3)</w:t>
            </w:r>
          </w:p>
        </w:tc>
        <w:tc>
          <w:tcPr>
            <w:tcW w:type="dxa" w:w="4320"/>
          </w:tcPr>
          <w:p>
            <w:r>
              <w:t>notebooks/02_preparation.ipynb</w:t>
            </w:r>
          </w:p>
        </w:tc>
      </w:tr>
      <w:tr>
        <w:tc>
          <w:tcPr>
            <w:tcW w:type="dxa" w:w="4320"/>
          </w:tcPr>
          <w:p>
            <w:r>
              <w:t>Dataset de features (vers M2/M3)</w:t>
            </w:r>
          </w:p>
        </w:tc>
        <w:tc>
          <w:tcPr>
            <w:tcW w:type="dxa" w:w="4320"/>
          </w:tcPr>
          <w:p>
            <w:r>
              <w:t>data/obrail_features.csv</w:t>
            </w:r>
          </w:p>
        </w:tc>
      </w:tr>
      <w:tr>
        <w:tc>
          <w:tcPr>
            <w:tcW w:type="dxa" w:w="4320"/>
          </w:tcPr>
          <w:p>
            <w:r>
              <w:t>Environnement figé</w:t>
            </w:r>
          </w:p>
        </w:tc>
        <w:tc>
          <w:tcPr>
            <w:tcW w:type="dxa" w:w="4320"/>
          </w:tcPr>
          <w:p>
            <w:r>
              <w:t>requirements.txt</w:t>
            </w:r>
          </w:p>
        </w:tc>
      </w:tr>
    </w:tbl>
    <w:p/>
    <w:p>
      <w:r>
        <w:rPr>
          <w:b w:val="0"/>
          <w:i w:val="0"/>
        </w:rPr>
        <w:t>Le contrat de livraison vers les Membres 2 et 3 est le fichier data/obrail_features.csv : les colonnes duree_minutes_z, heure_decimale_z et is_nuit sont les features de clustering prêtes à l'emploi ; la colonne split fixe le protocole d'évaluation.</w:t>
      </w:r>
    </w:p>
    <w:p>
      <w:pPr>
        <w:pStyle w:val="Heading2"/>
      </w:pPr>
      <w:r>
        <w:rPr>
          <w:color w:val="1F4E79"/>
        </w:rPr>
        <w:t>7. Limites et perspectives</w:t>
      </w:r>
    </w:p>
    <w:p>
      <w:pPr>
        <w:pStyle w:val="ListBullet"/>
      </w:pPr>
      <w:r>
        <w:t>La distance n'est disponible que pour 45 % des services ; un rapprochement plus fiable des gares en amont (ETL) enrichirait le jeu de features.</w:t>
      </w:r>
    </w:p>
    <w:p>
      <w:pPr>
        <w:pStyle w:val="ListBullet"/>
      </w:pPr>
      <w:r>
        <w:t>La jointure opérateur est inexploitable en l'état et mériterait d'être corrigée à la source.</w:t>
      </w:r>
    </w:p>
    <w:p>
      <w:pPr>
        <w:pStyle w:val="ListBullet"/>
      </w:pPr>
      <w:r>
        <w:t>Le faible nombre de variables réellement indépendantes invite à compléter, à terme, par des données externes (fréquence hebdomadaire, fréquentation) pour affiner les familles de dessertes.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