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DFF4" w14:textId="77777777" w:rsidR="00164C2C" w:rsidRPr="00164C2C" w:rsidRDefault="00164C2C" w:rsidP="00164C2C">
      <w:r w:rsidRPr="00164C2C">
        <w:t>Resumen de clases de Bootstrap 5 con ejemplo y descripción:</w:t>
      </w:r>
    </w:p>
    <w:p w14:paraId="10C05595" w14:textId="77777777" w:rsidR="00164C2C" w:rsidRPr="00164C2C" w:rsidRDefault="00164C2C" w:rsidP="00164C2C">
      <w:r w:rsidRPr="00164C2C">
        <w:pict w14:anchorId="757523C5">
          <v:rect id="_x0000_i1037" style="width:0;height:1.5pt" o:hralign="center" o:hrstd="t" o:hr="t" fillcolor="#a0a0a0" stroked="f"/>
        </w:pict>
      </w:r>
    </w:p>
    <w:p w14:paraId="3D9FE29C" w14:textId="77777777" w:rsidR="00164C2C" w:rsidRPr="00164C2C" w:rsidRDefault="00164C2C" w:rsidP="00164C2C">
      <w:pPr>
        <w:rPr>
          <w:b/>
          <w:bCs/>
        </w:rPr>
      </w:pPr>
      <w:r w:rsidRPr="00164C2C">
        <w:rPr>
          <w:b/>
          <w:bCs/>
        </w:rPr>
        <w:t xml:space="preserve">1. </w:t>
      </w:r>
      <w:proofErr w:type="spellStart"/>
      <w:r w:rsidRPr="00164C2C">
        <w:rPr>
          <w:b/>
          <w:bCs/>
        </w:rPr>
        <w:t>Layout</w:t>
      </w:r>
      <w:proofErr w:type="spellEnd"/>
      <w:r w:rsidRPr="00164C2C">
        <w:rPr>
          <w:b/>
          <w:bCs/>
        </w:rPr>
        <w:t xml:space="preserve"> / </w:t>
      </w:r>
      <w:proofErr w:type="spellStart"/>
      <w:r w:rsidRPr="00164C2C">
        <w:rPr>
          <w:b/>
          <w:bCs/>
        </w:rPr>
        <w:t>Grid</w:t>
      </w:r>
      <w:proofErr w:type="spellEnd"/>
    </w:p>
    <w:p w14:paraId="39C55E54" w14:textId="77777777" w:rsidR="00164C2C" w:rsidRPr="00164C2C" w:rsidRDefault="00164C2C" w:rsidP="00164C2C">
      <w:pPr>
        <w:numPr>
          <w:ilvl w:val="0"/>
          <w:numId w:val="1"/>
        </w:numPr>
      </w:pPr>
      <w:r w:rsidRPr="00164C2C">
        <w:rPr>
          <w:b/>
          <w:bCs/>
        </w:rPr>
        <w:t>container</w:t>
      </w:r>
      <w:r w:rsidRPr="00164C2C">
        <w:t>: Contenido → Centra y limita el ancho.</w:t>
      </w:r>
    </w:p>
    <w:p w14:paraId="63C08651" w14:textId="77777777" w:rsidR="00164C2C" w:rsidRPr="00164C2C" w:rsidRDefault="00164C2C" w:rsidP="00164C2C">
      <w:pPr>
        <w:numPr>
          <w:ilvl w:val="0"/>
          <w:numId w:val="1"/>
        </w:numPr>
      </w:pPr>
      <w:r w:rsidRPr="00164C2C">
        <w:rPr>
          <w:b/>
          <w:bCs/>
        </w:rPr>
        <w:t>container-fluid</w:t>
      </w:r>
      <w:r w:rsidRPr="00164C2C">
        <w:t>: Contenido → Ocupa todo el ancho de la pantalla.</w:t>
      </w:r>
    </w:p>
    <w:p w14:paraId="6BEDCE67" w14:textId="77777777" w:rsidR="00164C2C" w:rsidRPr="00164C2C" w:rsidRDefault="00164C2C" w:rsidP="00164C2C">
      <w:pPr>
        <w:numPr>
          <w:ilvl w:val="0"/>
          <w:numId w:val="1"/>
        </w:numPr>
      </w:pPr>
      <w:proofErr w:type="spellStart"/>
      <w:r w:rsidRPr="00164C2C">
        <w:rPr>
          <w:b/>
          <w:bCs/>
        </w:rPr>
        <w:t>row</w:t>
      </w:r>
      <w:proofErr w:type="spellEnd"/>
      <w:r w:rsidRPr="00164C2C">
        <w:t>: ... → Fila para columnas.</w:t>
      </w:r>
    </w:p>
    <w:p w14:paraId="1D1444B9" w14:textId="77777777" w:rsidR="00164C2C" w:rsidRPr="00164C2C" w:rsidRDefault="00164C2C" w:rsidP="00164C2C">
      <w:pPr>
        <w:numPr>
          <w:ilvl w:val="0"/>
          <w:numId w:val="1"/>
        </w:numPr>
      </w:pPr>
      <w:r w:rsidRPr="00164C2C">
        <w:rPr>
          <w:b/>
          <w:bCs/>
        </w:rPr>
        <w:t>col</w:t>
      </w:r>
      <w:r w:rsidRPr="00164C2C">
        <w:t>: Columna → Columna flexible dentro de una fila.</w:t>
      </w:r>
    </w:p>
    <w:p w14:paraId="2D9D3810" w14:textId="77777777" w:rsidR="00164C2C" w:rsidRPr="00164C2C" w:rsidRDefault="00164C2C" w:rsidP="00164C2C">
      <w:pPr>
        <w:numPr>
          <w:ilvl w:val="0"/>
          <w:numId w:val="1"/>
        </w:numPr>
      </w:pPr>
      <w:r w:rsidRPr="00164C2C">
        <w:rPr>
          <w:b/>
          <w:bCs/>
        </w:rPr>
        <w:t>col-md-6</w:t>
      </w:r>
      <w:r w:rsidRPr="00164C2C">
        <w:t>: Columna → Columna que ocupa la mitad del ancho en pantallas ≥768px.</w:t>
      </w:r>
    </w:p>
    <w:p w14:paraId="037C82E7" w14:textId="77777777" w:rsidR="00164C2C" w:rsidRPr="00164C2C" w:rsidRDefault="00164C2C" w:rsidP="00164C2C">
      <w:pPr>
        <w:rPr>
          <w:b/>
          <w:bCs/>
        </w:rPr>
      </w:pPr>
      <w:r w:rsidRPr="00164C2C">
        <w:rPr>
          <w:b/>
          <w:bCs/>
        </w:rPr>
        <w:t>2. Tipografía</w:t>
      </w:r>
    </w:p>
    <w:p w14:paraId="5AB67729" w14:textId="77777777" w:rsidR="00164C2C" w:rsidRPr="00164C2C" w:rsidRDefault="00164C2C" w:rsidP="00164C2C">
      <w:pPr>
        <w:numPr>
          <w:ilvl w:val="0"/>
          <w:numId w:val="2"/>
        </w:numPr>
      </w:pPr>
      <w:proofErr w:type="spellStart"/>
      <w:r w:rsidRPr="00164C2C">
        <w:rPr>
          <w:b/>
          <w:bCs/>
        </w:rPr>
        <w:t>fw-bold</w:t>
      </w:r>
      <w:proofErr w:type="spellEnd"/>
      <w:r w:rsidRPr="00164C2C">
        <w:t>: Texto negrita → Texto en negrita.</w:t>
      </w:r>
    </w:p>
    <w:p w14:paraId="25065648" w14:textId="77777777" w:rsidR="00164C2C" w:rsidRPr="00164C2C" w:rsidRDefault="00164C2C" w:rsidP="00164C2C">
      <w:pPr>
        <w:numPr>
          <w:ilvl w:val="0"/>
          <w:numId w:val="2"/>
        </w:numPr>
      </w:pPr>
      <w:proofErr w:type="spellStart"/>
      <w:r w:rsidRPr="00164C2C">
        <w:rPr>
          <w:b/>
          <w:bCs/>
        </w:rPr>
        <w:t>text</w:t>
      </w:r>
      <w:proofErr w:type="spellEnd"/>
      <w:r w:rsidRPr="00164C2C">
        <w:rPr>
          <w:b/>
          <w:bCs/>
        </w:rPr>
        <w:t>-center</w:t>
      </w:r>
      <w:r w:rsidRPr="00164C2C">
        <w:t>: Texto centrado → Centra el texto horizontalmente.</w:t>
      </w:r>
    </w:p>
    <w:p w14:paraId="7F28E1B1" w14:textId="77777777" w:rsidR="00164C2C" w:rsidRPr="00164C2C" w:rsidRDefault="00164C2C" w:rsidP="00164C2C">
      <w:pPr>
        <w:numPr>
          <w:ilvl w:val="0"/>
          <w:numId w:val="2"/>
        </w:numPr>
      </w:pPr>
      <w:proofErr w:type="spellStart"/>
      <w:r w:rsidRPr="00164C2C">
        <w:rPr>
          <w:b/>
          <w:bCs/>
        </w:rPr>
        <w:t>text-primary</w:t>
      </w:r>
      <w:proofErr w:type="spellEnd"/>
      <w:r w:rsidRPr="00164C2C">
        <w:t>: Texto azul → Cambia el color del texto al azul primario.</w:t>
      </w:r>
    </w:p>
    <w:p w14:paraId="5E6745D3" w14:textId="77777777" w:rsidR="00164C2C" w:rsidRPr="00164C2C" w:rsidRDefault="00164C2C" w:rsidP="00164C2C">
      <w:pPr>
        <w:numPr>
          <w:ilvl w:val="0"/>
          <w:numId w:val="2"/>
        </w:numPr>
      </w:pPr>
      <w:r w:rsidRPr="00164C2C">
        <w:rPr>
          <w:b/>
          <w:bCs/>
        </w:rPr>
        <w:t>fs-3</w:t>
      </w:r>
      <w:r w:rsidRPr="00164C2C">
        <w:t>: Texto grande → Tamaño de fuente grande.</w:t>
      </w:r>
    </w:p>
    <w:p w14:paraId="3AEE99AD" w14:textId="77777777" w:rsidR="00164C2C" w:rsidRPr="00164C2C" w:rsidRDefault="00164C2C" w:rsidP="00164C2C">
      <w:pPr>
        <w:rPr>
          <w:b/>
          <w:bCs/>
        </w:rPr>
      </w:pPr>
      <w:r w:rsidRPr="00164C2C">
        <w:rPr>
          <w:b/>
          <w:bCs/>
        </w:rPr>
        <w:t>3. Colores / Fondos</w:t>
      </w:r>
    </w:p>
    <w:p w14:paraId="6E8A5C82" w14:textId="77777777" w:rsidR="00164C2C" w:rsidRPr="00164C2C" w:rsidRDefault="00164C2C" w:rsidP="00164C2C">
      <w:pPr>
        <w:numPr>
          <w:ilvl w:val="0"/>
          <w:numId w:val="3"/>
        </w:numPr>
      </w:pPr>
      <w:proofErr w:type="spellStart"/>
      <w:r w:rsidRPr="00164C2C">
        <w:rPr>
          <w:b/>
          <w:bCs/>
        </w:rPr>
        <w:t>bg-primary</w:t>
      </w:r>
      <w:proofErr w:type="spellEnd"/>
      <w:r w:rsidRPr="00164C2C">
        <w:t>: Fondo azul → Fondo azul primario.</w:t>
      </w:r>
    </w:p>
    <w:p w14:paraId="4D0BDF30" w14:textId="77777777" w:rsidR="00164C2C" w:rsidRPr="00164C2C" w:rsidRDefault="00164C2C" w:rsidP="00164C2C">
      <w:pPr>
        <w:numPr>
          <w:ilvl w:val="0"/>
          <w:numId w:val="3"/>
        </w:numPr>
      </w:pPr>
      <w:proofErr w:type="spellStart"/>
      <w:r w:rsidRPr="00164C2C">
        <w:rPr>
          <w:b/>
          <w:bCs/>
        </w:rPr>
        <w:t>bg</w:t>
      </w:r>
      <w:proofErr w:type="spellEnd"/>
      <w:r w:rsidRPr="00164C2C">
        <w:rPr>
          <w:b/>
          <w:bCs/>
        </w:rPr>
        <w:t>-light</w:t>
      </w:r>
      <w:r w:rsidRPr="00164C2C">
        <w:t>: Fondo claro → Fondo gris claro.</w:t>
      </w:r>
    </w:p>
    <w:p w14:paraId="5B7E06EF" w14:textId="77777777" w:rsidR="00164C2C" w:rsidRPr="00164C2C" w:rsidRDefault="00164C2C" w:rsidP="00164C2C">
      <w:pPr>
        <w:numPr>
          <w:ilvl w:val="0"/>
          <w:numId w:val="3"/>
        </w:numPr>
      </w:pPr>
      <w:proofErr w:type="spellStart"/>
      <w:r w:rsidRPr="00164C2C">
        <w:rPr>
          <w:b/>
          <w:bCs/>
        </w:rPr>
        <w:t>bg-danger</w:t>
      </w:r>
      <w:proofErr w:type="spellEnd"/>
      <w:r w:rsidRPr="00164C2C">
        <w:t>: Fondo rojo → Fondo rojo.</w:t>
      </w:r>
    </w:p>
    <w:p w14:paraId="0CDCD824" w14:textId="77777777" w:rsidR="00164C2C" w:rsidRPr="00164C2C" w:rsidRDefault="00164C2C" w:rsidP="00164C2C">
      <w:pPr>
        <w:rPr>
          <w:b/>
          <w:bCs/>
        </w:rPr>
      </w:pPr>
      <w:r w:rsidRPr="00164C2C">
        <w:rPr>
          <w:b/>
          <w:bCs/>
        </w:rPr>
        <w:t>4. Espaciado</w:t>
      </w:r>
    </w:p>
    <w:p w14:paraId="0F5CA457" w14:textId="77777777" w:rsidR="00164C2C" w:rsidRPr="00164C2C" w:rsidRDefault="00164C2C" w:rsidP="00164C2C">
      <w:pPr>
        <w:numPr>
          <w:ilvl w:val="0"/>
          <w:numId w:val="4"/>
        </w:numPr>
      </w:pPr>
      <w:r w:rsidRPr="00164C2C">
        <w:rPr>
          <w:b/>
          <w:bCs/>
        </w:rPr>
        <w:t>m-3</w:t>
      </w:r>
      <w:r w:rsidRPr="00164C2C">
        <w:t>: Contenido → Aplica margen de tamaño 3 en todos lados.</w:t>
      </w:r>
    </w:p>
    <w:p w14:paraId="7019471D" w14:textId="77777777" w:rsidR="00164C2C" w:rsidRPr="00164C2C" w:rsidRDefault="00164C2C" w:rsidP="00164C2C">
      <w:pPr>
        <w:numPr>
          <w:ilvl w:val="0"/>
          <w:numId w:val="4"/>
        </w:numPr>
      </w:pPr>
      <w:r w:rsidRPr="00164C2C">
        <w:rPr>
          <w:b/>
          <w:bCs/>
        </w:rPr>
        <w:t>mt-4</w:t>
      </w:r>
      <w:r w:rsidRPr="00164C2C">
        <w:t>: Contenido → Aplica margen superior de tamaño 4.</w:t>
      </w:r>
    </w:p>
    <w:p w14:paraId="14CA1581" w14:textId="77777777" w:rsidR="00164C2C" w:rsidRPr="00164C2C" w:rsidRDefault="00164C2C" w:rsidP="00164C2C">
      <w:pPr>
        <w:numPr>
          <w:ilvl w:val="0"/>
          <w:numId w:val="4"/>
        </w:numPr>
      </w:pPr>
      <w:r w:rsidRPr="00164C2C">
        <w:rPr>
          <w:b/>
          <w:bCs/>
        </w:rPr>
        <w:t>p-2</w:t>
      </w:r>
      <w:r w:rsidRPr="00164C2C">
        <w:t xml:space="preserve">: Contenido → Aplica </w:t>
      </w:r>
      <w:proofErr w:type="spellStart"/>
      <w:r w:rsidRPr="00164C2C">
        <w:t>padding</w:t>
      </w:r>
      <w:proofErr w:type="spellEnd"/>
      <w:r w:rsidRPr="00164C2C">
        <w:t xml:space="preserve"> de tamaño 2 en todos lados.</w:t>
      </w:r>
    </w:p>
    <w:p w14:paraId="27A7B3FB" w14:textId="77777777" w:rsidR="00164C2C" w:rsidRPr="00164C2C" w:rsidRDefault="00164C2C" w:rsidP="00164C2C">
      <w:pPr>
        <w:numPr>
          <w:ilvl w:val="0"/>
          <w:numId w:val="4"/>
        </w:numPr>
      </w:pPr>
      <w:r w:rsidRPr="00164C2C">
        <w:rPr>
          <w:b/>
          <w:bCs/>
        </w:rPr>
        <w:t>px-5</w:t>
      </w:r>
      <w:r w:rsidRPr="00164C2C">
        <w:t xml:space="preserve">: Contenido → Aplica </w:t>
      </w:r>
      <w:proofErr w:type="spellStart"/>
      <w:r w:rsidRPr="00164C2C">
        <w:t>padding</w:t>
      </w:r>
      <w:proofErr w:type="spellEnd"/>
      <w:r w:rsidRPr="00164C2C">
        <w:t xml:space="preserve"> horizontal de tamaño 5.</w:t>
      </w:r>
    </w:p>
    <w:p w14:paraId="67B06DE9" w14:textId="77777777" w:rsidR="00164C2C" w:rsidRPr="00164C2C" w:rsidRDefault="00164C2C" w:rsidP="00164C2C">
      <w:pPr>
        <w:rPr>
          <w:b/>
          <w:bCs/>
        </w:rPr>
      </w:pPr>
      <w:r w:rsidRPr="00164C2C">
        <w:rPr>
          <w:b/>
          <w:bCs/>
        </w:rPr>
        <w:t>5. Botones</w:t>
      </w:r>
    </w:p>
    <w:p w14:paraId="767579A7" w14:textId="77777777" w:rsidR="00164C2C" w:rsidRPr="00164C2C" w:rsidRDefault="00164C2C" w:rsidP="00164C2C">
      <w:pPr>
        <w:numPr>
          <w:ilvl w:val="0"/>
          <w:numId w:val="5"/>
        </w:numPr>
      </w:pPr>
      <w:proofErr w:type="spellStart"/>
      <w:r w:rsidRPr="00164C2C">
        <w:rPr>
          <w:b/>
          <w:bCs/>
        </w:rPr>
        <w:t>btn</w:t>
      </w:r>
      <w:proofErr w:type="spellEnd"/>
      <w:r w:rsidRPr="00164C2C">
        <w:t>: Botón → Aplica estilo básico de botón.</w:t>
      </w:r>
    </w:p>
    <w:p w14:paraId="13C8FF18" w14:textId="77777777" w:rsidR="00164C2C" w:rsidRPr="00164C2C" w:rsidRDefault="00164C2C" w:rsidP="00164C2C">
      <w:pPr>
        <w:numPr>
          <w:ilvl w:val="0"/>
          <w:numId w:val="5"/>
        </w:numPr>
      </w:pPr>
      <w:proofErr w:type="spellStart"/>
      <w:r w:rsidRPr="00164C2C">
        <w:rPr>
          <w:b/>
          <w:bCs/>
        </w:rPr>
        <w:t>btn-primary</w:t>
      </w:r>
      <w:proofErr w:type="spellEnd"/>
      <w:r w:rsidRPr="00164C2C">
        <w:t>: Botón azul → Botón con fondo azul.</w:t>
      </w:r>
    </w:p>
    <w:p w14:paraId="20EF0646" w14:textId="77777777" w:rsidR="00164C2C" w:rsidRPr="00164C2C" w:rsidRDefault="00164C2C" w:rsidP="00164C2C">
      <w:pPr>
        <w:numPr>
          <w:ilvl w:val="0"/>
          <w:numId w:val="5"/>
        </w:numPr>
      </w:pPr>
      <w:proofErr w:type="spellStart"/>
      <w:r w:rsidRPr="00164C2C">
        <w:rPr>
          <w:b/>
          <w:bCs/>
        </w:rPr>
        <w:t>btn-lg</w:t>
      </w:r>
      <w:proofErr w:type="spellEnd"/>
      <w:r w:rsidRPr="00164C2C">
        <w:t>: Botón grande → Botón de tamaño grande.</w:t>
      </w:r>
    </w:p>
    <w:p w14:paraId="0CD07B02" w14:textId="77777777" w:rsidR="00164C2C" w:rsidRPr="00164C2C" w:rsidRDefault="00164C2C" w:rsidP="00164C2C">
      <w:pPr>
        <w:numPr>
          <w:ilvl w:val="0"/>
          <w:numId w:val="5"/>
        </w:numPr>
      </w:pPr>
      <w:proofErr w:type="spellStart"/>
      <w:r w:rsidRPr="00164C2C">
        <w:rPr>
          <w:b/>
          <w:bCs/>
        </w:rPr>
        <w:t>btn-sm</w:t>
      </w:r>
      <w:proofErr w:type="spellEnd"/>
      <w:r w:rsidRPr="00164C2C">
        <w:t>: Botón pequeño → Botón pequeño.</w:t>
      </w:r>
    </w:p>
    <w:p w14:paraId="350BAB75" w14:textId="77777777" w:rsidR="00164C2C" w:rsidRPr="00164C2C" w:rsidRDefault="00164C2C" w:rsidP="00164C2C">
      <w:pPr>
        <w:rPr>
          <w:b/>
          <w:bCs/>
        </w:rPr>
      </w:pPr>
      <w:r w:rsidRPr="00164C2C">
        <w:rPr>
          <w:b/>
          <w:bCs/>
        </w:rPr>
        <w:lastRenderedPageBreak/>
        <w:t>6. Componentes</w:t>
      </w:r>
    </w:p>
    <w:p w14:paraId="1BBD7608" w14:textId="77777777" w:rsidR="00164C2C" w:rsidRPr="00164C2C" w:rsidRDefault="00164C2C" w:rsidP="00164C2C">
      <w:pPr>
        <w:numPr>
          <w:ilvl w:val="0"/>
          <w:numId w:val="6"/>
        </w:numPr>
      </w:pPr>
      <w:proofErr w:type="spellStart"/>
      <w:r w:rsidRPr="00164C2C">
        <w:rPr>
          <w:b/>
          <w:bCs/>
        </w:rPr>
        <w:t>navbar</w:t>
      </w:r>
      <w:proofErr w:type="spellEnd"/>
      <w:r w:rsidRPr="00164C2C">
        <w:t xml:space="preserve">: Barra de navegación → Aplica estilo base de </w:t>
      </w:r>
      <w:proofErr w:type="spellStart"/>
      <w:r w:rsidRPr="00164C2C">
        <w:t>navbar</w:t>
      </w:r>
      <w:proofErr w:type="spellEnd"/>
      <w:r w:rsidRPr="00164C2C">
        <w:t>.</w:t>
      </w:r>
    </w:p>
    <w:p w14:paraId="4E65D22B" w14:textId="77777777" w:rsidR="00164C2C" w:rsidRPr="00164C2C" w:rsidRDefault="00164C2C" w:rsidP="00164C2C">
      <w:pPr>
        <w:numPr>
          <w:ilvl w:val="0"/>
          <w:numId w:val="6"/>
        </w:numPr>
      </w:pPr>
      <w:proofErr w:type="spellStart"/>
      <w:r w:rsidRPr="00164C2C">
        <w:rPr>
          <w:b/>
          <w:bCs/>
        </w:rPr>
        <w:t>card</w:t>
      </w:r>
      <w:proofErr w:type="spellEnd"/>
      <w:r w:rsidRPr="00164C2C">
        <w:t>: Contenido → Tarjeta con borde y sombra.</w:t>
      </w:r>
    </w:p>
    <w:p w14:paraId="333C9D7B" w14:textId="77777777" w:rsidR="00164C2C" w:rsidRPr="00164C2C" w:rsidRDefault="00164C2C" w:rsidP="00164C2C">
      <w:pPr>
        <w:numPr>
          <w:ilvl w:val="0"/>
          <w:numId w:val="6"/>
        </w:numPr>
      </w:pPr>
      <w:proofErr w:type="spellStart"/>
      <w:r w:rsidRPr="00164C2C">
        <w:rPr>
          <w:b/>
          <w:bCs/>
        </w:rPr>
        <w:t>alert</w:t>
      </w:r>
      <w:proofErr w:type="spellEnd"/>
      <w:r w:rsidRPr="00164C2C">
        <w:rPr>
          <w:b/>
          <w:bCs/>
        </w:rPr>
        <w:t xml:space="preserve"> </w:t>
      </w:r>
      <w:proofErr w:type="spellStart"/>
      <w:r w:rsidRPr="00164C2C">
        <w:rPr>
          <w:b/>
          <w:bCs/>
        </w:rPr>
        <w:t>alert-success</w:t>
      </w:r>
      <w:proofErr w:type="spellEnd"/>
      <w:r w:rsidRPr="00164C2C">
        <w:t>: Mensaje → Mensaje con fondo verde y estilo de alerta.</w:t>
      </w:r>
    </w:p>
    <w:p w14:paraId="377233B4" w14:textId="77777777" w:rsidR="00164C2C" w:rsidRPr="00164C2C" w:rsidRDefault="00164C2C" w:rsidP="00164C2C">
      <w:pPr>
        <w:numPr>
          <w:ilvl w:val="0"/>
          <w:numId w:val="6"/>
        </w:numPr>
      </w:pPr>
      <w:proofErr w:type="spellStart"/>
      <w:r w:rsidRPr="00164C2C">
        <w:rPr>
          <w:b/>
          <w:bCs/>
        </w:rPr>
        <w:t>form</w:t>
      </w:r>
      <w:proofErr w:type="spellEnd"/>
      <w:r w:rsidRPr="00164C2C">
        <w:rPr>
          <w:b/>
          <w:bCs/>
        </w:rPr>
        <w:t>-control</w:t>
      </w:r>
      <w:r w:rsidRPr="00164C2C">
        <w:t>: → Input estilizado.</w:t>
      </w:r>
    </w:p>
    <w:p w14:paraId="333646D3" w14:textId="77777777" w:rsidR="00164C2C" w:rsidRPr="00164C2C" w:rsidRDefault="00164C2C" w:rsidP="00164C2C">
      <w:pPr>
        <w:rPr>
          <w:b/>
          <w:bCs/>
        </w:rPr>
      </w:pPr>
      <w:r w:rsidRPr="00164C2C">
        <w:rPr>
          <w:b/>
          <w:bCs/>
        </w:rPr>
        <w:t>7. Utilidades varias</w:t>
      </w:r>
    </w:p>
    <w:p w14:paraId="4447DC9A" w14:textId="77777777" w:rsidR="00164C2C" w:rsidRPr="00164C2C" w:rsidRDefault="00164C2C" w:rsidP="00164C2C">
      <w:pPr>
        <w:numPr>
          <w:ilvl w:val="0"/>
          <w:numId w:val="7"/>
        </w:numPr>
      </w:pPr>
      <w:r w:rsidRPr="00164C2C">
        <w:rPr>
          <w:b/>
          <w:bCs/>
        </w:rPr>
        <w:t>d-</w:t>
      </w:r>
      <w:proofErr w:type="spellStart"/>
      <w:r w:rsidRPr="00164C2C">
        <w:rPr>
          <w:b/>
          <w:bCs/>
        </w:rPr>
        <w:t>flex</w:t>
      </w:r>
      <w:proofErr w:type="spellEnd"/>
      <w:r w:rsidRPr="00164C2C">
        <w:t xml:space="preserve">: ... → Aplica </w:t>
      </w:r>
      <w:proofErr w:type="spellStart"/>
      <w:r w:rsidRPr="00164C2C">
        <w:t>display</w:t>
      </w:r>
      <w:proofErr w:type="spellEnd"/>
      <w:r w:rsidRPr="00164C2C">
        <w:t xml:space="preserve"> </w:t>
      </w:r>
      <w:proofErr w:type="spellStart"/>
      <w:r w:rsidRPr="00164C2C">
        <w:t>flex</w:t>
      </w:r>
      <w:proofErr w:type="spellEnd"/>
      <w:r w:rsidRPr="00164C2C">
        <w:t>.</w:t>
      </w:r>
    </w:p>
    <w:p w14:paraId="13E6D285" w14:textId="77777777" w:rsidR="00164C2C" w:rsidRPr="00164C2C" w:rsidRDefault="00164C2C" w:rsidP="00164C2C">
      <w:pPr>
        <w:numPr>
          <w:ilvl w:val="0"/>
          <w:numId w:val="7"/>
        </w:numPr>
      </w:pPr>
      <w:proofErr w:type="spellStart"/>
      <w:r w:rsidRPr="00164C2C">
        <w:rPr>
          <w:b/>
          <w:bCs/>
        </w:rPr>
        <w:t>justify</w:t>
      </w:r>
      <w:proofErr w:type="spellEnd"/>
      <w:r w:rsidRPr="00164C2C">
        <w:rPr>
          <w:b/>
          <w:bCs/>
        </w:rPr>
        <w:t>-</w:t>
      </w:r>
      <w:proofErr w:type="spellStart"/>
      <w:r w:rsidRPr="00164C2C">
        <w:rPr>
          <w:b/>
          <w:bCs/>
        </w:rPr>
        <w:t>content</w:t>
      </w:r>
      <w:proofErr w:type="spellEnd"/>
      <w:r w:rsidRPr="00164C2C">
        <w:rPr>
          <w:b/>
          <w:bCs/>
        </w:rPr>
        <w:t>-center</w:t>
      </w:r>
      <w:r w:rsidRPr="00164C2C">
        <w:t xml:space="preserve">: ... → Centra elementos horizontalmente en </w:t>
      </w:r>
      <w:proofErr w:type="spellStart"/>
      <w:r w:rsidRPr="00164C2C">
        <w:t>flex</w:t>
      </w:r>
      <w:proofErr w:type="spellEnd"/>
      <w:r w:rsidRPr="00164C2C">
        <w:t>.</w:t>
      </w:r>
    </w:p>
    <w:p w14:paraId="1926F23D" w14:textId="77777777" w:rsidR="00164C2C" w:rsidRPr="00164C2C" w:rsidRDefault="00164C2C" w:rsidP="00164C2C">
      <w:pPr>
        <w:numPr>
          <w:ilvl w:val="0"/>
          <w:numId w:val="7"/>
        </w:numPr>
      </w:pPr>
      <w:proofErr w:type="spellStart"/>
      <w:r w:rsidRPr="00164C2C">
        <w:rPr>
          <w:b/>
          <w:bCs/>
        </w:rPr>
        <w:t>align</w:t>
      </w:r>
      <w:proofErr w:type="spellEnd"/>
      <w:r w:rsidRPr="00164C2C">
        <w:rPr>
          <w:b/>
          <w:bCs/>
        </w:rPr>
        <w:t>-</w:t>
      </w:r>
      <w:proofErr w:type="spellStart"/>
      <w:r w:rsidRPr="00164C2C">
        <w:rPr>
          <w:b/>
          <w:bCs/>
        </w:rPr>
        <w:t>items</w:t>
      </w:r>
      <w:proofErr w:type="spellEnd"/>
      <w:r w:rsidRPr="00164C2C">
        <w:rPr>
          <w:b/>
          <w:bCs/>
        </w:rPr>
        <w:t>-center</w:t>
      </w:r>
      <w:r w:rsidRPr="00164C2C">
        <w:t xml:space="preserve">: ... → Centra elementos verticalmente en </w:t>
      </w:r>
      <w:proofErr w:type="spellStart"/>
      <w:r w:rsidRPr="00164C2C">
        <w:t>flex</w:t>
      </w:r>
      <w:proofErr w:type="spellEnd"/>
      <w:r w:rsidRPr="00164C2C">
        <w:t>.</w:t>
      </w:r>
    </w:p>
    <w:p w14:paraId="0627D14D" w14:textId="77777777" w:rsidR="00164C2C" w:rsidRPr="00164C2C" w:rsidRDefault="00164C2C" w:rsidP="00164C2C">
      <w:pPr>
        <w:numPr>
          <w:ilvl w:val="0"/>
          <w:numId w:val="7"/>
        </w:numPr>
      </w:pPr>
      <w:proofErr w:type="spellStart"/>
      <w:r w:rsidRPr="00164C2C">
        <w:rPr>
          <w:b/>
          <w:bCs/>
        </w:rPr>
        <w:t>rounded</w:t>
      </w:r>
      <w:proofErr w:type="spellEnd"/>
      <w:r w:rsidRPr="00164C2C">
        <w:t>: ... → Bordes redondeados.</w:t>
      </w:r>
    </w:p>
    <w:p w14:paraId="409520DC" w14:textId="77777777" w:rsidR="00164C2C" w:rsidRPr="00164C2C" w:rsidRDefault="00164C2C" w:rsidP="00164C2C">
      <w:pPr>
        <w:numPr>
          <w:ilvl w:val="0"/>
          <w:numId w:val="7"/>
        </w:numPr>
      </w:pPr>
      <w:proofErr w:type="spellStart"/>
      <w:r w:rsidRPr="00164C2C">
        <w:rPr>
          <w:b/>
          <w:bCs/>
        </w:rPr>
        <w:t>shadow</w:t>
      </w:r>
      <w:proofErr w:type="spellEnd"/>
      <w:r w:rsidRPr="00164C2C">
        <w:t>: ... → Sombra alrededor del elemento.</w:t>
      </w:r>
    </w:p>
    <w:p w14:paraId="341A6001" w14:textId="77777777" w:rsidR="00164C2C" w:rsidRPr="00164C2C" w:rsidRDefault="00164C2C" w:rsidP="00164C2C">
      <w:pPr>
        <w:numPr>
          <w:ilvl w:val="0"/>
          <w:numId w:val="7"/>
        </w:numPr>
      </w:pPr>
      <w:proofErr w:type="spellStart"/>
      <w:r w:rsidRPr="00164C2C">
        <w:rPr>
          <w:b/>
          <w:bCs/>
        </w:rPr>
        <w:t>text-truncate</w:t>
      </w:r>
      <w:proofErr w:type="spellEnd"/>
      <w:r w:rsidRPr="00164C2C">
        <w:t>: Texto largo... → Trunca el texto con puntos suspensivos si no cabe.</w:t>
      </w:r>
    </w:p>
    <w:p w14:paraId="72E1D629" w14:textId="77777777" w:rsidR="00164C2C" w:rsidRPr="00164C2C" w:rsidRDefault="00164C2C" w:rsidP="00164C2C">
      <w:r w:rsidRPr="00164C2C">
        <w:pict w14:anchorId="29EA3EB8">
          <v:rect id="_x0000_i1038" style="width:0;height:1.5pt" o:hralign="center" o:hrstd="t" o:hr="t" fillcolor="#a0a0a0" stroked="f"/>
        </w:pict>
      </w:r>
    </w:p>
    <w:p w14:paraId="5CE1CDE4" w14:textId="77777777" w:rsidR="00164C2C" w:rsidRPr="00164C2C" w:rsidRDefault="00164C2C" w:rsidP="00164C2C">
      <w:r w:rsidRPr="00164C2C">
        <w:t xml:space="preserve">Este archivo ahora incluye la </w:t>
      </w:r>
      <w:r w:rsidRPr="00164C2C">
        <w:rPr>
          <w:b/>
          <w:bCs/>
        </w:rPr>
        <w:t>clase</w:t>
      </w:r>
      <w:r w:rsidRPr="00164C2C">
        <w:t xml:space="preserve">, un </w:t>
      </w:r>
      <w:r w:rsidRPr="00164C2C">
        <w:rPr>
          <w:b/>
          <w:bCs/>
        </w:rPr>
        <w:t>ejemplo de uso</w:t>
      </w:r>
      <w:r w:rsidRPr="00164C2C">
        <w:t xml:space="preserve"> y </w:t>
      </w:r>
      <w:r w:rsidRPr="00164C2C">
        <w:rPr>
          <w:b/>
          <w:bCs/>
        </w:rPr>
        <w:t>qué hace</w:t>
      </w:r>
      <w:r w:rsidRPr="00164C2C">
        <w:t xml:space="preserve"> cada una.</w:t>
      </w:r>
    </w:p>
    <w:p w14:paraId="0D878549" w14:textId="77777777" w:rsidR="00890295" w:rsidRDefault="00890295"/>
    <w:sectPr w:rsidR="00890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81C"/>
    <w:multiLevelType w:val="multilevel"/>
    <w:tmpl w:val="1B6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17CC6"/>
    <w:multiLevelType w:val="multilevel"/>
    <w:tmpl w:val="380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70168"/>
    <w:multiLevelType w:val="multilevel"/>
    <w:tmpl w:val="32D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501CD"/>
    <w:multiLevelType w:val="multilevel"/>
    <w:tmpl w:val="664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41F3F"/>
    <w:multiLevelType w:val="multilevel"/>
    <w:tmpl w:val="EB8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F45E3"/>
    <w:multiLevelType w:val="multilevel"/>
    <w:tmpl w:val="AE9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B4DEB"/>
    <w:multiLevelType w:val="multilevel"/>
    <w:tmpl w:val="08A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599588">
    <w:abstractNumId w:val="6"/>
  </w:num>
  <w:num w:numId="2" w16cid:durableId="624122326">
    <w:abstractNumId w:val="5"/>
  </w:num>
  <w:num w:numId="3" w16cid:durableId="135873937">
    <w:abstractNumId w:val="3"/>
  </w:num>
  <w:num w:numId="4" w16cid:durableId="1976442689">
    <w:abstractNumId w:val="1"/>
  </w:num>
  <w:num w:numId="5" w16cid:durableId="859317964">
    <w:abstractNumId w:val="4"/>
  </w:num>
  <w:num w:numId="6" w16cid:durableId="1497526973">
    <w:abstractNumId w:val="0"/>
  </w:num>
  <w:num w:numId="7" w16cid:durableId="1151287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A4"/>
    <w:rsid w:val="00105AA4"/>
    <w:rsid w:val="00164C2C"/>
    <w:rsid w:val="00335BE8"/>
    <w:rsid w:val="007F5BF6"/>
    <w:rsid w:val="008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EBC5"/>
  <w15:chartTrackingRefBased/>
  <w15:docId w15:val="{46178C3A-43A6-433B-9819-0D467AB4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A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A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A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Sorano</dc:creator>
  <cp:keywords/>
  <dc:description/>
  <cp:lastModifiedBy>Marcelo Sorano</cp:lastModifiedBy>
  <cp:revision>2</cp:revision>
  <dcterms:created xsi:type="dcterms:W3CDTF">2025-08-19T16:57:00Z</dcterms:created>
  <dcterms:modified xsi:type="dcterms:W3CDTF">2025-08-19T16:57:00Z</dcterms:modified>
</cp:coreProperties>
</file>