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1F4E38"/>
          <w:spacing w:val="12"/>
          <w:sz w:val="18"/>
          <w:szCs w:val="18"/>
        </w:rPr>
        <w:t xml:space="preserve">BOARD OF STUDIES  ·  MUSLIM STUDENTS’ SOCIETY OF NIGERIA (MSSN)  ·  UNIVERSITY OF ILORIN</w:t>
      </w:r>
    </w:p>
    <w:p>
      <w:pPr>
        <w:spacing w:before="500"/>
        <w:jc w:val="center"/>
      </w:pPr>
      <w:r>
        <w:rPr>
          <w:rFonts w:ascii="Calibri" w:cs="Calibri" w:eastAsia="Calibri" w:hAnsi="Calibri"/>
          <w:b/>
          <w:bCs/>
          <w:color w:val="1B2B26"/>
          <w:sz w:val="62"/>
          <w:szCs w:val="62"/>
        </w:rPr>
        <w:t xml:space="preserve">DOS SITE</w:t>
      </w:r>
    </w:p>
    <w:p>
      <w:pPr>
        <w:spacing w:before="120"/>
        <w:jc w:val="center"/>
      </w:pPr>
      <w:r>
        <w:rPr>
          <w:rFonts w:ascii="Calibri" w:cs="Calibri" w:eastAsia="Calibri" w:hAnsi="Calibri"/>
          <w:b/>
          <w:bCs/>
          <w:color w:val="1F4E38"/>
          <w:sz w:val="30"/>
          <w:szCs w:val="30"/>
        </w:rPr>
        <w:t xml:space="preserve">Development Proposal &amp; Requirements Confirmation</w:t>
      </w:r>
    </w:p>
    <w:p>
      <w:pPr>
        <w:spacing w:before="260"/>
        <w:jc w:val="center"/>
      </w:pPr>
      <w:r>
        <w:rPr>
          <w:rFonts w:ascii="Calibri" w:cs="Calibri" w:eastAsia="Calibri" w:hAnsi="Calibri"/>
          <w:i/>
          <w:iCs/>
          <w:color w:val="5A6472"/>
          <w:sz w:val="20"/>
          <w:szCs w:val="20"/>
        </w:rPr>
        <w:t xml:space="preserve">A free learning and assessment platform for Muslim students and JAMB aspirants</w:t>
      </w:r>
    </w:p>
    <w:p>
      <w:pPr>
        <w:pBdr>
          <w:top w:val="single" w:color="C7CDD6" w:sz="4" w:space="14"/>
        </w:pBdr>
        <w:spacing w:before="900"/>
        <w:jc w:val="center"/>
      </w:pPr>
      <w:r>
        <w:rPr>
          <w:rFonts w:ascii="Calibri" w:cs="Calibri" w:eastAsia="Calibri" w:hAnsi="Calibri"/>
          <w:color w:val="5A6472"/>
          <w:spacing w:val="10"/>
          <w:sz w:val="16"/>
          <w:szCs w:val="16"/>
        </w:rPr>
        <w:t xml:space="preserve">PREPARED FOR BOARD &amp; TEAM REVIEW</w:t>
      </w:r>
    </w:p>
    <w:p>
      <w:pPr>
        <w:spacing w:before="100"/>
        <w:jc w:val="center"/>
      </w:pPr>
      <w:r>
        <w:rPr>
          <w:rFonts w:ascii="Calibri" w:cs="Calibri" w:eastAsia="Calibri" w:hAnsi="Calibri"/>
          <w:b/>
          <w:bCs/>
          <w:color w:val="1B2B26"/>
          <w:sz w:val="18"/>
          <w:szCs w:val="18"/>
        </w:rPr>
        <w:t xml:space="preserve">Draft for Discussion — Version 2.0</w:t>
      </w:r>
    </w:p>
    <w:p>
      <w:pPr>
        <w:spacing w:before="40"/>
        <w:jc w:val="center"/>
      </w:pPr>
      <w:r>
        <w:rPr>
          <w:rFonts w:ascii="Calibri" w:cs="Calibri" w:eastAsia="Calibri" w:hAnsi="Calibri"/>
          <w:color w:val="5A6472"/>
          <w:sz w:val="18"/>
          <w:szCs w:val="18"/>
        </w:rPr>
        <w:t xml:space="preserve">19 August 2026</w:t>
      </w:r>
    </w:p>
    <w:p>
      <w:r>
        <w:br w:type="page"/>
      </w:r>
    </w:p>
    <w:p>
      <w:pPr>
        <w:spacing w:after="300"/>
      </w:pPr>
      <w:r>
        <w:rPr>
          <w:rFonts w:ascii="Calibri" w:cs="Calibri" w:eastAsia="Calibri" w:hAnsi="Calibri"/>
          <w:b/>
          <w:bCs/>
          <w:color w:val="1F4E38"/>
          <w:sz w:val="30"/>
          <w:szCs w:val="30"/>
        </w:rPr>
        <w:t xml:space="preserve">Contents</w:t>
      </w:r>
    </w:p>
    <w:p>
      <w:pPr>
        <w:spacing w:after="140"/>
      </w:pPr>
      <w:r>
        <w:rPr>
          <w:rFonts w:ascii="Calibri" w:cs="Calibri" w:eastAsia="Calibri" w:hAnsi="Calibri"/>
          <w:color w:val="1B2B26"/>
          <w:sz w:val="22"/>
          <w:szCs w:val="22"/>
        </w:rPr>
        <w:t xml:space="preserve">1.  Executive Summary</w:t>
      </w:r>
    </w:p>
    <w:p>
      <w:pPr>
        <w:spacing w:after="140"/>
      </w:pPr>
      <w:r>
        <w:rPr>
          <w:rFonts w:ascii="Calibri" w:cs="Calibri" w:eastAsia="Calibri" w:hAnsi="Calibri"/>
          <w:color w:val="1B2B26"/>
          <w:sz w:val="22"/>
          <w:szCs w:val="22"/>
        </w:rPr>
        <w:t xml:space="preserve">2.  Purpose &amp; Audience</w:t>
      </w:r>
    </w:p>
    <w:p>
      <w:pPr>
        <w:spacing w:after="140"/>
      </w:pPr>
      <w:r>
        <w:rPr>
          <w:rFonts w:ascii="Calibri" w:cs="Calibri" w:eastAsia="Calibri" w:hAnsi="Calibri"/>
          <w:color w:val="1B2B26"/>
          <w:sz w:val="22"/>
          <w:szCs w:val="22"/>
        </w:rPr>
        <w:t xml:space="preserve">3.  Roles &amp; Capabilities</w:t>
      </w:r>
    </w:p>
    <w:p>
      <w:pPr>
        <w:spacing w:after="140"/>
      </w:pPr>
      <w:r>
        <w:rPr>
          <w:rFonts w:ascii="Calibri" w:cs="Calibri" w:eastAsia="Calibri" w:hAnsi="Calibri"/>
          <w:color w:val="1B2B26"/>
          <w:sz w:val="22"/>
          <w:szCs w:val="22"/>
        </w:rPr>
        <w:t xml:space="preserve">4.  Academic Structure &amp; Onboarding</w:t>
      </w:r>
    </w:p>
    <w:p>
      <w:pPr>
        <w:spacing w:after="140"/>
      </w:pPr>
      <w:r>
        <w:rPr>
          <w:rFonts w:ascii="Calibri" w:cs="Calibri" w:eastAsia="Calibri" w:hAnsi="Calibri"/>
          <w:color w:val="1B2B26"/>
          <w:sz w:val="22"/>
          <w:szCs w:val="22"/>
        </w:rPr>
        <w:t xml:space="preserve">5.  How the Platform Works</w:t>
      </w:r>
    </w:p>
    <w:p>
      <w:pPr>
        <w:spacing w:after="140"/>
      </w:pPr>
      <w:r>
        <w:rPr>
          <w:rFonts w:ascii="Calibri" w:cs="Calibri" w:eastAsia="Calibri" w:hAnsi="Calibri"/>
          <w:color w:val="1B2B26"/>
          <w:sz w:val="22"/>
          <w:szCs w:val="22"/>
        </w:rPr>
        <w:t xml:space="preserve">6.  Technical Overview (Plain-Language)</w:t>
      </w:r>
    </w:p>
    <w:p>
      <w:pPr>
        <w:spacing w:after="140"/>
      </w:pPr>
      <w:r>
        <w:rPr>
          <w:rFonts w:ascii="Calibri" w:cs="Calibri" w:eastAsia="Calibri" w:hAnsi="Calibri"/>
          <w:color w:val="1B2B26"/>
          <w:sz w:val="22"/>
          <w:szCs w:val="22"/>
        </w:rPr>
        <w:t xml:space="preserve">7.  Infrastructure &amp; Services Required</w:t>
      </w:r>
    </w:p>
    <w:p>
      <w:pPr>
        <w:spacing w:after="140"/>
      </w:pPr>
      <w:r>
        <w:rPr>
          <w:rFonts w:ascii="Calibri" w:cs="Calibri" w:eastAsia="Calibri" w:hAnsi="Calibri"/>
          <w:color w:val="1B2B26"/>
          <w:sz w:val="22"/>
          <w:szCs w:val="22"/>
        </w:rPr>
        <w:t xml:space="preserve">8.  Recommended Path to Launch</w:t>
      </w:r>
    </w:p>
    <w:p>
      <w:pPr>
        <w:spacing w:after="140"/>
      </w:pPr>
      <w:r>
        <w:rPr>
          <w:rFonts w:ascii="Calibri" w:cs="Calibri" w:eastAsia="Calibri" w:hAnsi="Calibri"/>
          <w:color w:val="1B2B26"/>
          <w:sz w:val="22"/>
          <w:szCs w:val="22"/>
        </w:rPr>
        <w:t xml:space="preserve">9.  Estimated Costs &amp; Growth Triggers</w:t>
      </w:r>
    </w:p>
    <w:p>
      <w:pPr>
        <w:spacing w:after="140"/>
      </w:pPr>
      <w:r>
        <w:rPr>
          <w:rFonts w:ascii="Calibri" w:cs="Calibri" w:eastAsia="Calibri" w:hAnsi="Calibri"/>
          <w:color w:val="1B2B26"/>
          <w:sz w:val="22"/>
          <w:szCs w:val="22"/>
        </w:rPr>
        <w:t xml:space="preserve">10.  Open Items Requiring Board Confirmation</w:t>
      </w:r>
    </w:p>
    <w:p>
      <w:pPr>
        <w:spacing w:after="140"/>
      </w:pPr>
      <w:r>
        <w:rPr>
          <w:rFonts w:ascii="Calibri" w:cs="Calibri" w:eastAsia="Calibri" w:hAnsi="Calibri"/>
          <w:color w:val="1B2B26"/>
          <w:sz w:val="22"/>
          <w:szCs w:val="22"/>
        </w:rPr>
        <w:t xml:space="preserve">11.  Proposed Next Steps &amp; Timeline</w:t>
      </w:r>
    </w:p>
    <w:p>
      <w:r>
        <w:br w:type="page"/>
      </w:r>
    </w:p>
    <w:p>
      <w:pPr>
        <w:pStyle w:val="Heading1"/>
        <w:pBdr>
          <w:bottom w:val="single" w:color="2F6F52" w:sz="6" w:space="6"/>
        </w:pBdr>
        <w:spacing w:after="200" w:before="420"/>
      </w:pPr>
      <w:r>
        <w:rPr>
          <w:rFonts w:ascii="Calibri" w:cs="Calibri" w:eastAsia="Calibri" w:hAnsi="Calibri"/>
          <w:b/>
          <w:bCs/>
          <w:color w:val="B8862F"/>
          <w:sz w:val="27"/>
          <w:szCs w:val="27"/>
        </w:rPr>
        <w:t xml:space="preserve">1.  </w:t>
      </w:r>
      <w:r>
        <w:rPr>
          <w:rFonts w:ascii="Calibri" w:cs="Calibri" w:eastAsia="Calibri" w:hAnsi="Calibri"/>
          <w:b/>
          <w:bCs/>
          <w:color w:val="1F4E38"/>
          <w:sz w:val="27"/>
          <w:szCs w:val="27"/>
        </w:rPr>
        <w:t xml:space="preserve">Executive Summary</w:t>
      </w:r>
    </w:p>
    <w:p>
      <w:pPr>
        <w:spacing w:after="160" w:line="300"/>
      </w:pPr>
      <w:r>
        <w:rPr>
          <w:rFonts w:ascii="Calibri" w:cs="Calibri" w:eastAsia="Calibri" w:hAnsi="Calibri"/>
          <w:i w:val="false"/>
          <w:iCs w:val="false"/>
          <w:color w:val="1B2B26"/>
          <w:sz w:val="21"/>
          <w:szCs w:val="21"/>
        </w:rPr>
        <w:t xml:space="preserve">The DOS Site is a proposed free learning and assessment platform for the Board of Studies (MSSN, University of Ilorin), built to serve two audiences: enrolled Muslim undergraduates and JAMB aspirants preparing for admission. It centers on a shared question bank organized under a Faculty → Department → Course → Topic hierarchy, two distinct quiz types (practice Topic Quizzes and graded weekly Course Quizzes), and fully platform-computed weekly performance tracking — CGPA for students, and a converted Post-UTME score for aspirants.</w:t>
      </w:r>
    </w:p>
    <w:p>
      <w:pPr>
        <w:spacing w:after="160" w:line="300"/>
      </w:pPr>
      <w:r>
        <w:rPr>
          <w:rFonts w:ascii="Calibri" w:cs="Calibri" w:eastAsia="Calibri" w:hAnsi="Calibri"/>
          <w:i w:val="false"/>
          <w:iCs w:val="false"/>
          <w:color w:val="1B2B26"/>
          <w:sz w:val="21"/>
          <w:szCs w:val="21"/>
        </w:rPr>
        <w:t xml:space="preserve">This document translates the original requirements note into a plain-language proposal for Board review: what each role can do, how onboarding and the academic calendar work, how the core flows run, what needs to be built and hosted, and the one real technical trade-off worth the Board's attention. A number of details still need Board confirmation before development begins — these are gathered in Section 10 for a single, focused review.</w:t>
      </w:r>
    </w:p>
    <w:p>
      <w:pPr>
        <w:pStyle w:val="Heading1"/>
        <w:pBdr>
          <w:bottom w:val="single" w:color="2F6F52" w:sz="6" w:space="6"/>
        </w:pBdr>
        <w:spacing w:after="200" w:before="420"/>
      </w:pPr>
      <w:r>
        <w:rPr>
          <w:rFonts w:ascii="Calibri" w:cs="Calibri" w:eastAsia="Calibri" w:hAnsi="Calibri"/>
          <w:b/>
          <w:bCs/>
          <w:color w:val="B8862F"/>
          <w:sz w:val="27"/>
          <w:szCs w:val="27"/>
        </w:rPr>
        <w:t xml:space="preserve">2.  </w:t>
      </w:r>
      <w:r>
        <w:rPr>
          <w:rFonts w:ascii="Calibri" w:cs="Calibri" w:eastAsia="Calibri" w:hAnsi="Calibri"/>
          <w:b/>
          <w:bCs/>
          <w:color w:val="1F4E38"/>
          <w:sz w:val="27"/>
          <w:szCs w:val="27"/>
        </w:rPr>
        <w:t xml:space="preserve">Purpose &amp; Audience</w:t>
      </w:r>
    </w:p>
    <w:p>
      <w:pPr>
        <w:spacing w:after="160" w:line="300"/>
      </w:pPr>
      <w:r>
        <w:rPr>
          <w:rFonts w:ascii="Calibri" w:cs="Calibri" w:eastAsia="Calibri" w:hAnsi="Calibri"/>
          <w:i w:val="false"/>
          <w:iCs w:val="false"/>
          <w:color w:val="1B2B26"/>
          <w:sz w:val="21"/>
          <w:szCs w:val="21"/>
        </w:rPr>
        <w:t xml:space="preserve">The platform is entirely free to use — there is no payment or subscription flow. Access is controlled by registration credentials rather than by payment, and serves two distinct tracks:</w:t>
      </w:r>
    </w:p>
    <w:tbl>
      <w:tblPr>
        <w:tblW w:type="dxa" w:w="9350"/>
        <w:tblBorders>
          <w:top w:val="single" w:color="C7CDD6" w:sz="4"/>
          <w:left w:val="single" w:color="C7CDD6" w:sz="4"/>
          <w:bottom w:val="single" w:color="C7CDD6" w:sz="4"/>
          <w:right w:val="single" w:color="C7CDD6" w:sz="4"/>
          <w:insideH w:val="single" w:color="auto" w:sz="4"/>
          <w:insideV w:val="single" w:color="auto" w:sz="4"/>
        </w:tblBorders>
      </w:tblPr>
      <w:tblGrid>
        <w:gridCol w:w="3200"/>
        <w:gridCol w:w="3400"/>
        <w:gridCol w:w="2750"/>
      </w:tblGrid>
      <w:tr>
        <w:trPr>
          <w:tblHeader/>
        </w:trPr>
        <w:tc>
          <w:tcPr>
            <w:tcW w:type="dxa" w:w="320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Audience</w:t>
            </w:r>
          </w:p>
        </w:tc>
        <w:tc>
          <w:tcPr>
            <w:tcW w:type="dxa" w:w="340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Registers With</w:t>
            </w:r>
          </w:p>
        </w:tc>
        <w:tc>
          <w:tcPr>
            <w:tcW w:type="dxa" w:w="275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Primary Goal</w:t>
            </w:r>
          </w:p>
        </w:tc>
      </w:tr>
      <w:tr>
        <w:tc>
          <w:tcPr>
            <w:tcW w:type="dxa" w:w="32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Students (Undergraduates)</w:t>
            </w:r>
          </w:p>
        </w:tc>
        <w:tc>
          <w:tcPr>
            <w:tcW w:type="dxa" w:w="34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Matric Number, Name, Password</w:t>
            </w:r>
          </w:p>
        </w:tc>
        <w:tc>
          <w:tcPr>
            <w:tcW w:type="dxa" w:w="27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Reinforce coursework via weekly Course Quizzes; track CGPA</w:t>
            </w:r>
          </w:p>
        </w:tc>
      </w:tr>
      <w:tr>
        <w:tc>
          <w:tcPr>
            <w:tcW w:type="dxa" w:w="32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Aspirants (JAMB candidates)</w:t>
            </w:r>
          </w:p>
        </w:tc>
        <w:tc>
          <w:tcPr>
            <w:tcW w:type="dxa" w:w="34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JAMB Registration Number, Name, Password</w:t>
            </w:r>
          </w:p>
        </w:tc>
        <w:tc>
          <w:tcPr>
            <w:tcW w:type="dxa" w:w="27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Practice JAMB-style quizzes; track a weekly, converted Post-UTME score</w:t>
            </w:r>
          </w:p>
        </w:tc>
      </w:tr>
    </w:tbl>
    <w:p>
      <w:pPr>
        <w:spacing w:after="200" w:before="100"/>
      </w:pPr>
      <w:r>
        <w:rPr>
          <w:rFonts w:ascii="Calibri" w:cs="Calibri" w:eastAsia="Calibri" w:hAnsi="Calibri"/>
          <w:i/>
          <w:iCs/>
          <w:color w:val="5A6472"/>
          <w:sz w:val="18"/>
          <w:szCs w:val="18"/>
        </w:rPr>
        <w:t xml:space="preserve">Note: confirmed with the Board's IT team (19 Aug 2026) — Students register with Matric Number; Aspirants register with JAMB Registration Number. This is the standard mapping and corrects the reversed pairing in the previous draft.</w:t>
      </w:r>
    </w:p>
    <w:p>
      <w:pPr>
        <w:pStyle w:val="Heading1"/>
        <w:pBdr>
          <w:bottom w:val="single" w:color="2F6F52" w:sz="6" w:space="6"/>
        </w:pBdr>
        <w:spacing w:after="200" w:before="420"/>
      </w:pPr>
      <w:r>
        <w:rPr>
          <w:rFonts w:ascii="Calibri" w:cs="Calibri" w:eastAsia="Calibri" w:hAnsi="Calibri"/>
          <w:b/>
          <w:bCs/>
          <w:color w:val="B8862F"/>
          <w:sz w:val="27"/>
          <w:szCs w:val="27"/>
        </w:rPr>
        <w:t xml:space="preserve">3.  </w:t>
      </w:r>
      <w:r>
        <w:rPr>
          <w:rFonts w:ascii="Calibri" w:cs="Calibri" w:eastAsia="Calibri" w:hAnsi="Calibri"/>
          <w:b/>
          <w:bCs/>
          <w:color w:val="1F4E38"/>
          <w:sz w:val="27"/>
          <w:szCs w:val="27"/>
        </w:rPr>
        <w:t xml:space="preserve">Roles &amp; Capabilities</w:t>
      </w:r>
    </w:p>
    <w:p>
      <w:pPr>
        <w:spacing w:after="160" w:line="300"/>
      </w:pPr>
      <w:r>
        <w:rPr>
          <w:rFonts w:ascii="Calibri" w:cs="Calibri" w:eastAsia="Calibri" w:hAnsi="Calibri"/>
          <w:i w:val="false"/>
          <w:iCs w:val="false"/>
          <w:color w:val="1B2B26"/>
          <w:sz w:val="21"/>
          <w:szCs w:val="21"/>
        </w:rPr>
        <w:t xml:space="preserve">Four roles share the platform, each scoped to what they need to do their part:</w:t>
      </w:r>
    </w:p>
    <w:tbl>
      <w:tblPr>
        <w:tblW w:type="dxa" w:w="9350"/>
        <w:tblBorders>
          <w:top w:val="single" w:color="C7CDD6" w:sz="4"/>
          <w:left w:val="single" w:color="C7CDD6" w:sz="4"/>
          <w:bottom w:val="single" w:color="C7CDD6" w:sz="4"/>
          <w:right w:val="single" w:color="C7CDD6" w:sz="4"/>
          <w:insideH w:val="single" w:color="auto" w:sz="4"/>
          <w:insideV w:val="single" w:color="auto" w:sz="4"/>
        </w:tblBorders>
      </w:tblPr>
      <w:tblGrid>
        <w:gridCol w:w="2350"/>
        <w:gridCol w:w="7000"/>
      </w:tblGrid>
      <w:tr>
        <w:trPr>
          <w:tblHeader/>
        </w:trPr>
        <w:tc>
          <w:tcPr>
            <w:tcW w:type="dxa" w:w="235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Role</w:t>
            </w:r>
          </w:p>
        </w:tc>
        <w:tc>
          <w:tcPr>
            <w:tcW w:type="dxa" w:w="700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Key Capabilities</w:t>
            </w:r>
          </w:p>
        </w:tc>
      </w:tr>
      <w:tr>
        <w:tc>
          <w:tcPr>
            <w:tcW w:type="dxa" w:w="23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r>
              <w:rPr>
                <w:rFonts w:ascii="Calibri" w:cs="Calibri" w:eastAsia="Calibri" w:hAnsi="Calibri"/>
                <w:b/>
                <w:bCs/>
                <w:color w:val="1B2B26"/>
                <w:sz w:val="20"/>
                <w:szCs w:val="20"/>
              </w:rPr>
              <w:t xml:space="preserve">Admin</w:t>
            </w:r>
          </w:p>
        </w:tc>
        <w:tc>
          <w:tcPr>
            <w:tcW w:type="dxa" w:w="70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pStyle w:val="ListParagraph"/>
              <w:numPr>
                <w:ilvl w:val="0"/>
                <w:numId w:val="2"/>
              </w:numPr>
              <w:spacing w:after="40"/>
            </w:pPr>
            <w:r>
              <w:rPr>
                <w:rFonts w:ascii="Calibri" w:cs="Calibri" w:eastAsia="Calibri" w:hAnsi="Calibri"/>
                <w:color w:val="1B2B26"/>
                <w:sz w:val="19"/>
                <w:szCs w:val="19"/>
              </w:rPr>
              <w:t xml:space="preserve">Declare the academic structure: Levels, Faculties, Departments, and Courses under each Department</w:t>
            </w:r>
          </w:p>
          <w:p>
            <w:pPr>
              <w:pStyle w:val="ListParagraph"/>
              <w:numPr>
                <w:ilvl w:val="0"/>
                <w:numId w:val="2"/>
              </w:numPr>
              <w:spacing w:after="40"/>
            </w:pPr>
            <w:r>
              <w:rPr>
                <w:rFonts w:ascii="Calibri" w:cs="Calibri" w:eastAsia="Calibri" w:hAnsi="Calibri"/>
                <w:color w:val="1B2B26"/>
                <w:sz w:val="19"/>
                <w:szCs w:val="19"/>
              </w:rPr>
              <w:t xml:space="preserve">Create and manage Teacher accounts</w:t>
            </w:r>
          </w:p>
          <w:p>
            <w:pPr>
              <w:pStyle w:val="ListParagraph"/>
              <w:numPr>
                <w:ilvl w:val="0"/>
                <w:numId w:val="2"/>
              </w:numPr>
              <w:spacing w:after="40"/>
            </w:pPr>
            <w:r>
              <w:rPr>
                <w:rFonts w:ascii="Calibri" w:cs="Calibri" w:eastAsia="Calibri" w:hAnsi="Calibri"/>
                <w:color w:val="1B2B26"/>
                <w:sz w:val="19"/>
                <w:szCs w:val="19"/>
              </w:rPr>
              <w:t xml:space="preserve">View all Students and Aspirants; track performance over time</w:t>
            </w:r>
          </w:p>
          <w:p>
            <w:pPr>
              <w:pStyle w:val="ListParagraph"/>
              <w:numPr>
                <w:ilvl w:val="0"/>
                <w:numId w:val="2"/>
              </w:numPr>
              <w:spacing w:after="40"/>
            </w:pPr>
            <w:r>
              <w:rPr>
                <w:rFonts w:ascii="Calibri" w:cs="Calibri" w:eastAsia="Calibri" w:hAnsi="Calibri"/>
                <w:color w:val="1B2B26"/>
                <w:sz w:val="19"/>
                <w:szCs w:val="19"/>
              </w:rPr>
              <w:t xml:space="preserve">Set or review/approve quizzes and Topics; release scores immediately or on a delay</w:t>
            </w:r>
          </w:p>
          <w:p>
            <w:pPr>
              <w:pStyle w:val="ListParagraph"/>
              <w:numPr>
                <w:ilvl w:val="0"/>
                <w:numId w:val="2"/>
              </w:numPr>
              <w:spacing w:after="40"/>
            </w:pPr>
            <w:r>
              <w:rPr>
                <w:rFonts w:ascii="Calibri" w:cs="Calibri" w:eastAsia="Calibri" w:hAnsi="Calibri"/>
                <w:color w:val="1B2B26"/>
                <w:sz w:val="19"/>
                <w:szCs w:val="19"/>
              </w:rPr>
              <w:t xml:space="preserve">Upload PDFs and weekly articles</w:t>
            </w:r>
          </w:p>
          <w:p>
            <w:pPr>
              <w:pStyle w:val="ListParagraph"/>
              <w:numPr>
                <w:ilvl w:val="0"/>
                <w:numId w:val="2"/>
              </w:numPr>
              <w:spacing w:after="40"/>
            </w:pPr>
            <w:r>
              <w:rPr>
                <w:rFonts w:ascii="Calibri" w:cs="Calibri" w:eastAsia="Calibri" w:hAnsi="Calibri"/>
                <w:color w:val="1B2B26"/>
                <w:sz w:val="19"/>
                <w:szCs w:val="19"/>
              </w:rPr>
              <w:t xml:space="preserve">View the leaderboard (admin-only)</w:t>
            </w:r>
          </w:p>
          <w:p>
            <w:pPr>
              <w:pStyle w:val="ListParagraph"/>
              <w:numPr>
                <w:ilvl w:val="0"/>
                <w:numId w:val="2"/>
              </w:numPr>
              <w:spacing w:after="40"/>
            </w:pPr>
            <w:r>
              <w:rPr>
                <w:rFonts w:ascii="Calibri" w:cs="Calibri" w:eastAsia="Calibri" w:hAnsi="Calibri"/>
                <w:color w:val="1B2B26"/>
                <w:sz w:val="19"/>
                <w:szCs w:val="19"/>
              </w:rPr>
              <w:t xml:space="preserve">Release weekly Post-UTME scores, converted to the Unilorin 50-point scale</w:t>
            </w:r>
          </w:p>
        </w:tc>
      </w:tr>
      <w:tr>
        <w:tc>
          <w:tcPr>
            <w:tcW w:type="dxa" w:w="23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r>
              <w:rPr>
                <w:rFonts w:ascii="Calibri" w:cs="Calibri" w:eastAsia="Calibri" w:hAnsi="Calibri"/>
                <w:b/>
                <w:bCs/>
                <w:color w:val="1B2B26"/>
                <w:sz w:val="20"/>
                <w:szCs w:val="20"/>
              </w:rPr>
              <w:t xml:space="preserve">Teacher</w:t>
            </w:r>
          </w:p>
        </w:tc>
        <w:tc>
          <w:tcPr>
            <w:tcW w:type="dxa" w:w="70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pStyle w:val="ListParagraph"/>
              <w:numPr>
                <w:ilvl w:val="0"/>
                <w:numId w:val="2"/>
              </w:numPr>
              <w:spacing w:after="40"/>
            </w:pPr>
            <w:r>
              <w:rPr>
                <w:rFonts w:ascii="Calibri" w:cs="Calibri" w:eastAsia="Calibri" w:hAnsi="Calibri"/>
                <w:color w:val="1B2B26"/>
                <w:sz w:val="19"/>
                <w:szCs w:val="19"/>
              </w:rPr>
              <w:t xml:space="preserve">Create Topics within a course (alongside Admin)</w:t>
            </w:r>
          </w:p>
          <w:p>
            <w:pPr>
              <w:pStyle w:val="ListParagraph"/>
              <w:numPr>
                <w:ilvl w:val="0"/>
                <w:numId w:val="2"/>
              </w:numPr>
              <w:spacing w:after="40"/>
            </w:pPr>
            <w:r>
              <w:rPr>
                <w:rFonts w:ascii="Calibri" w:cs="Calibri" w:eastAsia="Calibri" w:hAnsi="Calibri"/>
                <w:color w:val="1B2B26"/>
                <w:sz w:val="19"/>
                <w:szCs w:val="19"/>
              </w:rPr>
              <w:t xml:space="preserve">Build and maintain the question bank (Fill-in-the-Gap and Options types)</w:t>
            </w:r>
          </w:p>
          <w:p>
            <w:pPr>
              <w:pStyle w:val="ListParagraph"/>
              <w:numPr>
                <w:ilvl w:val="0"/>
                <w:numId w:val="2"/>
              </w:numPr>
              <w:spacing w:after="40"/>
            </w:pPr>
            <w:r>
              <w:rPr>
                <w:rFonts w:ascii="Calibri" w:cs="Calibri" w:eastAsia="Calibri" w:hAnsi="Calibri"/>
                <w:color w:val="1B2B26"/>
                <w:sz w:val="19"/>
                <w:szCs w:val="19"/>
              </w:rPr>
              <w:t xml:space="preserve">Configure and publish quizzes — both Topic Quizzes and Course Quizzes</w:t>
            </w:r>
          </w:p>
          <w:p>
            <w:pPr>
              <w:pStyle w:val="ListParagraph"/>
              <w:numPr>
                <w:ilvl w:val="0"/>
                <w:numId w:val="2"/>
              </w:numPr>
              <w:spacing w:after="40"/>
            </w:pPr>
            <w:r>
              <w:rPr>
                <w:rFonts w:ascii="Calibri" w:cs="Calibri" w:eastAsia="Calibri" w:hAnsi="Calibri"/>
                <w:color w:val="1B2B26"/>
                <w:sz w:val="19"/>
                <w:szCs w:val="19"/>
              </w:rPr>
              <w:t xml:space="preserve">Save incomplete questions as drafts — cannot publish until complete</w:t>
            </w:r>
          </w:p>
          <w:p>
            <w:pPr>
              <w:pStyle w:val="ListParagraph"/>
              <w:numPr>
                <w:ilvl w:val="0"/>
                <w:numId w:val="2"/>
              </w:numPr>
              <w:spacing w:after="40"/>
            </w:pPr>
            <w:r>
              <w:rPr>
                <w:rFonts w:ascii="Calibri" w:cs="Calibri" w:eastAsia="Calibri" w:hAnsi="Calibri"/>
                <w:color w:val="1B2B26"/>
                <w:sz w:val="19"/>
                <w:szCs w:val="19"/>
              </w:rPr>
              <w:t xml:space="preserve">View results for quizzes they created</w:t>
            </w:r>
          </w:p>
        </w:tc>
      </w:tr>
      <w:tr>
        <w:tc>
          <w:tcPr>
            <w:tcW w:type="dxa" w:w="23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r>
              <w:rPr>
                <w:rFonts w:ascii="Calibri" w:cs="Calibri" w:eastAsia="Calibri" w:hAnsi="Calibri"/>
                <w:b/>
                <w:bCs/>
                <w:color w:val="1B2B26"/>
                <w:sz w:val="20"/>
                <w:szCs w:val="20"/>
              </w:rPr>
              <w:t xml:space="preserve">Student</w:t>
            </w:r>
          </w:p>
        </w:tc>
        <w:tc>
          <w:tcPr>
            <w:tcW w:type="dxa" w:w="70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pStyle w:val="ListParagraph"/>
              <w:numPr>
                <w:ilvl w:val="0"/>
                <w:numId w:val="2"/>
              </w:numPr>
              <w:spacing w:after="40"/>
            </w:pPr>
            <w:r>
              <w:rPr>
                <w:rFonts w:ascii="Calibri" w:cs="Calibri" w:eastAsia="Calibri" w:hAnsi="Calibri"/>
                <w:color w:val="1B2B26"/>
                <w:sz w:val="19"/>
                <w:szCs w:val="19"/>
              </w:rPr>
              <w:t xml:space="preserve">Register with Matric Number, Name &amp; Password</w:t>
            </w:r>
          </w:p>
          <w:p>
            <w:pPr>
              <w:pStyle w:val="ListParagraph"/>
              <w:numPr>
                <w:ilvl w:val="0"/>
                <w:numId w:val="2"/>
              </w:numPr>
              <w:spacing w:after="40"/>
            </w:pPr>
            <w:r>
              <w:rPr>
                <w:rFonts w:ascii="Calibri" w:cs="Calibri" w:eastAsia="Calibri" w:hAnsi="Calibri"/>
                <w:color w:val="1B2B26"/>
                <w:sz w:val="19"/>
                <w:szCs w:val="19"/>
              </w:rPr>
              <w:t xml:space="preserve">Take quizzes assigned to their Faculty/Department/Level/Course</w:t>
            </w:r>
          </w:p>
          <w:p>
            <w:pPr>
              <w:pStyle w:val="ListParagraph"/>
              <w:numPr>
                <w:ilvl w:val="0"/>
                <w:numId w:val="2"/>
              </w:numPr>
              <w:spacing w:after="40"/>
            </w:pPr>
            <w:r>
              <w:rPr>
                <w:rFonts w:ascii="Calibri" w:cs="Calibri" w:eastAsia="Calibri" w:hAnsi="Calibri"/>
                <w:color w:val="1B2B26"/>
                <w:sz w:val="19"/>
                <w:szCs w:val="19"/>
              </w:rPr>
              <w:t xml:space="preserve">View their own CGPA — 100% platform-computed weekly from Course Quiz results — and quiz history</w:t>
            </w:r>
          </w:p>
        </w:tc>
      </w:tr>
      <w:tr>
        <w:tc>
          <w:tcPr>
            <w:tcW w:type="dxa" w:w="23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r>
              <w:rPr>
                <w:rFonts w:ascii="Calibri" w:cs="Calibri" w:eastAsia="Calibri" w:hAnsi="Calibri"/>
                <w:b/>
                <w:bCs/>
                <w:color w:val="1B2B26"/>
                <w:sz w:val="20"/>
                <w:szCs w:val="20"/>
              </w:rPr>
              <w:t xml:space="preserve">Aspirant</w:t>
            </w:r>
          </w:p>
        </w:tc>
        <w:tc>
          <w:tcPr>
            <w:tcW w:type="dxa" w:w="70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pStyle w:val="ListParagraph"/>
              <w:numPr>
                <w:ilvl w:val="0"/>
                <w:numId w:val="2"/>
              </w:numPr>
              <w:spacing w:after="40"/>
            </w:pPr>
            <w:r>
              <w:rPr>
                <w:rFonts w:ascii="Calibri" w:cs="Calibri" w:eastAsia="Calibri" w:hAnsi="Calibri"/>
                <w:color w:val="1B2B26"/>
                <w:sz w:val="19"/>
                <w:szCs w:val="19"/>
              </w:rPr>
              <w:t xml:space="preserve">Register with JAMB Registration Number, Name &amp; Password</w:t>
            </w:r>
          </w:p>
          <w:p>
            <w:pPr>
              <w:pStyle w:val="ListParagraph"/>
              <w:numPr>
                <w:ilvl w:val="0"/>
                <w:numId w:val="2"/>
              </w:numPr>
              <w:spacing w:after="40"/>
            </w:pPr>
            <w:r>
              <w:rPr>
                <w:rFonts w:ascii="Calibri" w:cs="Calibri" w:eastAsia="Calibri" w:hAnsi="Calibri"/>
                <w:color w:val="1B2B26"/>
                <w:sz w:val="19"/>
                <w:szCs w:val="19"/>
              </w:rPr>
              <w:t xml:space="preserve">Take JAMB-focused quizzes</w:t>
            </w:r>
          </w:p>
          <w:p>
            <w:pPr>
              <w:pStyle w:val="ListParagraph"/>
              <w:numPr>
                <w:ilvl w:val="0"/>
                <w:numId w:val="2"/>
              </w:numPr>
              <w:spacing w:after="40"/>
            </w:pPr>
            <w:r>
              <w:rPr>
                <w:rFonts w:ascii="Calibri" w:cs="Calibri" w:eastAsia="Calibri" w:hAnsi="Calibri"/>
                <w:color w:val="1B2B26"/>
                <w:sz w:val="19"/>
                <w:szCs w:val="19"/>
              </w:rPr>
              <w:t xml:space="preserve">View their own weekly Post-UTME score — 100% platform-computed, converted to the 50-point scale — and quiz history</w:t>
            </w:r>
          </w:p>
        </w:tc>
      </w:tr>
    </w:tbl>
    <w:p>
      <w:pPr>
        <w:pStyle w:val="Heading1"/>
        <w:pBdr>
          <w:bottom w:val="single" w:color="2F6F52" w:sz="6" w:space="6"/>
        </w:pBdr>
        <w:spacing w:after="200" w:before="420"/>
      </w:pPr>
      <w:r>
        <w:rPr>
          <w:rFonts w:ascii="Calibri" w:cs="Calibri" w:eastAsia="Calibri" w:hAnsi="Calibri"/>
          <w:b/>
          <w:bCs/>
          <w:color w:val="B8862F"/>
          <w:sz w:val="27"/>
          <w:szCs w:val="27"/>
        </w:rPr>
        <w:t xml:space="preserve">4.  </w:t>
      </w:r>
      <w:r>
        <w:rPr>
          <w:rFonts w:ascii="Calibri" w:cs="Calibri" w:eastAsia="Calibri" w:hAnsi="Calibri"/>
          <w:b/>
          <w:bCs/>
          <w:color w:val="1F4E38"/>
          <w:sz w:val="27"/>
          <w:szCs w:val="27"/>
        </w:rPr>
        <w:t xml:space="preserve">Academic Structure &amp; Onboarding</w:t>
      </w:r>
    </w:p>
    <w:p>
      <w:pPr>
        <w:spacing w:after="160" w:line="300"/>
      </w:pPr>
      <w:r>
        <w:rPr>
          <w:rFonts w:ascii="Calibri" w:cs="Calibri" w:eastAsia="Calibri" w:hAnsi="Calibri"/>
          <w:i w:val="false"/>
          <w:iCs w:val="false"/>
          <w:color w:val="1B2B26"/>
          <w:sz w:val="21"/>
          <w:szCs w:val="21"/>
        </w:rPr>
        <w:t xml:space="preserve">Account creation alone isn't enough to show someone the right content. Immediately after registering, each Student and Aspirant completes a short onboarding step that determines what they see from then on.</w:t>
      </w:r>
    </w:p>
    <w:p>
      <w:pPr>
        <w:pStyle w:val="Heading2"/>
        <w:spacing w:after="120" w:before="240"/>
      </w:pPr>
      <w:r>
        <w:rPr>
          <w:rFonts w:ascii="Calibri" w:cs="Calibri" w:eastAsia="Calibri" w:hAnsi="Calibri"/>
          <w:b/>
          <w:bCs/>
          <w:color w:val="1F4E38"/>
          <w:sz w:val="22"/>
          <w:szCs w:val="22"/>
        </w:rPr>
        <w:t xml:space="preserve">Onboarding fields</w:t>
      </w:r>
    </w:p>
    <w:tbl>
      <w:tblPr>
        <w:tblW w:type="dxa" w:w="9350"/>
        <w:tblBorders>
          <w:top w:val="single" w:color="C7CDD6" w:sz="4"/>
          <w:left w:val="single" w:color="C7CDD6" w:sz="4"/>
          <w:bottom w:val="single" w:color="C7CDD6" w:sz="4"/>
          <w:right w:val="single" w:color="C7CDD6" w:sz="4"/>
          <w:insideH w:val="single" w:color="auto" w:sz="4"/>
          <w:insideV w:val="single" w:color="auto" w:sz="4"/>
        </w:tblBorders>
      </w:tblPr>
      <w:tblGrid>
        <w:gridCol w:w="2750"/>
        <w:gridCol w:w="3300"/>
        <w:gridCol w:w="3300"/>
      </w:tblGrid>
      <w:tr>
        <w:trPr>
          <w:tblHeader/>
        </w:trPr>
        <w:tc>
          <w:tcPr>
            <w:tcW w:type="dxa" w:w="275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Track</w:t>
            </w:r>
          </w:p>
        </w:tc>
        <w:tc>
          <w:tcPr>
            <w:tcW w:type="dxa" w:w="330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Selects / Enters</w:t>
            </w:r>
          </w:p>
        </w:tc>
        <w:tc>
          <w:tcPr>
            <w:tcW w:type="dxa" w:w="330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Required?</w:t>
            </w:r>
          </w:p>
        </w:tc>
      </w:tr>
      <w:tr>
        <w:tc>
          <w:tcPr>
            <w:tcW w:type="dxa" w:w="27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Student</w:t>
            </w:r>
          </w:p>
        </w:tc>
        <w:tc>
          <w:tcPr>
            <w:tcW w:type="dxa" w:w="33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Faculty, then Department (filtered by Faculty)</w:t>
            </w:r>
          </w:p>
          <w:p>
            <w:pPr>
              <w:spacing w:after="40"/>
            </w:pPr>
            <w:r>
              <w:rPr>
                <w:rFonts w:ascii="Calibri" w:cs="Calibri" w:eastAsia="Calibri" w:hAnsi="Calibri"/>
                <w:b w:val="false"/>
                <w:bCs w:val="false"/>
                <w:color w:val="1B2B26"/>
                <w:sz w:val="19"/>
                <w:szCs w:val="19"/>
              </w:rPr>
              <w:t xml:space="preserve">Level — options depend on the Department chosen</w:t>
            </w:r>
          </w:p>
        </w:tc>
        <w:tc>
          <w:tcPr>
            <w:tcW w:type="dxa" w:w="33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Required</w:t>
            </w:r>
          </w:p>
          <w:p>
            <w:pPr>
              <w:spacing w:after="40"/>
            </w:pPr>
            <w:r>
              <w:rPr>
                <w:rFonts w:ascii="Calibri" w:cs="Calibri" w:eastAsia="Calibri" w:hAnsi="Calibri"/>
                <w:b w:val="false"/>
                <w:bCs w:val="false"/>
                <w:color w:val="1B2B26"/>
                <w:sz w:val="19"/>
                <w:szCs w:val="19"/>
              </w:rPr>
              <w:t xml:space="preserve">Required</w:t>
            </w:r>
          </w:p>
        </w:tc>
      </w:tr>
      <w:tr>
        <w:tc>
          <w:tcPr>
            <w:tcW w:type="dxa" w:w="27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Aspirant</w:t>
            </w:r>
          </w:p>
        </w:tc>
        <w:tc>
          <w:tcPr>
            <w:tcW w:type="dxa" w:w="33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Department of Aspiration</w:t>
            </w:r>
          </w:p>
        </w:tc>
        <w:tc>
          <w:tcPr>
            <w:tcW w:type="dxa" w:w="33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Required</w:t>
            </w:r>
          </w:p>
        </w:tc>
      </w:tr>
    </w:tbl>
    <w:p>
      <w:pPr>
        <w:spacing w:after="200" w:before="100"/>
      </w:pPr>
      <w:r>
        <w:rPr>
          <w:rFonts w:ascii="Calibri" w:cs="Calibri" w:eastAsia="Calibri" w:hAnsi="Calibri"/>
          <w:i/>
          <w:iCs/>
          <w:color w:val="5A6472"/>
          <w:sz w:val="18"/>
          <w:szCs w:val="18"/>
        </w:rPr>
        <w:t xml:space="preserve">No GPA/CGPA or JAMB score is collected at onboarding (removed in this revision, per the Board's IT team). The platform now computes CGPA and Post-UTME score itself, entirely from quiz performance — so a self-reported starting figure is unnecessary. This also resolves the earlier open question about first-time Aspirants who haven't yet sat the JAMB exam.</w:t>
      </w:r>
    </w:p>
    <w:p>
      <w:pPr>
        <w:pStyle w:val="Heading2"/>
        <w:spacing w:after="120" w:before="240"/>
      </w:pPr>
      <w:r>
        <w:rPr>
          <w:rFonts w:ascii="Calibri" w:cs="Calibri" w:eastAsia="Calibri" w:hAnsi="Calibri"/>
          <w:b/>
          <w:bCs/>
          <w:color w:val="1F4E38"/>
          <w:sz w:val="22"/>
          <w:szCs w:val="22"/>
        </w:rPr>
        <w:t xml:space="preserve">Academic hierarchy (new in this revision)</w:t>
      </w:r>
    </w:p>
    <w:p>
      <w:pPr>
        <w:spacing w:after="160" w:line="300"/>
      </w:pPr>
      <w:r>
        <w:rPr>
          <w:rFonts w:ascii="Calibri" w:cs="Calibri" w:eastAsia="Calibri" w:hAnsi="Calibri"/>
          <w:i w:val="false"/>
          <w:iCs w:val="false"/>
          <w:color w:val="1B2B26"/>
          <w:sz w:val="21"/>
          <w:szCs w:val="21"/>
        </w:rPr>
        <w:t xml:space="preserve">Content is now organized under a four-level hierarchy, declared by Admin before the platform goes live:</w:t>
      </w:r>
    </w:p>
    <w:tbl>
      <w:tblPr>
        <w:tblW w:type="dxa" w:w="9350"/>
        <w:tblBorders>
          <w:top w:val="single" w:color="C7CDD6" w:sz="4"/>
          <w:left w:val="single" w:color="C7CDD6" w:sz="4"/>
          <w:bottom w:val="single" w:color="C7CDD6" w:sz="4"/>
          <w:right w:val="single" w:color="C7CDD6" w:sz="4"/>
          <w:insideH w:val="single" w:color="auto" w:sz="4"/>
          <w:insideV w:val="single" w:color="auto" w:sz="4"/>
        </w:tblBorders>
      </w:tblPr>
      <w:tblGrid>
        <w:gridCol w:w="2350"/>
        <w:gridCol w:w="7000"/>
      </w:tblGrid>
      <w:tr>
        <w:trPr>
          <w:tblHeader/>
        </w:trPr>
        <w:tc>
          <w:tcPr>
            <w:tcW w:type="dxa" w:w="235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Level</w:t>
            </w:r>
          </w:p>
        </w:tc>
        <w:tc>
          <w:tcPr>
            <w:tcW w:type="dxa" w:w="700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Examples</w:t>
            </w:r>
          </w:p>
        </w:tc>
      </w:tr>
      <w:tr>
        <w:tc>
          <w:tcPr>
            <w:tcW w:type="dxa" w:w="23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Faculty</w:t>
            </w:r>
          </w:p>
        </w:tc>
        <w:tc>
          <w:tcPr>
            <w:tcW w:type="dxa" w:w="70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Faculty of Science, Faculty of Engineering</w:t>
            </w:r>
          </w:p>
        </w:tc>
      </w:tr>
      <w:tr>
        <w:tc>
          <w:tcPr>
            <w:tcW w:type="dxa" w:w="23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Department</w:t>
            </w:r>
          </w:p>
        </w:tc>
        <w:tc>
          <w:tcPr>
            <w:tcW w:type="dxa" w:w="70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Computer Science, Electrical Engineering</w:t>
            </w:r>
          </w:p>
        </w:tc>
      </w:tr>
      <w:tr>
        <w:tc>
          <w:tcPr>
            <w:tcW w:type="dxa" w:w="23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Course</w:t>
            </w:r>
          </w:p>
        </w:tc>
        <w:tc>
          <w:tcPr>
            <w:tcW w:type="dxa" w:w="70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MAT 101, CSC 201</w:t>
            </w:r>
          </w:p>
        </w:tc>
      </w:tr>
      <w:tr>
        <w:tc>
          <w:tcPr>
            <w:tcW w:type="dxa" w:w="23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Topic</w:t>
            </w:r>
          </w:p>
        </w:tc>
        <w:tc>
          <w:tcPr>
            <w:tcW w:type="dxa" w:w="70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Trigonometry, Data Structures — created by Admin or Teacher</w:t>
            </w:r>
          </w:p>
        </w:tc>
      </w:tr>
    </w:tbl>
    <w:p>
      <w:pPr>
        <w:pStyle w:val="Heading2"/>
        <w:spacing w:after="120" w:before="240"/>
      </w:pPr>
      <w:r>
        <w:rPr>
          <w:rFonts w:ascii="Calibri" w:cs="Calibri" w:eastAsia="Calibri" w:hAnsi="Calibri"/>
          <w:b/>
          <w:bCs/>
          <w:color w:val="1F4E38"/>
          <w:sz w:val="22"/>
          <w:szCs w:val="22"/>
        </w:rPr>
        <w:t xml:space="preserve">Course scope types</w:t>
      </w:r>
    </w:p>
    <w:p>
      <w:pPr>
        <w:spacing w:after="160" w:line="300"/>
      </w:pPr>
      <w:r>
        <w:rPr>
          <w:rFonts w:ascii="Calibri" w:cs="Calibri" w:eastAsia="Calibri" w:hAnsi="Calibri"/>
          <w:i w:val="false"/>
          <w:iCs w:val="false"/>
          <w:color w:val="1B2B26"/>
          <w:sz w:val="21"/>
          <w:szCs w:val="21"/>
        </w:rPr>
        <w:t xml:space="preserve">Every Course is assigned one of four scopes, controlling which Students can see it:</w:t>
      </w:r>
    </w:p>
    <w:tbl>
      <w:tblPr>
        <w:tblW w:type="dxa" w:w="9350"/>
        <w:tblBorders>
          <w:top w:val="single" w:color="C7CDD6" w:sz="4"/>
          <w:left w:val="single" w:color="C7CDD6" w:sz="4"/>
          <w:bottom w:val="single" w:color="C7CDD6" w:sz="4"/>
          <w:right w:val="single" w:color="C7CDD6" w:sz="4"/>
          <w:insideH w:val="single" w:color="auto" w:sz="4"/>
          <w:insideV w:val="single" w:color="auto" w:sz="4"/>
        </w:tblBorders>
      </w:tblPr>
      <w:tblGrid>
        <w:gridCol w:w="2350"/>
        <w:gridCol w:w="7000"/>
      </w:tblGrid>
      <w:tr>
        <w:trPr>
          <w:tblHeader/>
        </w:trPr>
        <w:tc>
          <w:tcPr>
            <w:tcW w:type="dxa" w:w="235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Scope</w:t>
            </w:r>
          </w:p>
        </w:tc>
        <w:tc>
          <w:tcPr>
            <w:tcW w:type="dxa" w:w="700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Meaning</w:t>
            </w:r>
          </w:p>
        </w:tc>
      </w:tr>
      <w:tr>
        <w:tc>
          <w:tcPr>
            <w:tcW w:type="dxa" w:w="23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Department</w:t>
            </w:r>
          </w:p>
        </w:tc>
        <w:tc>
          <w:tcPr>
            <w:tcW w:type="dxa" w:w="70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Visible only to students in that one department</w:t>
            </w:r>
          </w:p>
        </w:tc>
      </w:tr>
      <w:tr>
        <w:tc>
          <w:tcPr>
            <w:tcW w:type="dxa" w:w="23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Faculty</w:t>
            </w:r>
          </w:p>
        </w:tc>
        <w:tc>
          <w:tcPr>
            <w:tcW w:type="dxa" w:w="70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Visible to every department under one faculty</w:t>
            </w:r>
          </w:p>
        </w:tc>
      </w:tr>
      <w:tr>
        <w:tc>
          <w:tcPr>
            <w:tcW w:type="dxa" w:w="23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General</w:t>
            </w:r>
          </w:p>
        </w:tc>
        <w:tc>
          <w:tcPr>
            <w:tcW w:type="dxa" w:w="70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Visible to all students, university-wide, regardless of department or faculty</w:t>
            </w:r>
          </w:p>
        </w:tc>
      </w:tr>
      <w:tr>
        <w:tc>
          <w:tcPr>
            <w:tcW w:type="dxa" w:w="23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Interfaculty</w:t>
            </w:r>
          </w:p>
        </w:tc>
        <w:tc>
          <w:tcPr>
            <w:tcW w:type="dxa" w:w="70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Visible to a specific set of faculties, manually picked by Admin per course (e.g. Faculty of Science + Faculty of Engineering)</w:t>
            </w:r>
          </w:p>
        </w:tc>
      </w:tr>
    </w:tbl>
    <w:p>
      <w:pPr>
        <w:pStyle w:val="Heading2"/>
        <w:spacing w:after="120" w:before="240"/>
      </w:pPr>
      <w:r>
        <w:rPr>
          <w:rFonts w:ascii="Calibri" w:cs="Calibri" w:eastAsia="Calibri" w:hAnsi="Calibri"/>
          <w:b/>
          <w:bCs/>
          <w:color w:val="1F4E38"/>
          <w:sz w:val="22"/>
          <w:szCs w:val="22"/>
        </w:rPr>
        <w:t xml:space="preserve">Two semesters, and how content is scoped</w:t>
      </w:r>
    </w:p>
    <w:p>
      <w:pPr>
        <w:spacing w:after="160" w:line="300"/>
      </w:pPr>
      <w:r>
        <w:rPr>
          <w:rFonts w:ascii="Calibri" w:cs="Calibri" w:eastAsia="Calibri" w:hAnsi="Calibri"/>
          <w:i w:val="false"/>
          <w:iCs w:val="false"/>
          <w:color w:val="1B2B26"/>
          <w:sz w:val="21"/>
          <w:szCs w:val="21"/>
        </w:rPr>
        <w:t xml:space="preserve">The undergraduate calendar runs on two semesters per session — Harmattan (1st Semester) and Rain (2nd Semester). Courses, quizzes, and uploaded resources are all scoped to a Student's Faculty, Department, Level, and the currently active Semester, so a Student only ever sees what's relevant to them.</w:t>
      </w:r>
    </w:p>
    <w:p>
      <w:pPr>
        <w:spacing w:after="160" w:line="300"/>
      </w:pPr>
      <w:r>
        <w:rPr>
          <w:rFonts w:ascii="Calibri" w:cs="Calibri" w:eastAsia="Calibri" w:hAnsi="Calibri"/>
          <w:i w:val="false"/>
          <w:iCs w:val="false"/>
          <w:color w:val="1B2B26"/>
          <w:sz w:val="21"/>
          <w:szCs w:val="21"/>
        </w:rPr>
        <w:t xml:space="preserve">Aspirants sit outside this structure entirely. Since they are not yet enrolled in any Unilorin course, their quizzes and resources are organized by JAMB subject (Physics, Use of English, and so on) instead of by Faculty/Department/Level/Semester/Course.</w:t>
      </w:r>
    </w:p>
    <w:p>
      <w:pPr>
        <w:pStyle w:val="Heading1"/>
        <w:pBdr>
          <w:bottom w:val="single" w:color="2F6F52" w:sz="6" w:space="6"/>
        </w:pBdr>
        <w:spacing w:after="200" w:before="420"/>
      </w:pPr>
      <w:r>
        <w:rPr>
          <w:rFonts w:ascii="Calibri" w:cs="Calibri" w:eastAsia="Calibri" w:hAnsi="Calibri"/>
          <w:b/>
          <w:bCs/>
          <w:color w:val="B8862F"/>
          <w:sz w:val="27"/>
          <w:szCs w:val="27"/>
        </w:rPr>
        <w:t xml:space="preserve">5.  </w:t>
      </w:r>
      <w:r>
        <w:rPr>
          <w:rFonts w:ascii="Calibri" w:cs="Calibri" w:eastAsia="Calibri" w:hAnsi="Calibri"/>
          <w:b/>
          <w:bCs/>
          <w:color w:val="1F4E38"/>
          <w:sz w:val="27"/>
          <w:szCs w:val="27"/>
        </w:rPr>
        <w:t xml:space="preserve">How the Platform Works</w:t>
      </w:r>
    </w:p>
    <w:p>
      <w:pPr>
        <w:spacing w:after="160" w:line="300"/>
      </w:pPr>
      <w:r>
        <w:rPr>
          <w:rFonts w:ascii="Calibri" w:cs="Calibri" w:eastAsia="Calibri" w:hAnsi="Calibri"/>
          <w:i w:val="false"/>
          <w:iCs w:val="false"/>
          <w:color w:val="1B2B26"/>
          <w:sz w:val="21"/>
          <w:szCs w:val="21"/>
        </w:rPr>
        <w:t xml:space="preserve">Three flows sit at the heart of the platform. Each is shown below in simplified form for non-technical review.</w:t>
      </w:r>
    </w:p>
    <w:p>
      <w:pPr>
        <w:pStyle w:val="Heading2"/>
        <w:spacing w:after="120" w:before="240"/>
      </w:pPr>
      <w:r>
        <w:rPr>
          <w:rFonts w:ascii="Calibri" w:cs="Calibri" w:eastAsia="Calibri" w:hAnsi="Calibri"/>
          <w:b/>
          <w:bCs/>
          <w:color w:val="1F4E38"/>
          <w:sz w:val="22"/>
          <w:szCs w:val="22"/>
        </w:rPr>
        <w:t xml:space="preserve">Registration &amp; Onboarding</w:t>
      </w:r>
    </w:p>
    <w:p>
      <w:pPr>
        <w:spacing w:after="60" w:before="160"/>
        <w:jc w:val="center"/>
      </w:pPr>
      <w:r>
        <w:drawing>
          <wp:inline distT="0" distB="0" distL="0" distR="0">
            <wp:extent cx="5905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14650"/>
                    </a:xfrm>
                    <a:prstGeom prst="rect">
                      <a:avLst/>
                    </a:prstGeom>
                  </pic:spPr>
                </pic:pic>
              </a:graphicData>
            </a:graphic>
          </wp:inline>
        </w:drawing>
      </w:r>
    </w:p>
    <w:p>
      <w:pPr>
        <w:spacing w:after="240" w:before="80"/>
        <w:jc w:val="center"/>
      </w:pPr>
      <w:r>
        <w:rPr>
          <w:rFonts w:ascii="Calibri" w:cs="Calibri" w:eastAsia="Calibri" w:hAnsi="Calibri"/>
          <w:i/>
          <w:iCs/>
          <w:color w:val="5A6472"/>
          <w:sz w:val="17"/>
          <w:szCs w:val="17"/>
        </w:rPr>
        <w:t xml:space="preserve">Figure 1 — Registration &amp; Onboarding Flow</w:t>
      </w:r>
    </w:p>
    <w:p>
      <w:pPr>
        <w:pStyle w:val="Heading2"/>
        <w:spacing w:after="120" w:before="240"/>
      </w:pPr>
      <w:r>
        <w:rPr>
          <w:rFonts w:ascii="Calibri" w:cs="Calibri" w:eastAsia="Calibri" w:hAnsi="Calibri"/>
          <w:b/>
          <w:bCs/>
          <w:color w:val="1F4E38"/>
          <w:sz w:val="22"/>
          <w:szCs w:val="22"/>
        </w:rPr>
        <w:t xml:space="preserve">Taking a Quiz &amp; Scoring</w:t>
      </w:r>
    </w:p>
    <w:p>
      <w:pPr>
        <w:spacing w:after="60" w:before="160"/>
        <w:jc w:val="center"/>
      </w:pPr>
      <w:r>
        <w:drawing>
          <wp:inline distT="0" distB="0" distL="0" distR="0">
            <wp:extent cx="5715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724025"/>
                    </a:xfrm>
                    <a:prstGeom prst="rect">
                      <a:avLst/>
                    </a:prstGeom>
                  </pic:spPr>
                </pic:pic>
              </a:graphicData>
            </a:graphic>
          </wp:inline>
        </w:drawing>
      </w:r>
    </w:p>
    <w:p>
      <w:pPr>
        <w:spacing w:after="240" w:before="80"/>
        <w:jc w:val="center"/>
      </w:pPr>
      <w:r>
        <w:rPr>
          <w:rFonts w:ascii="Calibri" w:cs="Calibri" w:eastAsia="Calibri" w:hAnsi="Calibri"/>
          <w:i/>
          <w:iCs/>
          <w:color w:val="5A6472"/>
          <w:sz w:val="17"/>
          <w:szCs w:val="17"/>
        </w:rPr>
        <w:t xml:space="preserve">Figure 2 — Quiz &amp; Scoring Flow</w:t>
      </w:r>
    </w:p>
    <w:p>
      <w:pPr>
        <w:spacing w:after="160" w:line="300"/>
      </w:pPr>
      <w:r>
        <w:rPr>
          <w:rFonts w:ascii="Calibri" w:cs="Calibri" w:eastAsia="Calibri" w:hAnsi="Calibri"/>
          <w:i w:val="false"/>
          <w:iCs w:val="false"/>
          <w:color w:val="1B2B26"/>
          <w:sz w:val="21"/>
          <w:szCs w:val="21"/>
        </w:rPr>
        <w:t xml:space="preserve">Every attempt a student or aspirant makes is recorded, but only the highest-scoring attempt counts toward their official record — so repeated practice is encouraged without penalty. A Student's available quizzes are limited to their own Faculty, Department, Level, and the active Semester; an Aspirant's are limited to JAMB subjects.</w:t>
      </w:r>
    </w:p>
    <w:p>
      <w:pPr>
        <w:pStyle w:val="Heading2"/>
        <w:spacing w:after="120" w:before="240"/>
      </w:pPr>
      <w:r>
        <w:rPr>
          <w:rFonts w:ascii="Calibri" w:cs="Calibri" w:eastAsia="Calibri" w:hAnsi="Calibri"/>
          <w:b/>
          <w:bCs/>
          <w:color w:val="1F4E38"/>
          <w:sz w:val="22"/>
          <w:szCs w:val="22"/>
        </w:rPr>
        <w:t xml:space="preserve">Quiz Types (new in this revision)</w:t>
      </w:r>
    </w:p>
    <w:p>
      <w:pPr>
        <w:spacing w:after="160" w:line="300"/>
      </w:pPr>
      <w:r>
        <w:rPr>
          <w:rFonts w:ascii="Calibri" w:cs="Calibri" w:eastAsia="Calibri" w:hAnsi="Calibri"/>
          <w:i w:val="false"/>
          <w:iCs w:val="false"/>
          <w:color w:val="1B2B26"/>
          <w:sz w:val="21"/>
          <w:szCs w:val="21"/>
        </w:rPr>
        <w:t xml:space="preserve">Quizzes now split into two distinct purposes — one for practice, one for grading:</w:t>
      </w:r>
    </w:p>
    <w:tbl>
      <w:tblPr>
        <w:tblW w:type="dxa" w:w="9350"/>
        <w:tblBorders>
          <w:top w:val="single" w:color="C7CDD6" w:sz="4"/>
          <w:left w:val="single" w:color="C7CDD6" w:sz="4"/>
          <w:bottom w:val="single" w:color="C7CDD6" w:sz="4"/>
          <w:right w:val="single" w:color="C7CDD6" w:sz="4"/>
          <w:insideH w:val="single" w:color="auto" w:sz="4"/>
          <w:insideV w:val="single" w:color="auto" w:sz="4"/>
        </w:tblBorders>
      </w:tblPr>
      <w:tblGrid>
        <w:gridCol w:w="2450"/>
        <w:gridCol w:w="3450"/>
        <w:gridCol w:w="3450"/>
      </w:tblGrid>
      <w:tr>
        <w:trPr>
          <w:tblHeader/>
        </w:trPr>
        <w:tc>
          <w:tcPr>
            <w:tcW w:type="dxa" w:w="245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
            </w:r>
          </w:p>
        </w:tc>
        <w:tc>
          <w:tcPr>
            <w:tcW w:type="dxa" w:w="345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Topic Quiz</w:t>
            </w:r>
          </w:p>
        </w:tc>
        <w:tc>
          <w:tcPr>
            <w:tcW w:type="dxa" w:w="345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Course Quiz</w:t>
            </w:r>
          </w:p>
        </w:tc>
      </w:tr>
      <w:tr>
        <w:tc>
          <w:tcPr>
            <w:tcW w:type="dxa" w:w="24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Scope</w:t>
            </w:r>
          </w:p>
        </w:tc>
        <w:tc>
          <w:tcPr>
            <w:tcW w:type="dxa" w:w="34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One specific Topic (e.g. Trigonometry under MAT 101)</w:t>
            </w:r>
          </w:p>
        </w:tc>
        <w:tc>
          <w:tcPr>
            <w:tcW w:type="dxa" w:w="34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The whole Course, pooling that week's topics together</w:t>
            </w:r>
          </w:p>
        </w:tc>
      </w:tr>
      <w:tr>
        <w:tc>
          <w:tcPr>
            <w:tcW w:type="dxa" w:w="24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Cadence</w:t>
            </w:r>
          </w:p>
        </w:tc>
        <w:tc>
          <w:tcPr>
            <w:tcW w:type="dxa" w:w="34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Whenever a Teacher sets one, after teaching a topic</w:t>
            </w:r>
          </w:p>
        </w:tc>
        <w:tc>
          <w:tcPr>
            <w:tcW w:type="dxa" w:w="34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Weekly — released every weekend</w:t>
            </w:r>
          </w:p>
        </w:tc>
      </w:tr>
      <w:tr>
        <w:tc>
          <w:tcPr>
            <w:tcW w:type="dxa" w:w="24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Question count</w:t>
            </w:r>
          </w:p>
        </w:tc>
        <w:tc>
          <w:tcPr>
            <w:tcW w:type="dxa" w:w="34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Set by Teacher/Admin</w:t>
            </w:r>
          </w:p>
        </w:tc>
        <w:tc>
          <w:tcPr>
            <w:tcW w:type="dxa" w:w="34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Fixed at 50 questions</w:t>
            </w:r>
          </w:p>
        </w:tc>
      </w:tr>
      <w:tr>
        <w:tc>
          <w:tcPr>
            <w:tcW w:type="dxa" w:w="24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Counts toward CGPA / Post-UTME / leaderboard?</w:t>
            </w:r>
          </w:p>
        </w:tc>
        <w:tc>
          <w:tcPr>
            <w:tcW w:type="dxa" w:w="34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No — practice only</w:t>
            </w:r>
          </w:p>
        </w:tc>
        <w:tc>
          <w:tcPr>
            <w:tcW w:type="dxa" w:w="34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Yes — the only quiz type that counts</w:t>
            </w:r>
          </w:p>
        </w:tc>
      </w:tr>
    </w:tbl>
    <w:p>
      <w:pPr>
        <w:spacing w:after="200" w:before="100"/>
      </w:pPr>
      <w:r>
        <w:rPr>
          <w:rFonts w:ascii="Calibri" w:cs="Calibri" w:eastAsia="Calibri" w:hAnsi="Calibri"/>
          <w:i/>
          <w:iCs/>
          <w:color w:val="5A6472"/>
          <w:sz w:val="18"/>
          <w:szCs w:val="18"/>
        </w:rPr>
        <w:t xml:space="preserve">In short: the Topic Quiz is formative practice; the Course Quiz is the one weekly assessment that actually determines a student's CGPA (or an aspirant's Post-UTME score) and leaderboard position. No credit-unit weighting is applied — every Course Quiz is the same fixed 50-question format, so all courses count equally.</w:t>
      </w:r>
    </w:p>
    <w:p>
      <w:pPr>
        <w:pStyle w:val="Heading1"/>
        <w:pBdr>
          <w:bottom w:val="single" w:color="2F6F52" w:sz="6" w:space="6"/>
        </w:pBdr>
        <w:spacing w:after="200" w:before="420"/>
      </w:pPr>
      <w:r>
        <w:rPr>
          <w:rFonts w:ascii="Calibri" w:cs="Calibri" w:eastAsia="Calibri" w:hAnsi="Calibri"/>
          <w:b/>
          <w:bCs/>
          <w:color w:val="B8862F"/>
          <w:sz w:val="27"/>
          <w:szCs w:val="27"/>
        </w:rPr>
        <w:t xml:space="preserve">6.  </w:t>
      </w:r>
      <w:r>
        <w:rPr>
          <w:rFonts w:ascii="Calibri" w:cs="Calibri" w:eastAsia="Calibri" w:hAnsi="Calibri"/>
          <w:b/>
          <w:bCs/>
          <w:color w:val="1F4E38"/>
          <w:sz w:val="27"/>
          <w:szCs w:val="27"/>
        </w:rPr>
        <w:t xml:space="preserve">Technical Overview</w:t>
      </w:r>
    </w:p>
    <w:p>
      <w:pPr>
        <w:spacing w:after="160" w:line="300"/>
      </w:pPr>
      <w:r>
        <w:rPr>
          <w:rFonts w:ascii="Calibri" w:cs="Calibri" w:eastAsia="Calibri" w:hAnsi="Calibri"/>
          <w:i w:val="false"/>
          <w:iCs w:val="false"/>
          <w:color w:val="1B2B26"/>
          <w:sz w:val="21"/>
          <w:szCs w:val="21"/>
        </w:rPr>
        <w:t xml:space="preserve">In plain language, before any code is written: every website like this is made of three basic pieces working together.</w:t>
      </w:r>
    </w:p>
    <w:p>
      <w:pPr>
        <w:spacing w:after="60" w:before="160"/>
        <w:jc w:val="center"/>
      </w:pPr>
      <w:r>
        <w:drawing>
          <wp:inline distT="0" distB="0" distL="0" distR="0">
            <wp:extent cx="5715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38350"/>
                    </a:xfrm>
                    <a:prstGeom prst="rect">
                      <a:avLst/>
                    </a:prstGeom>
                  </pic:spPr>
                </pic:pic>
              </a:graphicData>
            </a:graphic>
          </wp:inline>
        </w:drawing>
      </w:r>
    </w:p>
    <w:p>
      <w:pPr>
        <w:spacing w:after="240" w:before="80"/>
        <w:jc w:val="center"/>
      </w:pPr>
      <w:r>
        <w:rPr>
          <w:rFonts w:ascii="Calibri" w:cs="Calibri" w:eastAsia="Calibri" w:hAnsi="Calibri"/>
          <w:i/>
          <w:iCs/>
          <w:color w:val="5A6472"/>
          <w:sz w:val="17"/>
          <w:szCs w:val="17"/>
        </w:rPr>
        <w:t xml:space="preserve">Figure 3 — How the Platform Fits Together</w:t>
      </w:r>
    </w:p>
    <w:tbl>
      <w:tblPr>
        <w:tblW w:type="dxa" w:w="9350"/>
        <w:tblBorders>
          <w:top w:val="single" w:color="C7CDD6" w:sz="4"/>
          <w:left w:val="single" w:color="C7CDD6" w:sz="4"/>
          <w:bottom w:val="single" w:color="C7CDD6" w:sz="4"/>
          <w:right w:val="single" w:color="C7CDD6" w:sz="4"/>
          <w:insideH w:val="single" w:color="auto" w:sz="4"/>
          <w:insideV w:val="single" w:color="auto" w:sz="4"/>
        </w:tblBorders>
      </w:tblPr>
      <w:tblGrid>
        <w:gridCol w:w="3000"/>
        <w:gridCol w:w="6350"/>
      </w:tblGrid>
      <w:tr>
        <w:trPr>
          <w:tblHeader/>
        </w:trPr>
        <w:tc>
          <w:tcPr>
            <w:tcW w:type="dxa" w:w="300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Term</w:t>
            </w:r>
          </w:p>
        </w:tc>
        <w:tc>
          <w:tcPr>
            <w:tcW w:type="dxa" w:w="635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 Plain Language</w:t>
            </w:r>
          </w:p>
        </w:tc>
      </w:tr>
      <w:tr>
        <w:tc>
          <w:tcPr>
            <w:tcW w:type="dxa" w:w="30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Website (Frontend)</w:t>
            </w:r>
          </w:p>
        </w:tc>
        <w:tc>
          <w:tcPr>
            <w:tcW w:type="dxa" w:w="63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What people see and click on, in their browser or on their phone</w:t>
            </w:r>
          </w:p>
        </w:tc>
      </w:tr>
      <w:tr>
        <w:tc>
          <w:tcPr>
            <w:tcW w:type="dxa" w:w="30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Database</w:t>
            </w:r>
          </w:p>
        </w:tc>
        <w:tc>
          <w:tcPr>
            <w:tcW w:type="dxa" w:w="63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Where all information is stored — accounts, quizzes, scores, articles</w:t>
            </w:r>
          </w:p>
        </w:tc>
      </w:tr>
      <w:tr>
        <w:tc>
          <w:tcPr>
            <w:tcW w:type="dxa" w:w="30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Hosting</w:t>
            </w:r>
          </w:p>
        </w:tc>
        <w:tc>
          <w:tcPr>
            <w:tcW w:type="dxa" w:w="63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The service that keeps the website online and reachable at all times</w:t>
            </w:r>
          </w:p>
        </w:tc>
      </w:tr>
      <w:tr>
        <w:tc>
          <w:tcPr>
            <w:tcW w:type="dxa" w:w="30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Domain name</w:t>
            </w:r>
          </w:p>
        </w:tc>
        <w:tc>
          <w:tcPr>
            <w:tcW w:type="dxa" w:w="63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The web address people type in, e.g. dossite-mssnunilorin.org</w:t>
            </w:r>
          </w:p>
        </w:tc>
      </w:tr>
    </w:tbl>
    <w:p>
      <w:pPr>
        <w:pStyle w:val="Heading1"/>
        <w:pBdr>
          <w:bottom w:val="single" w:color="2F6F52" w:sz="6" w:space="6"/>
        </w:pBdr>
        <w:spacing w:after="200" w:before="420"/>
      </w:pPr>
      <w:r>
        <w:rPr>
          <w:rFonts w:ascii="Calibri" w:cs="Calibri" w:eastAsia="Calibri" w:hAnsi="Calibri"/>
          <w:b/>
          <w:bCs/>
          <w:color w:val="B8862F"/>
          <w:sz w:val="27"/>
          <w:szCs w:val="27"/>
        </w:rPr>
        <w:t xml:space="preserve">7.  </w:t>
      </w:r>
      <w:r>
        <w:rPr>
          <w:rFonts w:ascii="Calibri" w:cs="Calibri" w:eastAsia="Calibri" w:hAnsi="Calibri"/>
          <w:b/>
          <w:bCs/>
          <w:color w:val="1F4E38"/>
          <w:sz w:val="27"/>
          <w:szCs w:val="27"/>
        </w:rPr>
        <w:t xml:space="preserve">Infrastructure &amp; Services Required</w:t>
      </w:r>
    </w:p>
    <w:p>
      <w:pPr>
        <w:spacing w:after="160" w:line="300"/>
      </w:pPr>
      <w:r>
        <w:rPr>
          <w:rFonts w:ascii="Calibri" w:cs="Calibri" w:eastAsia="Calibri" w:hAnsi="Calibri"/>
          <w:i w:val="false"/>
          <w:iCs w:val="false"/>
          <w:color w:val="1B2B26"/>
          <w:sz w:val="21"/>
          <w:szCs w:val="21"/>
        </w:rPr>
        <w:t xml:space="preserve">A working platform needs the following pieces in place. None of these require custom development on their own, with one exception noted below — they are existing services the platform will be built on top of.</w:t>
      </w:r>
    </w:p>
    <w:tbl>
      <w:tblPr>
        <w:tblW w:type="dxa" w:w="9350"/>
        <w:tblBorders>
          <w:top w:val="single" w:color="C7CDD6" w:sz="4"/>
          <w:left w:val="single" w:color="C7CDD6" w:sz="4"/>
          <w:bottom w:val="single" w:color="C7CDD6" w:sz="4"/>
          <w:right w:val="single" w:color="C7CDD6" w:sz="4"/>
          <w:insideH w:val="single" w:color="auto" w:sz="4"/>
          <w:insideV w:val="single" w:color="auto" w:sz="4"/>
        </w:tblBorders>
      </w:tblPr>
      <w:tblGrid>
        <w:gridCol w:w="2400"/>
        <w:gridCol w:w="4200"/>
        <w:gridCol w:w="2750"/>
      </w:tblGrid>
      <w:tr>
        <w:trPr>
          <w:tblHeader/>
        </w:trPr>
        <w:tc>
          <w:tcPr>
            <w:tcW w:type="dxa" w:w="240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Service</w:t>
            </w:r>
          </w:p>
        </w:tc>
        <w:tc>
          <w:tcPr>
            <w:tcW w:type="dxa" w:w="420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Purpose</w:t>
            </w:r>
          </w:p>
        </w:tc>
        <w:tc>
          <w:tcPr>
            <w:tcW w:type="dxa" w:w="275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Required at Launch?</w:t>
            </w:r>
          </w:p>
        </w:tc>
      </w:tr>
      <w:tr>
        <w:tc>
          <w:tcPr>
            <w:tcW w:type="dxa" w:w="24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Domain name</w:t>
            </w:r>
          </w:p>
        </w:tc>
        <w:tc>
          <w:tcPr>
            <w:tcW w:type="dxa" w:w="42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The platform's web address</w:t>
            </w:r>
          </w:p>
        </w:tc>
        <w:tc>
          <w:tcPr>
            <w:tcW w:type="dxa" w:w="27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Yes — small recurring cost</w:t>
            </w:r>
          </w:p>
        </w:tc>
      </w:tr>
      <w:tr>
        <w:tc>
          <w:tcPr>
            <w:tcW w:type="dxa" w:w="24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Hosting</w:t>
            </w:r>
          </w:p>
        </w:tc>
        <w:tc>
          <w:tcPr>
            <w:tcW w:type="dxa" w:w="42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Keeps the website running and reachable</w:t>
            </w:r>
          </w:p>
        </w:tc>
        <w:tc>
          <w:tcPr>
            <w:tcW w:type="dxa" w:w="27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Yes — can start free</w:t>
            </w:r>
          </w:p>
        </w:tc>
      </w:tr>
      <w:tr>
        <w:tc>
          <w:tcPr>
            <w:tcW w:type="dxa" w:w="24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Database</w:t>
            </w:r>
          </w:p>
        </w:tc>
        <w:tc>
          <w:tcPr>
            <w:tcW w:type="dxa" w:w="42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Stores accounts, departments, courses, quizzes, scores</w:t>
            </w:r>
          </w:p>
        </w:tc>
        <w:tc>
          <w:tcPr>
            <w:tcW w:type="dxa" w:w="27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Yes — can start free</w:t>
            </w:r>
          </w:p>
        </w:tc>
      </w:tr>
      <w:tr>
        <w:tc>
          <w:tcPr>
            <w:tcW w:type="dxa" w:w="24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File storage</w:t>
            </w:r>
          </w:p>
        </w:tc>
        <w:tc>
          <w:tcPr>
            <w:tcW w:type="dxa" w:w="42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Hosting uploaded PDFs &amp; articles (resources)</w:t>
            </w:r>
          </w:p>
        </w:tc>
        <w:tc>
          <w:tcPr>
            <w:tcW w:type="dxa" w:w="27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Yes — can start free</w:t>
            </w:r>
          </w:p>
        </w:tc>
      </w:tr>
      <w:tr>
        <w:tc>
          <w:tcPr>
            <w:tcW w:type="dxa" w:w="24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Authentication (login system)</w:t>
            </w:r>
          </w:p>
        </w:tc>
        <w:tc>
          <w:tcPr>
            <w:tcW w:type="dxa" w:w="42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Registration &amp; sign-in for all four roles</w:t>
            </w:r>
          </w:p>
        </w:tc>
        <w:tc>
          <w:tcPr>
            <w:tcW w:type="dxa" w:w="27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Custom-built — see note below</w:t>
            </w:r>
          </w:p>
        </w:tc>
      </w:tr>
      <w:tr>
        <w:tc>
          <w:tcPr>
            <w:tcW w:type="dxa" w:w="24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Email / notifications</w:t>
            </w:r>
          </w:p>
        </w:tc>
        <w:tc>
          <w:tcPr>
            <w:tcW w:type="dxa" w:w="42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Alerting users to new quizzes or released scores</w:t>
            </w:r>
          </w:p>
        </w:tc>
        <w:tc>
          <w:tcPr>
            <w:tcW w:type="dxa" w:w="27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Optional at launch — can be added later</w:t>
            </w:r>
          </w:p>
        </w:tc>
      </w:tr>
    </w:tbl>
    <w:p>
      <w:pPr>
        <w:spacing w:after="200" w:before="100"/>
      </w:pPr>
      <w:r>
        <w:rPr>
          <w:rFonts w:ascii="Calibri" w:cs="Calibri" w:eastAsia="Calibri" w:hAnsi="Calibri"/>
          <w:i/>
          <w:iCs/>
          <w:color w:val="5A6472"/>
          <w:sz w:val="18"/>
          <w:szCs w:val="18"/>
        </w:rPr>
        <w:t xml:space="preserve">On authentication: login uses a Matric Number (Students) or JAMB Registration Number (Aspirants), not an email address. That doesn't fit the built-in login systems that Supabase or Firebase offer out of the box, both of which are designed around email/phone/social sign-in. Rather than fight that mismatch, the plan is a small custom login layer written directly into the platform's code — this applies no matter which database provider is chosen.</w:t>
      </w:r>
    </w:p>
    <w:p>
      <w:pPr>
        <w:pStyle w:val="Heading2"/>
        <w:spacing w:after="120" w:before="240"/>
      </w:pPr>
      <w:r>
        <w:rPr>
          <w:rFonts w:ascii="Calibri" w:cs="Calibri" w:eastAsia="Calibri" w:hAnsi="Calibri"/>
          <w:b/>
          <w:bCs/>
          <w:color w:val="1F4E38"/>
          <w:sz w:val="22"/>
          <w:szCs w:val="22"/>
        </w:rPr>
        <w:t xml:space="preserve">Resource storage (PDFs &amp; articles)</w:t>
      </w:r>
    </w:p>
    <w:p>
      <w:pPr>
        <w:spacing w:after="160" w:line="300"/>
      </w:pPr>
      <w:r>
        <w:rPr>
          <w:rFonts w:ascii="Calibri" w:cs="Calibri" w:eastAsia="Calibri" w:hAnsi="Calibri"/>
          <w:i w:val="false"/>
          <w:iCs w:val="false"/>
          <w:color w:val="1B2B26"/>
          <w:sz w:val="21"/>
          <w:szCs w:val="21"/>
        </w:rPr>
        <w:t xml:space="preserve">Uploaded PDFs and articles are organized the same way quizzes are, so a Student or Aspirant only ever browses resources relevant to them:</w:t>
      </w:r>
    </w:p>
    <w:tbl>
      <w:tblPr>
        <w:tblW w:type="dxa" w:w="9350"/>
        <w:tblBorders>
          <w:top w:val="single" w:color="C7CDD6" w:sz="4"/>
          <w:left w:val="single" w:color="C7CDD6" w:sz="4"/>
          <w:bottom w:val="single" w:color="C7CDD6" w:sz="4"/>
          <w:right w:val="single" w:color="C7CDD6" w:sz="4"/>
          <w:insideH w:val="single" w:color="auto" w:sz="4"/>
          <w:insideV w:val="single" w:color="auto" w:sz="4"/>
        </w:tblBorders>
      </w:tblPr>
      <w:tblGrid>
        <w:gridCol w:w="3000"/>
        <w:gridCol w:w="6350"/>
      </w:tblGrid>
      <w:tr>
        <w:trPr>
          <w:tblHeader/>
        </w:trPr>
        <w:tc>
          <w:tcPr>
            <w:tcW w:type="dxa" w:w="300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Track</w:t>
            </w:r>
          </w:p>
        </w:tc>
        <w:tc>
          <w:tcPr>
            <w:tcW w:type="dxa" w:w="635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Folder Structure</w:t>
            </w:r>
          </w:p>
        </w:tc>
      </w:tr>
      <w:tr>
        <w:tc>
          <w:tcPr>
            <w:tcW w:type="dxa" w:w="30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Students</w:t>
            </w:r>
          </w:p>
        </w:tc>
        <w:tc>
          <w:tcPr>
            <w:tcW w:type="dxa" w:w="63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/resources/{faculty}/{department}/{level}/{semester}/{course}/</w:t>
            </w:r>
          </w:p>
        </w:tc>
      </w:tr>
      <w:tr>
        <w:tc>
          <w:tcPr>
            <w:tcW w:type="dxa" w:w="30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Aspirants</w:t>
            </w:r>
          </w:p>
        </w:tc>
        <w:tc>
          <w:tcPr>
            <w:tcW w:type="dxa" w:w="63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/resources/jamb/{subject}/</w:t>
            </w:r>
          </w:p>
        </w:tc>
      </w:tr>
    </w:tbl>
    <w:p>
      <w:pPr>
        <w:spacing w:after="60" w:line="300"/>
      </w:pPr>
      <w:r>
        <w:rPr>
          <w:rFonts w:ascii="Calibri" w:cs="Calibri" w:eastAsia="Calibri" w:hAnsi="Calibri"/>
          <w:i w:val="false"/>
          <w:iCs w:val="false"/>
          <w:color w:val="1B2B26"/>
          <w:sz w:val="21"/>
          <w:szCs w:val="21"/>
        </w:rPr>
        <w:t xml:space="preserve">Both Supabase and Firebase offer a file storage bucket alongside their database — the choice of provider for storage follows the same decision as the database itself, covered next.</w:t>
      </w:r>
    </w:p>
    <w:p>
      <w:pPr>
        <w:pStyle w:val="Heading1"/>
        <w:pBdr>
          <w:bottom w:val="single" w:color="2F6F52" w:sz="6" w:space="6"/>
        </w:pBdr>
        <w:spacing w:after="200" w:before="420"/>
      </w:pPr>
      <w:r>
        <w:rPr>
          <w:rFonts w:ascii="Calibri" w:cs="Calibri" w:eastAsia="Calibri" w:hAnsi="Calibri"/>
          <w:b/>
          <w:bCs/>
          <w:color w:val="B8862F"/>
          <w:sz w:val="27"/>
          <w:szCs w:val="27"/>
        </w:rPr>
        <w:t xml:space="preserve">8.  </w:t>
      </w:r>
      <w:r>
        <w:rPr>
          <w:rFonts w:ascii="Calibri" w:cs="Calibri" w:eastAsia="Calibri" w:hAnsi="Calibri"/>
          <w:b/>
          <w:bCs/>
          <w:color w:val="1F4E38"/>
          <w:sz w:val="27"/>
          <w:szCs w:val="27"/>
        </w:rPr>
        <w:t xml:space="preserve">Recommended Path to Launch</w:t>
      </w:r>
    </w:p>
    <w:p>
      <w:pPr>
        <w:spacing w:after="160" w:line="300"/>
      </w:pPr>
      <w:r>
        <w:rPr>
          <w:rFonts w:ascii="Calibri" w:cs="Calibri" w:eastAsia="Calibri" w:hAnsi="Calibri"/>
          <w:i w:val="false"/>
          <w:iCs w:val="false"/>
          <w:color w:val="1B2B26"/>
          <w:sz w:val="21"/>
          <w:szCs w:val="21"/>
        </w:rPr>
        <w:t xml:space="preserve">It's worth separating four independent decisions that are easy to lump together into one "tech stack" choice. Framework, hosting, and login are fairly settled by the project's own constraints; database &amp; file storage is the one decision with a real trade-off, and is compared on its own below.</w:t>
      </w:r>
    </w:p>
    <w:tbl>
      <w:tblPr>
        <w:tblW w:type="dxa" w:w="9350"/>
        <w:tblBorders>
          <w:top w:val="single" w:color="C7CDD6" w:sz="4"/>
          <w:left w:val="single" w:color="C7CDD6" w:sz="4"/>
          <w:bottom w:val="single" w:color="C7CDD6" w:sz="4"/>
          <w:right w:val="single" w:color="C7CDD6" w:sz="4"/>
          <w:insideH w:val="single" w:color="auto" w:sz="4"/>
          <w:insideV w:val="single" w:color="auto" w:sz="4"/>
        </w:tblBorders>
      </w:tblPr>
      <w:tblGrid>
        <w:gridCol w:w="2400"/>
        <w:gridCol w:w="3450"/>
        <w:gridCol w:w="3500"/>
      </w:tblGrid>
      <w:tr>
        <w:trPr>
          <w:tblHeader/>
        </w:trPr>
        <w:tc>
          <w:tcPr>
            <w:tcW w:type="dxa" w:w="240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Layer</w:t>
            </w:r>
          </w:p>
        </w:tc>
        <w:tc>
          <w:tcPr>
            <w:tcW w:type="dxa" w:w="345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Recommended</w:t>
            </w:r>
          </w:p>
        </w:tc>
        <w:tc>
          <w:tcPr>
            <w:tcW w:type="dxa" w:w="350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Why</w:t>
            </w:r>
          </w:p>
        </w:tc>
      </w:tr>
      <w:tr>
        <w:tc>
          <w:tcPr>
            <w:tcW w:type="dxa" w:w="24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Framework</w:t>
            </w:r>
          </w:p>
          <w:p>
            <w:pPr>
              <w:spacing w:after="40"/>
            </w:pPr>
            <w:r>
              <w:rPr>
                <w:rFonts w:ascii="Calibri" w:cs="Calibri" w:eastAsia="Calibri" w:hAnsi="Calibri"/>
                <w:b/>
                <w:bCs/>
                <w:color w:val="1B2B26"/>
                <w:sz w:val="19"/>
                <w:szCs w:val="19"/>
              </w:rPr>
              <w:t xml:space="preserve">(builds the site)</w:t>
            </w:r>
          </w:p>
        </w:tc>
        <w:tc>
          <w:tcPr>
            <w:tcW w:type="dxa" w:w="34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Next.js</w:t>
            </w:r>
          </w:p>
        </w:tc>
        <w:tc>
          <w:tcPr>
            <w:tcW w:type="dxa" w:w="35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Lets one small dev team build and maintain the website and its backend logic as a single codebase, rather than two separate projects</w:t>
            </w:r>
          </w:p>
        </w:tc>
      </w:tr>
      <w:tr>
        <w:tc>
          <w:tcPr>
            <w:tcW w:type="dxa" w:w="24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Hosting</w:t>
            </w:r>
          </w:p>
          <w:p>
            <w:pPr>
              <w:spacing w:after="40"/>
            </w:pPr>
            <w:r>
              <w:rPr>
                <w:rFonts w:ascii="Calibri" w:cs="Calibri" w:eastAsia="Calibri" w:hAnsi="Calibri"/>
                <w:b/>
                <w:bCs/>
                <w:color w:val="1B2B26"/>
                <w:sz w:val="19"/>
                <w:szCs w:val="19"/>
              </w:rPr>
              <w:t xml:space="preserve">(where it runs)</w:t>
            </w:r>
          </w:p>
        </w:tc>
        <w:tc>
          <w:tcPr>
            <w:tcW w:type="dxa" w:w="34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Vercel  (alt: Netlify)</w:t>
            </w:r>
          </w:p>
        </w:tc>
        <w:tc>
          <w:tcPr>
            <w:tcW w:type="dxa" w:w="35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Both free to start; Vercel pairs most directly with Next.js, so it's the simpler default</w:t>
            </w:r>
          </w:p>
        </w:tc>
      </w:tr>
      <w:tr>
        <w:tc>
          <w:tcPr>
            <w:tcW w:type="dxa" w:w="24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Login</w:t>
            </w:r>
          </w:p>
          <w:p>
            <w:pPr>
              <w:spacing w:after="40"/>
            </w:pPr>
            <w:r>
              <w:rPr>
                <w:rFonts w:ascii="Calibri" w:cs="Calibri" w:eastAsia="Calibri" w:hAnsi="Calibri"/>
                <w:b/>
                <w:bCs/>
                <w:color w:val="1B2B26"/>
                <w:sz w:val="19"/>
                <w:szCs w:val="19"/>
              </w:rPr>
              <w:t xml:space="preserve">(who's allowed in)</w:t>
            </w:r>
          </w:p>
        </w:tc>
        <w:tc>
          <w:tcPr>
            <w:tcW w:type="dxa" w:w="34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Custom-built in code</w:t>
            </w:r>
          </w:p>
        </w:tc>
        <w:tc>
          <w:tcPr>
            <w:tcW w:type="dxa" w:w="35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Matric/JAMB Reg Number login doesn't fit Supabase's or Firebase's built-in auth — see note in Section 7</w:t>
            </w:r>
          </w:p>
        </w:tc>
      </w:tr>
      <w:tr>
        <w:tc>
          <w:tcPr>
            <w:tcW w:type="dxa" w:w="24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Database &amp; File Storage</w:t>
            </w:r>
          </w:p>
          <w:p>
            <w:pPr>
              <w:spacing w:after="40"/>
            </w:pPr>
            <w:r>
              <w:rPr>
                <w:rFonts w:ascii="Calibri" w:cs="Calibri" w:eastAsia="Calibri" w:hAnsi="Calibri"/>
                <w:b/>
                <w:bCs/>
                <w:color w:val="1B2B26"/>
                <w:sz w:val="19"/>
                <w:szCs w:val="19"/>
              </w:rPr>
              <w:t xml:space="preserve">(where the data &amp; resources live)</w:t>
            </w:r>
          </w:p>
        </w:tc>
        <w:tc>
          <w:tcPr>
            <w:tcW w:type="dxa" w:w="34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Supabase  — see below</w:t>
            </w:r>
          </w:p>
        </w:tc>
        <w:tc>
          <w:tcPr>
            <w:tcW w:type="dxa" w:w="35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This is the one decision genuinely worth the Board's attention. Compared on its own next.</w:t>
            </w:r>
          </w:p>
        </w:tc>
      </w:tr>
    </w:tbl>
    <w:p>
      <w:pPr>
        <w:pStyle w:val="Heading2"/>
        <w:spacing w:after="120" w:before="240"/>
      </w:pPr>
      <w:r>
        <w:rPr>
          <w:rFonts w:ascii="Calibri" w:cs="Calibri" w:eastAsia="Calibri" w:hAnsi="Calibri"/>
          <w:b/>
          <w:bCs/>
          <w:color w:val="1F4E38"/>
          <w:sz w:val="22"/>
          <w:szCs w:val="22"/>
        </w:rPr>
        <w:t xml:space="preserve">Database &amp; File Storage: Supabase vs. Firebase</w:t>
      </w:r>
    </w:p>
    <w:p>
      <w:pPr>
        <w:spacing w:after="160" w:line="300"/>
      </w:pPr>
      <w:r>
        <w:rPr>
          <w:rFonts w:ascii="Calibri" w:cs="Calibri" w:eastAsia="Calibri" w:hAnsi="Calibri"/>
          <w:i w:val="false"/>
          <w:iCs w:val="false"/>
          <w:color w:val="1B2B26"/>
          <w:sz w:val="21"/>
          <w:szCs w:val="21"/>
        </w:rPr>
        <w:t xml:space="preserve">This is a database-and-storage comparison specifically — not a comparison of frameworks, hosting, or company ecosystems. Both providers offer a free-to-start database plus file storage bucket; the real difference is how well each fits this project's actual data.</w:t>
      </w:r>
    </w:p>
    <w:p>
      <w:pPr>
        <w:spacing w:after="60" w:before="160"/>
        <w:jc w:val="center"/>
      </w:pPr>
      <w:r>
        <w:drawing>
          <wp:inline distT="0" distB="0" distL="0" distR="0">
            <wp:extent cx="4762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152775"/>
                    </a:xfrm>
                    <a:prstGeom prst="rect">
                      <a:avLst/>
                    </a:prstGeom>
                  </pic:spPr>
                </pic:pic>
              </a:graphicData>
            </a:graphic>
          </wp:inline>
        </w:drawing>
      </w:r>
    </w:p>
    <w:p>
      <w:pPr>
        <w:spacing w:after="240" w:before="80"/>
        <w:jc w:val="center"/>
      </w:pPr>
      <w:r>
        <w:rPr>
          <w:rFonts w:ascii="Calibri" w:cs="Calibri" w:eastAsia="Calibri" w:hAnsi="Calibri"/>
          <w:i/>
          <w:iCs/>
          <w:color w:val="5A6472"/>
          <w:sz w:val="17"/>
          <w:szCs w:val="17"/>
        </w:rPr>
        <w:t xml:space="preserve">Figure 4 — Database &amp; File Storage, Compared on Technical Fit</w:t>
      </w:r>
    </w:p>
    <w:p>
      <w:pPr>
        <w:spacing w:before="200"/>
      </w:pPr>
    </w:p>
    <w:tbl>
      <w:tblPr>
        <w:tblW w:type="dxa" w:w="9350"/>
        <w:tblBorders>
          <w:top w:val="single" w:color="B8862F" w:sz="8"/>
          <w:left w:val="single" w:color="B8862F" w:sz="8"/>
          <w:bottom w:val="single" w:color="B8862F" w:sz="8"/>
          <w:right w:val="single" w:color="B8862F" w:sz="8"/>
          <w:insideH w:val="single" w:color="auto" w:sz="4"/>
          <w:insideV w:val="single" w:color="auto" w:sz="4"/>
        </w:tblBorders>
      </w:tblPr>
      <w:tblGrid>
        <w:gridCol w:w="100"/>
      </w:tblGrid>
      <w:tr>
        <w:tc>
          <w:tcPr>
            <w:tcBorders>
              <w:top w:val="single" w:color="B8862F" w:sz="8"/>
              <w:left w:val="single" w:color="B8862F" w:sz="8"/>
              <w:bottom w:val="single" w:color="B8862F" w:sz="8"/>
              <w:right w:val="single" w:color="B8862F" w:sz="8"/>
            </w:tcBorders>
            <w:shd w:fill="FBF3E4" w:color="FBF3E4" w:val="clear"/>
            <w:tcMar>
              <w:top w:type="dxa" w:w="160"/>
              <w:left w:type="dxa" w:w="200"/>
              <w:bottom w:type="dxa" w:w="160"/>
              <w:right w:type="dxa" w:w="200"/>
            </w:tcMar>
          </w:tcPr>
          <w:p>
            <w:pPr>
              <w:spacing w:after="60"/>
            </w:pPr>
            <w:r>
              <w:rPr>
                <w:rFonts w:ascii="Calibri" w:cs="Calibri" w:eastAsia="Calibri" w:hAnsi="Calibri"/>
                <w:b/>
                <w:bCs/>
                <w:color w:val="B8862F"/>
                <w:sz w:val="20"/>
                <w:szCs w:val="20"/>
              </w:rPr>
              <w:t xml:space="preserve">Recommendation</w:t>
            </w:r>
          </w:p>
          <w:p>
            <w:pPr>
              <w:spacing w:after="0" w:line="300"/>
            </w:pPr>
            <w:r>
              <w:rPr>
                <w:rFonts w:ascii="Calibri" w:cs="Calibri" w:eastAsia="Calibri" w:hAnsi="Calibri"/>
                <w:color w:val="1B2B26"/>
                <w:sz w:val="20"/>
                <w:szCs w:val="20"/>
              </w:rPr>
              <w:t xml:space="preserve">Supabase is the suggested starting point for database and file storage. Its relational (Postgres) structure maps directly onto the Faculty → Department → Course → Topic hierarchy already scoped in the accompanying database schema, and its storage bucket is genuinely free at this project's scale — 1 GB included, no billing account required. Firebase's Firestore is a capable database in its own right, but it's document-based (NoSQL): the relational schema already scoped for this project would need to be reshaped into nested collections, and its Cloud Storage now requires a linked pay-as-you-go billing account even for light usage, which undercuts the "free to start" appeal for a resource library that will keep growing.</w:t>
            </w:r>
          </w:p>
        </w:tc>
      </w:tr>
    </w:tbl>
    <w:p>
      <w:pPr>
        <w:pStyle w:val="Heading1"/>
        <w:pBdr>
          <w:bottom w:val="single" w:color="2F6F52" w:sz="6" w:space="6"/>
        </w:pBdr>
        <w:spacing w:after="200" w:before="420"/>
      </w:pPr>
      <w:r>
        <w:rPr>
          <w:rFonts w:ascii="Calibri" w:cs="Calibri" w:eastAsia="Calibri" w:hAnsi="Calibri"/>
          <w:b/>
          <w:bCs/>
          <w:color w:val="B8862F"/>
          <w:sz w:val="27"/>
          <w:szCs w:val="27"/>
        </w:rPr>
        <w:t xml:space="preserve">9.  </w:t>
      </w:r>
      <w:r>
        <w:rPr>
          <w:rFonts w:ascii="Calibri" w:cs="Calibri" w:eastAsia="Calibri" w:hAnsi="Calibri"/>
          <w:b/>
          <w:bCs/>
          <w:color w:val="1F4E38"/>
          <w:sz w:val="27"/>
          <w:szCs w:val="27"/>
        </w:rPr>
        <w:t xml:space="preserve">Estimated Costs &amp; Growth Triggers</w:t>
      </w:r>
    </w:p>
    <w:p>
      <w:pPr>
        <w:spacing w:after="160" w:line="300"/>
      </w:pPr>
      <w:r>
        <w:rPr>
          <w:rFonts w:ascii="Calibri" w:cs="Calibri" w:eastAsia="Calibri" w:hAnsi="Calibri"/>
          <w:i w:val="false"/>
          <w:iCs w:val="false"/>
          <w:color w:val="1B2B26"/>
          <w:sz w:val="21"/>
          <w:szCs w:val="21"/>
        </w:rPr>
        <w:t xml:space="preserve">Assuming the recommended path in Section 8, here is what's realistically free today and what would eventually trigger a paid plan:</w:t>
      </w:r>
    </w:p>
    <w:tbl>
      <w:tblPr>
        <w:tblW w:type="dxa" w:w="9350"/>
        <w:tblBorders>
          <w:top w:val="single" w:color="C7CDD6" w:sz="4"/>
          <w:left w:val="single" w:color="C7CDD6" w:sz="4"/>
          <w:bottom w:val="single" w:color="C7CDD6" w:sz="4"/>
          <w:right w:val="single" w:color="C7CDD6" w:sz="4"/>
          <w:insideH w:val="single" w:color="auto" w:sz="4"/>
          <w:insideV w:val="single" w:color="auto" w:sz="4"/>
        </w:tblBorders>
      </w:tblPr>
      <w:tblGrid>
        <w:gridCol w:w="2450"/>
        <w:gridCol w:w="3400"/>
        <w:gridCol w:w="3500"/>
      </w:tblGrid>
      <w:tr>
        <w:trPr>
          <w:tblHeader/>
        </w:trPr>
        <w:tc>
          <w:tcPr>
            <w:tcW w:type="dxa" w:w="245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Item</w:t>
            </w:r>
          </w:p>
        </w:tc>
        <w:tc>
          <w:tcPr>
            <w:tcW w:type="dxa" w:w="340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Free Tier Today (Aug 2026)</w:t>
            </w:r>
          </w:p>
        </w:tc>
        <w:tc>
          <w:tcPr>
            <w:tcW w:type="dxa" w:w="350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Likely to Need Paying When…</w:t>
            </w:r>
          </w:p>
        </w:tc>
      </w:tr>
      <w:tr>
        <w:tc>
          <w:tcPr>
            <w:tcW w:type="dxa" w:w="24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Domain name</w:t>
            </w:r>
          </w:p>
        </w:tc>
        <w:tc>
          <w:tcPr>
            <w:tcW w:type="dxa" w:w="34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 (not free anywhere)</w:t>
            </w:r>
          </w:p>
        </w:tc>
        <w:tc>
          <w:tcPr>
            <w:tcW w:type="dxa" w:w="35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Always a small annual fee, roughly $10–15/year — the only near-certain cost from day one</w:t>
            </w:r>
          </w:p>
        </w:tc>
      </w:tr>
      <w:tr>
        <w:tc>
          <w:tcPr>
            <w:tcW w:type="dxa" w:w="24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Hosting (Vercel)</w:t>
            </w:r>
          </w:p>
        </w:tc>
        <w:tc>
          <w:tcPr>
            <w:tcW w:type="dxa" w:w="34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100 GB of monthly traffic; generous free usage for a launch-stage site</w:t>
            </w:r>
          </w:p>
        </w:tc>
        <w:tc>
          <w:tcPr>
            <w:tcW w:type="dxa" w:w="35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Traffic grows heavily, or the account needs to move to commercial/team use</w:t>
            </w:r>
          </w:p>
        </w:tc>
      </w:tr>
      <w:tr>
        <w:tc>
          <w:tcPr>
            <w:tcW w:type="dxa" w:w="24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Database (Supabase)</w:t>
            </w:r>
          </w:p>
        </w:tc>
        <w:tc>
          <w:tcPr>
            <w:tcW w:type="dxa" w:w="34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500 MB database; up to 50,000 monthly active users</w:t>
            </w:r>
          </w:p>
        </w:tc>
        <w:tc>
          <w:tcPr>
            <w:tcW w:type="dxa" w:w="35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Question bank, course catalogue &amp; user records exceed 500 MB, or automatic backups become necessary</w:t>
            </w:r>
          </w:p>
        </w:tc>
      </w:tr>
      <w:tr>
        <w:tc>
          <w:tcPr>
            <w:tcW w:type="dxa" w:w="24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File storage (Supabase)</w:t>
            </w:r>
          </w:p>
        </w:tc>
        <w:tc>
          <w:tcPr>
            <w:tcW w:type="dxa" w:w="34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1 GB included</w:t>
            </w:r>
          </w:p>
        </w:tc>
        <w:tc>
          <w:tcPr>
            <w:tcW w:type="dxa" w:w="35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The PDF/article resource library grows past 1 GB in total</w:t>
            </w:r>
          </w:p>
        </w:tc>
      </w:tr>
    </w:tbl>
    <w:p>
      <w:pPr>
        <w:spacing w:after="200" w:before="100"/>
      </w:pPr>
      <w:r>
        <w:rPr>
          <w:rFonts w:ascii="Calibri" w:cs="Calibri" w:eastAsia="Calibri" w:hAnsi="Calibri"/>
          <w:i/>
          <w:iCs/>
          <w:color w:val="5A6472"/>
          <w:sz w:val="18"/>
          <w:szCs w:val="18"/>
        </w:rPr>
        <w:t xml:space="preserve">Figures reflect each provider's published terms as of August 2026. Free-tier terms shift periodically across the industry — reconfirm exact numbers with the development team at the start of the build.</w:t>
      </w:r>
    </w:p>
    <w:p>
      <w:pPr>
        <w:pStyle w:val="Heading1"/>
        <w:pBdr>
          <w:bottom w:val="single" w:color="2F6F52" w:sz="6" w:space="6"/>
        </w:pBdr>
        <w:spacing w:after="200" w:before="420"/>
      </w:pPr>
      <w:r>
        <w:rPr>
          <w:rFonts w:ascii="Calibri" w:cs="Calibri" w:eastAsia="Calibri" w:hAnsi="Calibri"/>
          <w:b/>
          <w:bCs/>
          <w:color w:val="B8862F"/>
          <w:sz w:val="27"/>
          <w:szCs w:val="27"/>
        </w:rPr>
        <w:t xml:space="preserve">10.  </w:t>
      </w:r>
      <w:r>
        <w:rPr>
          <w:rFonts w:ascii="Calibri" w:cs="Calibri" w:eastAsia="Calibri" w:hAnsi="Calibri"/>
          <w:b/>
          <w:bCs/>
          <w:color w:val="1F4E38"/>
          <w:sz w:val="27"/>
          <w:szCs w:val="27"/>
        </w:rPr>
        <w:t xml:space="preserve">Open Items Requiring Board Confirmation</w:t>
      </w:r>
    </w:p>
    <w:p>
      <w:pPr>
        <w:pStyle w:val="Heading2"/>
        <w:spacing w:after="120" w:before="240"/>
      </w:pPr>
      <w:r>
        <w:rPr>
          <w:rFonts w:ascii="Calibri" w:cs="Calibri" w:eastAsia="Calibri" w:hAnsi="Calibri"/>
          <w:b/>
          <w:bCs/>
          <w:color w:val="1F4E38"/>
          <w:sz w:val="22"/>
          <w:szCs w:val="22"/>
        </w:rPr>
        <w:t xml:space="preserve">Resolved at IT Team Review (19 Aug 2026)</w:t>
      </w:r>
    </w:p>
    <w:tbl>
      <w:tblPr>
        <w:tblW w:type="dxa" w:w="9350"/>
        <w:tblBorders>
          <w:top w:val="single" w:color="C7CDD6" w:sz="4"/>
          <w:left w:val="single" w:color="C7CDD6" w:sz="4"/>
          <w:bottom w:val="single" w:color="C7CDD6" w:sz="4"/>
          <w:right w:val="single" w:color="C7CDD6" w:sz="4"/>
          <w:insideH w:val="single" w:color="auto" w:sz="4"/>
          <w:insideV w:val="single" w:color="auto" w:sz="4"/>
        </w:tblBorders>
      </w:tblPr>
      <w:tblGrid>
        <w:gridCol w:w="500"/>
        <w:gridCol w:w="2500"/>
        <w:gridCol w:w="6350"/>
      </w:tblGrid>
      <w:tr>
        <w:trPr>
          <w:tblHeader/>
        </w:trPr>
        <w:tc>
          <w:tcPr>
            <w:tcW w:type="dxa" w:w="50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t>
            </w:r>
          </w:p>
        </w:tc>
        <w:tc>
          <w:tcPr>
            <w:tcW w:type="dxa" w:w="250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Item</w:t>
            </w:r>
          </w:p>
        </w:tc>
        <w:tc>
          <w:tcPr>
            <w:tcW w:type="dxa" w:w="635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Resolution</w:t>
            </w:r>
          </w:p>
        </w:tc>
      </w:tr>
      <w:tr>
        <w:tc>
          <w:tcPr>
            <w:tcW w:type="dxa" w:w="5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1</w:t>
            </w:r>
          </w:p>
        </w:tc>
        <w:tc>
          <w:tcPr>
            <w:tcW w:type="dxa" w:w="25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Reg Number vs. Matric Number mapping</w:t>
            </w:r>
          </w:p>
        </w:tc>
        <w:tc>
          <w:tcPr>
            <w:tcW w:type="dxa" w:w="63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RESOLVED. Students register with Matric Number; Aspirants register with JAMB Registration Number.</w:t>
            </w:r>
          </w:p>
        </w:tc>
      </w:tr>
      <w:tr>
        <w:tc>
          <w:tcPr>
            <w:tcW w:type="dxa" w:w="5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2</w:t>
            </w:r>
          </w:p>
        </w:tc>
        <w:tc>
          <w:tcPr>
            <w:tcW w:type="dxa" w:w="25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GPA / JAMB score during registration</w:t>
            </w:r>
          </w:p>
        </w:tc>
        <w:tc>
          <w:tcPr>
            <w:tcW w:type="dxa" w:w="63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RESOLVED. Neither is collected at onboarding — the app calculates CGPA and Post-UTME score entirely from quiz performance.</w:t>
            </w:r>
          </w:p>
        </w:tc>
      </w:tr>
      <w:tr>
        <w:tc>
          <w:tcPr>
            <w:tcW w:type="dxa" w:w="5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3</w:t>
            </w:r>
          </w:p>
        </w:tc>
        <w:tc>
          <w:tcPr>
            <w:tcW w:type="dxa" w:w="25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Academic structure</w:t>
            </w:r>
          </w:p>
        </w:tc>
        <w:tc>
          <w:tcPr>
            <w:tcW w:type="dxa" w:w="63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RESOLVED. Faculty → Department → Course → Topic hierarchy. Admin declares Levels, Faculties, Departments, and Courses. Course scopes: Department, Faculty, General, Interfaculty.</w:t>
            </w:r>
          </w:p>
        </w:tc>
      </w:tr>
      <w:tr>
        <w:tc>
          <w:tcPr>
            <w:tcW w:type="dxa" w:w="5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4</w:t>
            </w:r>
          </w:p>
        </w:tc>
        <w:tc>
          <w:tcPr>
            <w:tcW w:type="dxa" w:w="25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Interfaculty courses</w:t>
            </w:r>
          </w:p>
        </w:tc>
        <w:tc>
          <w:tcPr>
            <w:tcW w:type="dxa" w:w="63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RESOLVED. Admin manually picks the specific faculties that share each interfaculty course.</w:t>
            </w:r>
          </w:p>
        </w:tc>
      </w:tr>
      <w:tr>
        <w:tc>
          <w:tcPr>
            <w:tcW w:type="dxa" w:w="5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5</w:t>
            </w:r>
          </w:p>
        </w:tc>
        <w:tc>
          <w:tcPr>
            <w:tcW w:type="dxa" w:w="25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Topic creation</w:t>
            </w:r>
          </w:p>
        </w:tc>
        <w:tc>
          <w:tcPr>
            <w:tcW w:type="dxa" w:w="63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RESOLVED. Both Admin and Teachers can create Topics under a course.</w:t>
            </w:r>
          </w:p>
        </w:tc>
      </w:tr>
      <w:tr>
        <w:tc>
          <w:tcPr>
            <w:tcW w:type="dxa" w:w="5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6</w:t>
            </w:r>
          </w:p>
        </w:tc>
        <w:tc>
          <w:tcPr>
            <w:tcW w:type="dxa" w:w="25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Quiz types &amp; CGPA weighting</w:t>
            </w:r>
          </w:p>
        </w:tc>
        <w:tc>
          <w:tcPr>
            <w:tcW w:type="dxa" w:w="63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RESOLVED. Two types: Topic Quiz (practice, doesn't count) and Course Quiz (weekly, 50 questions, the only type that counts). No credit-unit weighting — every course counts equally.</w:t>
            </w:r>
          </w:p>
        </w:tc>
      </w:tr>
    </w:tbl>
    <w:p>
      <w:pPr>
        <w:pStyle w:val="Heading2"/>
        <w:spacing w:after="120" w:before="240"/>
      </w:pPr>
      <w:r>
        <w:rPr>
          <w:rFonts w:ascii="Calibri" w:cs="Calibri" w:eastAsia="Calibri" w:hAnsi="Calibri"/>
          <w:b/>
          <w:bCs/>
          <w:color w:val="1F4E38"/>
          <w:sz w:val="22"/>
          <w:szCs w:val="22"/>
        </w:rPr>
        <w:t xml:space="preserve">Remaining Open Items</w:t>
      </w:r>
    </w:p>
    <w:p>
      <w:pPr>
        <w:spacing w:after="160" w:line="300"/>
      </w:pPr>
      <w:r>
        <w:rPr>
          <w:rFonts w:ascii="Calibri" w:cs="Calibri" w:eastAsia="Calibri" w:hAnsi="Calibri"/>
          <w:i w:val="false"/>
          <w:iCs w:val="false"/>
          <w:color w:val="1B2B26"/>
          <w:sz w:val="21"/>
          <w:szCs w:val="21"/>
        </w:rPr>
        <w:t xml:space="preserve">The following points still need Board confirmation before development begins.</w:t>
      </w:r>
    </w:p>
    <w:tbl>
      <w:tblPr>
        <w:tblW w:type="dxa" w:w="9350"/>
        <w:tblBorders>
          <w:top w:val="single" w:color="C7CDD6" w:sz="4"/>
          <w:left w:val="single" w:color="C7CDD6" w:sz="4"/>
          <w:bottom w:val="single" w:color="C7CDD6" w:sz="4"/>
          <w:right w:val="single" w:color="C7CDD6" w:sz="4"/>
          <w:insideH w:val="single" w:color="auto" w:sz="4"/>
          <w:insideV w:val="single" w:color="auto" w:sz="4"/>
        </w:tblBorders>
      </w:tblPr>
      <w:tblGrid>
        <w:gridCol w:w="500"/>
        <w:gridCol w:w="2500"/>
        <w:gridCol w:w="6350"/>
      </w:tblGrid>
      <w:tr>
        <w:trPr>
          <w:tblHeader/>
        </w:trPr>
        <w:tc>
          <w:tcPr>
            <w:tcW w:type="dxa" w:w="50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t>
            </w:r>
          </w:p>
        </w:tc>
        <w:tc>
          <w:tcPr>
            <w:tcW w:type="dxa" w:w="250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Item</w:t>
            </w:r>
          </w:p>
        </w:tc>
        <w:tc>
          <w:tcPr>
            <w:tcW w:type="dxa" w:w="635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Why It Matters</w:t>
            </w:r>
          </w:p>
        </w:tc>
      </w:tr>
      <w:tr>
        <w:tc>
          <w:tcPr>
            <w:tcW w:type="dxa" w:w="5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1</w:t>
            </w:r>
          </w:p>
        </w:tc>
        <w:tc>
          <w:tcPr>
            <w:tcW w:type="dxa" w:w="25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Identifier validation</w:t>
            </w:r>
          </w:p>
        </w:tc>
        <w:tc>
          <w:tcPr>
            <w:tcW w:type="dxa" w:w="63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Whether Matric/JAMB Reg numbers are checked against an existing MSSN/Unilorin list, or accepted as entered</w:t>
            </w:r>
          </w:p>
        </w:tc>
      </w:tr>
      <w:tr>
        <w:tc>
          <w:tcPr>
            <w:tcW w:type="dxa" w:w="5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2</w:t>
            </w:r>
          </w:p>
        </w:tc>
        <w:tc>
          <w:tcPr>
            <w:tcW w:type="dxa" w:w="25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Admin vs. Teacher boundary</w:t>
            </w:r>
          </w:p>
        </w:tc>
        <w:tc>
          <w:tcPr>
            <w:tcW w:type="dxa" w:w="63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Determines whether Teachers publish quizzes and topics directly, or need Admin approval first</w:t>
            </w:r>
          </w:p>
        </w:tc>
      </w:tr>
      <w:tr>
        <w:tc>
          <w:tcPr>
            <w:tcW w:type="dxa" w:w="5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3</w:t>
            </w:r>
          </w:p>
        </w:tc>
        <w:tc>
          <w:tcPr>
            <w:tcW w:type="dxa" w:w="25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Content upload permissions</w:t>
            </w:r>
          </w:p>
        </w:tc>
        <w:tc>
          <w:tcPr>
            <w:tcW w:type="dxa" w:w="63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Whether Teachers, not just Admin, can upload PDFs and articles</w:t>
            </w:r>
          </w:p>
        </w:tc>
      </w:tr>
      <w:tr>
        <w:tc>
          <w:tcPr>
            <w:tcW w:type="dxa" w:w="5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4</w:t>
            </w:r>
          </w:p>
        </w:tc>
        <w:tc>
          <w:tcPr>
            <w:tcW w:type="dxa" w:w="25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Fill-in-the-gap grading</w:t>
            </w:r>
          </w:p>
        </w:tc>
        <w:tc>
          <w:tcPr>
            <w:tcW w:type="dxa" w:w="63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Exact match, case-insensitive match, or manual grading by a Teacher</w:t>
            </w:r>
          </w:p>
        </w:tc>
      </w:tr>
      <w:tr>
        <w:tc>
          <w:tcPr>
            <w:tcW w:type="dxa" w:w="5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5</w:t>
            </w:r>
          </w:p>
        </w:tc>
        <w:tc>
          <w:tcPr>
            <w:tcW w:type="dxa" w:w="25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Notifications</w:t>
            </w:r>
          </w:p>
        </w:tc>
        <w:tc>
          <w:tcPr>
            <w:tcW w:type="dxa" w:w="63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How Students and Aspirants learn a new quiz or score release is available</w:t>
            </w:r>
          </w:p>
        </w:tc>
      </w:tr>
      <w:tr>
        <w:tc>
          <w:tcPr>
            <w:tcW w:type="dxa" w:w="5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6</w:t>
            </w:r>
          </w:p>
        </w:tc>
        <w:tc>
          <w:tcPr>
            <w:tcW w:type="dxa" w:w="25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Department list source</w:t>
            </w:r>
          </w:p>
        </w:tc>
        <w:tc>
          <w:tcPr>
            <w:tcW w:type="dxa" w:w="63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Whether there's an authoritative list of Unilorin faculties/departments (and each one's max Level) to seed the platform with</w:t>
            </w:r>
          </w:p>
        </w:tc>
      </w:tr>
      <w:tr>
        <w:tc>
          <w:tcPr>
            <w:tcW w:type="dxa" w:w="5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7</w:t>
            </w:r>
          </w:p>
        </w:tc>
        <w:tc>
          <w:tcPr>
            <w:tcW w:type="dxa" w:w="25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Course catalogue ownership</w:t>
            </w:r>
          </w:p>
        </w:tc>
        <w:tc>
          <w:tcPr>
            <w:tcW w:type="dxa" w:w="63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Who populates the Course list per Department/Level/Semester — the Board, individual Teachers, or an existing Unilorin source</w:t>
            </w:r>
          </w:p>
        </w:tc>
      </w:tr>
      <w:tr>
        <w:tc>
          <w:tcPr>
            <w:tcW w:type="dxa" w:w="5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8</w:t>
            </w:r>
          </w:p>
        </w:tc>
        <w:tc>
          <w:tcPr>
            <w:tcW w:type="dxa" w:w="25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Topic Quiz question count</w:t>
            </w:r>
          </w:p>
        </w:tc>
        <w:tc>
          <w:tcPr>
            <w:tcW w:type="dxa" w:w="63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Whether this is fully free-form (Teacher decides per topic) or should also follow a fixed format like the 50-question Course Quiz</w:t>
            </w:r>
          </w:p>
        </w:tc>
      </w:tr>
      <w:tr>
        <w:tc>
          <w:tcPr>
            <w:tcW w:type="dxa" w:w="5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9</w:t>
            </w:r>
          </w:p>
        </w:tc>
        <w:tc>
          <w:tcPr>
            <w:tcW w:type="dxa" w:w="25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Weekly release timing</w:t>
            </w:r>
          </w:p>
        </w:tc>
        <w:tc>
          <w:tcPr>
            <w:tcW w:type="dxa" w:w="63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Whether the Course Quiz is always released on a fixed day (e.g. every Saturday), and how long it stays open</w:t>
            </w:r>
          </w:p>
        </w:tc>
      </w:tr>
    </w:tbl>
    <w:p>
      <w:pPr>
        <w:pStyle w:val="Heading1"/>
        <w:pBdr>
          <w:bottom w:val="single" w:color="2F6F52" w:sz="6" w:space="6"/>
        </w:pBdr>
        <w:spacing w:after="200" w:before="420"/>
      </w:pPr>
      <w:r>
        <w:rPr>
          <w:rFonts w:ascii="Calibri" w:cs="Calibri" w:eastAsia="Calibri" w:hAnsi="Calibri"/>
          <w:b/>
          <w:bCs/>
          <w:color w:val="B8862F"/>
          <w:sz w:val="27"/>
          <w:szCs w:val="27"/>
        </w:rPr>
        <w:t xml:space="preserve">11.  </w:t>
      </w:r>
      <w:r>
        <w:rPr>
          <w:rFonts w:ascii="Calibri" w:cs="Calibri" w:eastAsia="Calibri" w:hAnsi="Calibri"/>
          <w:b/>
          <w:bCs/>
          <w:color w:val="1F4E38"/>
          <w:sz w:val="27"/>
          <w:szCs w:val="27"/>
        </w:rPr>
        <w:t xml:space="preserve">Proposed Next Steps &amp; Timeline</w:t>
      </w:r>
    </w:p>
    <w:tbl>
      <w:tblPr>
        <w:tblW w:type="dxa" w:w="9350"/>
        <w:tblBorders>
          <w:top w:val="single" w:color="C7CDD6" w:sz="4"/>
          <w:left w:val="single" w:color="C7CDD6" w:sz="4"/>
          <w:bottom w:val="single" w:color="C7CDD6" w:sz="4"/>
          <w:right w:val="single" w:color="C7CDD6" w:sz="4"/>
          <w:insideH w:val="single" w:color="auto" w:sz="4"/>
          <w:insideV w:val="single" w:color="auto" w:sz="4"/>
        </w:tblBorders>
      </w:tblPr>
      <w:tblGrid>
        <w:gridCol w:w="2600"/>
        <w:gridCol w:w="4700"/>
        <w:gridCol w:w="2050"/>
      </w:tblGrid>
      <w:tr>
        <w:trPr>
          <w:tblHeader/>
        </w:trPr>
        <w:tc>
          <w:tcPr>
            <w:tcW w:type="dxa" w:w="260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Phase</w:t>
            </w:r>
          </w:p>
        </w:tc>
        <w:tc>
          <w:tcPr>
            <w:tcW w:type="dxa" w:w="470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What Happens</w:t>
            </w:r>
          </w:p>
        </w:tc>
        <w:tc>
          <w:tcPr>
            <w:tcW w:type="dxa" w:w="2050"/>
            <w:tcBorders>
              <w:top w:val="single" w:color="1F4E38" w:sz="4"/>
              <w:left w:val="single" w:color="1F4E38" w:sz="4"/>
              <w:bottom w:val="single" w:color="1F4E38" w:sz="4"/>
              <w:right w:val="single" w:color="1F4E38" w:sz="4"/>
            </w:tcBorders>
            <w:shd w:fill="2F6F52" w:color="2F6F52"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Rough Duration</w:t>
            </w:r>
          </w:p>
        </w:tc>
      </w:tr>
      <w:tr>
        <w:tc>
          <w:tcPr>
            <w:tcW w:type="dxa" w:w="26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1. Confirm requirements</w:t>
            </w:r>
          </w:p>
        </w:tc>
        <w:tc>
          <w:tcPr>
            <w:tcW w:type="dxa" w:w="47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Board reviews and answers the open items in Section 10</w:t>
            </w:r>
          </w:p>
        </w:tc>
        <w:tc>
          <w:tcPr>
            <w:tcW w:type="dxa" w:w="20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~2–3 days</w:t>
            </w:r>
          </w:p>
        </w:tc>
      </w:tr>
      <w:tr>
        <w:tc>
          <w:tcPr>
            <w:tcW w:type="dxa" w:w="26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2. Design sign-off</w:t>
            </w:r>
          </w:p>
        </w:tc>
        <w:tc>
          <w:tcPr>
            <w:tcW w:type="dxa" w:w="47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Review and approve the wireframes</w:t>
            </w:r>
          </w:p>
        </w:tc>
        <w:tc>
          <w:tcPr>
            <w:tcW w:type="dxa" w:w="20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~2–3 days</w:t>
            </w:r>
          </w:p>
        </w:tc>
      </w:tr>
      <w:tr>
        <w:tc>
          <w:tcPr>
            <w:tcW w:type="dxa" w:w="26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3. Development</w:t>
            </w:r>
          </w:p>
        </w:tc>
        <w:tc>
          <w:tcPr>
            <w:tcW w:type="dxa" w:w="47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Build registration, academic structure, quizzes, dashboards, and score tracking</w:t>
            </w:r>
          </w:p>
        </w:tc>
        <w:tc>
          <w:tcPr>
            <w:tcW w:type="dxa" w:w="20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~3–4 weeks</w:t>
            </w:r>
          </w:p>
        </w:tc>
      </w:tr>
      <w:tr>
        <w:tc>
          <w:tcPr>
            <w:tcW w:type="dxa" w:w="26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4. Pilot testing</w:t>
            </w:r>
          </w:p>
        </w:tc>
        <w:tc>
          <w:tcPr>
            <w:tcW w:type="dxa" w:w="470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A small group of Students &amp; Aspirants test the platform</w:t>
            </w:r>
          </w:p>
        </w:tc>
        <w:tc>
          <w:tcPr>
            <w:tcW w:type="dxa" w:w="2050"/>
            <w:tcBorders>
              <w:top w:val="single" w:color="C7CDD6" w:sz="4"/>
              <w:left w:val="single" w:color="C7CDD6" w:sz="4"/>
              <w:bottom w:val="single" w:color="C7CDD6" w:sz="4"/>
              <w:right w:val="single" w:color="C7CDD6" w:sz="4"/>
            </w:tcBorders>
            <w:shd w:fill="F7F9F7" w:color="F7F9F7" w:val="clear"/>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~3–5 days</w:t>
            </w:r>
          </w:p>
        </w:tc>
      </w:tr>
      <w:tr>
        <w:tc>
          <w:tcPr>
            <w:tcW w:type="dxa" w:w="26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bCs/>
                <w:color w:val="1B2B26"/>
                <w:sz w:val="19"/>
                <w:szCs w:val="19"/>
              </w:rPr>
              <w:t xml:space="preserve">5. Launch</w:t>
            </w:r>
          </w:p>
        </w:tc>
        <w:tc>
          <w:tcPr>
            <w:tcW w:type="dxa" w:w="470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Full rollout to all Students &amp; Aspirants</w:t>
            </w:r>
          </w:p>
        </w:tc>
        <w:tc>
          <w:tcPr>
            <w:tcW w:type="dxa" w:w="2050"/>
            <w:tcBorders>
              <w:top w:val="single" w:color="C7CDD6" w:sz="4"/>
              <w:left w:val="single" w:color="C7CDD6" w:sz="4"/>
              <w:bottom w:val="single" w:color="C7CDD6" w:sz="4"/>
              <w:right w:val="single" w:color="C7CDD6" w:sz="4"/>
            </w:tcBorders>
            <w:tcMar>
              <w:top w:type="dxa" w:w="100"/>
              <w:left w:type="dxa" w:w="120"/>
              <w:bottom w:type="dxa" w:w="100"/>
              <w:right w:type="dxa" w:w="120"/>
            </w:tcMar>
            <w:vAlign w:val="center"/>
          </w:tcPr>
          <w:p>
            <w:pPr>
              <w:spacing w:after="40"/>
            </w:pPr>
            <w:r>
              <w:rPr>
                <w:rFonts w:ascii="Calibri" w:cs="Calibri" w:eastAsia="Calibri" w:hAnsi="Calibri"/>
                <w:b w:val="false"/>
                <w:bCs w:val="false"/>
                <w:color w:val="1B2B26"/>
                <w:sz w:val="19"/>
                <w:szCs w:val="19"/>
              </w:rPr>
              <w:t xml:space="preserve">—</w:t>
            </w:r>
          </w:p>
        </w:tc>
      </w:tr>
    </w:tbl>
    <w:p>
      <w:pPr>
        <w:spacing w:after="200" w:before="100"/>
      </w:pPr>
      <w:r>
        <w:rPr>
          <w:rFonts w:ascii="Calibri" w:cs="Calibri" w:eastAsia="Calibri" w:hAnsi="Calibri"/>
          <w:i/>
          <w:iCs/>
          <w:color w:val="5A6472"/>
          <w:sz w:val="18"/>
          <w:szCs w:val="18"/>
        </w:rPr>
        <w:t xml:space="preserve">Timeline is a rough placeholder for discussion, to be finalized once a developer scopes the confirmed requirements.</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DD6" w:sz="4" w:space="4"/>
      </w:pBdr>
      <w:jc w:val="center"/>
    </w:pPr>
    <w:r>
      <w:rPr>
        <w:rFonts w:ascii="Calibri" w:cs="Calibri" w:eastAsia="Calibri" w:hAnsi="Calibri"/>
        <w:color w:val="5A6472"/>
        <w:sz w:val="15"/>
        <w:szCs w:val="15"/>
      </w:rPr>
      <w:t xml:space="preserve">Page </w:t>
    </w:r>
    <w:r>
      <w:rPr>
        <w:rFonts w:ascii="Calibri" w:cs="Calibri" w:eastAsia="Calibri" w:hAnsi="Calibri"/>
        <w:color w:val="5A6472"/>
        <w:sz w:val="15"/>
        <w:szCs w:val="15"/>
      </w:rPr>
      <w:fldChar w:fldCharType="begin"/>
      <w:instrText xml:space="preserve">PAGE</w:instrText>
      <w:fldChar w:fldCharType="separate"/>
      <w:fldChar w:fldCharType="end"/>
    </w:r>
    <w:r>
      <w:rPr>
        <w:rFonts w:ascii="Calibri" w:cs="Calibri" w:eastAsia="Calibri" w:hAnsi="Calibri"/>
        <w:color w:val="5A6472"/>
        <w:sz w:val="15"/>
        <w:szCs w:val="15"/>
      </w:rPr>
      <w:t xml:space="preserve"> of </w:t>
    </w:r>
    <w:r>
      <w:rPr>
        <w:rFonts w:ascii="Calibri" w:cs="Calibri" w:eastAsia="Calibri" w:hAnsi="Calibri"/>
        <w:color w:val="5A6472"/>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6" w:sz="4" w:space="4"/>
      </w:pBdr>
      <w:tabs>
        <w:tab w:val="right" w:pos="9026"/>
      </w:tabs>
    </w:pPr>
    <w:r>
      <w:rPr>
        <w:rFonts w:ascii="Calibri" w:cs="Calibri" w:eastAsia="Calibri" w:hAnsi="Calibri"/>
        <w:color w:val="5A6472"/>
        <w:sz w:val="15"/>
        <w:szCs w:val="15"/>
      </w:rPr>
      <w:t xml:space="preserve">DOS Site — Development Proposal</w:t>
    </w:r>
    <w:r>
      <w:rPr>
        <w:rFonts w:ascii="Calibri" w:cs="Calibri" w:eastAsia="Calibri" w:hAnsi="Calibri"/>
        <w:color w:val="5A6472"/>
        <w:sz w:val="15"/>
        <w:szCs w:val="15"/>
      </w:rPr>
      <w:t xml:space="preserve">	Board of Studies, MSSN Unilorin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B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609f9cf87314cf9cbb6336b2d7a70b14ee034bf.png"/><Relationship Id="rId12" Type="http://schemas.openxmlformats.org/officeDocument/2006/relationships/image" Target="media/0ade320f4029bc0c4876c2115d01aab2debd969f.png"/><Relationship Id="rId13" Type="http://schemas.openxmlformats.org/officeDocument/2006/relationships/image" Target="media/3a88c18d8877ee8e03e3ec3f521aa6e3668f3a53.png"/><Relationship Id="rId14" Type="http://schemas.openxmlformats.org/officeDocument/2006/relationships/image" Target="media/ec667135fd9c91ea6815ec90ff0b53fd01028ca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 Site — Development Proposal &amp; Requirements Confirmation</dc:title>
  <dc:creator>Board of Studies — MSSN Unilorin</dc:creator>
  <cp:lastModifiedBy>Un-named</cp:lastModifiedBy>
  <cp:revision>1</cp:revision>
  <dcterms:created xsi:type="dcterms:W3CDTF">2026-08-20T06:14:52.495Z</dcterms:created>
  <dcterms:modified xsi:type="dcterms:W3CDTF">2026-08-20T06:14:52.507Z</dcterms:modified>
</cp:coreProperties>
</file>

<file path=docProps/custom.xml><?xml version="1.0" encoding="utf-8"?>
<Properties xmlns="http://schemas.openxmlformats.org/officeDocument/2006/custom-properties" xmlns:vt="http://schemas.openxmlformats.org/officeDocument/2006/docPropsVTypes"/>
</file>