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85"/>
        <w:gridCol w:w="7465"/>
      </w:tblGrid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SF Cluster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Admin: azureuser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PW: Azure@Cat123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378" w:dyaOrig="10913">
                <v:rect xmlns:o="urn:schemas-microsoft-com:office:office" xmlns:v="urn:schemas-microsoft-com:vml" id="rectole0000000000" style="width:568.900000pt;height:545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https://azure.microsoft.com/en-us/documentation/articles/service-fabric-cluster-capacity/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50505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Segoe UI" w:hAnsi="Segoe UI" w:cs="Segoe UI" w:eastAsia="Segoe UI"/>
                <w:color w:val="505050"/>
                <w:spacing w:val="0"/>
                <w:position w:val="0"/>
                <w:sz w:val="22"/>
                <w:shd w:fill="FFFFFF" w:val="clear"/>
              </w:rPr>
              <w:t xml:space="preserve">Does your application have multiple services, and do any of those need to be public or internet facing? Typical applications contain a front-end gateway service that receive input from a client, and one or more back-end services that communicate with the front-end services. So in this case, you end up having at least two node types.”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Stateless Service to host ASP.NET public internet facing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Stateful to host some of the user portfolio etc.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Azure SQL DB</w:t>
            </w: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servername: cathack03.database.windows.net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 cathack03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 CAT@Hack#3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region: West 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database: portfoliodb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&lt;Active Geo replication not enabled yet. Work in progress&gt;.</w:t>
            </w: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zure.microsoft.com/en-us/documentation/articles/service-fabric-cluster-capacity/" Id="docRId2" Type="http://schemas.openxmlformats.org/officeDocument/2006/relationships/hyperlink" /><Relationship Target="styles.xml" Id="docRId4" Type="http://schemas.openxmlformats.org/officeDocument/2006/relationships/styles" /></Relationships>
</file>