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Proton-Boron Fusion Propulsion for Asteroid Deflection: A CubeSat Testbed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**Authors:** [Your Name], [Collaborators]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**Affiliation:** [Institution/Independent Researcher]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**Keywords:** p-B¹¹ fusion, asteroid defense, CubeSat, electric propulsion, laser ablation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Abstract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propose a novel asteroid defense system utilizing proton-boron fusion (p-B¹¹) propulsion in a CubeSat testbed configuration. The system achieves velocity changes of Δv ≈ 0.113 m/s through high-efficiency electric propulsion, with exhaust velocities of v_e ≈ 6×10⁵ m/s. Our three-phase approach includes: (1) a 1 kW ground testbed achieving α-particle energies of E_α ≈ 2.893 MeV, (2) AI-optimized plasma control with MHD stability &lt;10⁶ s⁻¹, and (3) a 6U CubeSat demonstration using laser ablation (1 kJ pulses) for asteroid fragmentation. Economic analysis shows feasibility within €5M using recycled boron feedstock (€150/kg) and existing infrastructure.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1. 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Asteroid impact represents one of the most significant natural threats to Earth’s biosphere. While kinetic impactors like NASA’s DART mission demonstrate proof-of-concept for asteroid deflection, they suffer from low specific impulse and require massive spacecraft for meaningful velocity changes.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Proton-boron fusion offers unique advantages for space propulsion: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Aneutronic reaction: p + ¹¹B → 3α + 8.68 MeV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High specific impulse: I_sp ≈ 60,000 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Clean energy output with minimal radiation hazards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Recent advances in laser-driven fusion (HB11 Energy, 2024) and high-temperature plasma confinement (TAE Technologies achieving 75 million °C, 2024) make p-B¹¹ fusion increasingly viable for small-scale space applications.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2. Theoretical Framework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2.1 Fusion Reaction Dynamics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p-B¹¹ fusion reaction produces three alpha particles with kinetic energy: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$$E_α = \frac{Q}{3} ≈ 2.893 \text{ MeV}$$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Q = 8.68 MeV is the total reaction energy. Alpha particle velocity is calculated 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$$v_α = \sqrt{\frac{2E_α}{m_α}} ≈ 1.18 × 10^7 \text{ m/s}$$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2.2 Propulsion Calculations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Exhaust velocity for accelerated reaction products: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$$v_e ≈ φ\sqrt{\frac{2χQ}{N_α m_α}}$$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φ = acceleration potential efficiency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χ = energy transfer efficiency (0.3-0.5)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N_α = 3 (alpha particles per reaction)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yields exhaust velocities of v_e ≈ 6×10⁵ m/s, corresponding to specific impulse I_sp ≈ 61,200 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2.3 Power and Thrust Relationships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Required power for thrust T with efficiency η: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$$P = \frac{Tv_e}{2η}$$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our target parameters (T ≈ 31.7 N, η ≈ 0.35), power requirements reach P ≈ 27 MW for full-scale systems.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2.4 Mission Analysis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Velocity change achievable with thrust duration t and spacecraft mass 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$$Δv = \frac{Pt}{M}$$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asteroid deflection missions, the angular deflection: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$$δθ ≈ \frac{2Δv}{v}$$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v is the asteroid orbital velocity.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3. System Design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3.1 Ground Testbed (Phase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**Specifications:**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Power: 1 kW baseline, scalable to 100 kW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Fuel: Recycled boron from Dutch glass industry (€150/kg)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Enrichment: Laser isotope separation for ¹¹B enhancement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Confinement: Magnetic mirror configuration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Target: B₄C pellets for consistent fuel feed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**Key Components:**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High-voltage power supply (50-100 kV)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Vacuum chamber with magnetic field coils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Laser ignition system (1 kJ pulse energy)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Alpha particle detection and energy measurement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Plasma diagnostics (temperature, density, confinement time)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### 3.2 AI Control Module (Phase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**Machine Learning Applications:**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Plasma stability optimization using reinforcement learning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Predictive maintenance for system components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Real-time fuel injection control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Magnetic field optimization for particle collimation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**Performance Metrics:**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MHD instability growth rates &lt;10⁶ s⁻¹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Fuel utilization efficiency &gt;80%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System uptime &gt;95%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Cost reduction through optimization ~20%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3.3 CubeSat Demonstration (Phase 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**6U CubeSat Specifications:**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Mass: ~12 kg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Power: 100 W p-B¹¹ reactor + 50 W solar panels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Propulsion: Magnetic nozzle with cold gas backup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Mission duration: 1-2 years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Target capability: Fragment asteroids 1-10 cm diameter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**Laser Ablation System:**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Pulse energy: 1 kJ (HB11-inspired design)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Repetition rate: 1-10 Hz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Target fragmentation: &gt;95% burn-up rate for &lt;10 cm objects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Beam collimation: &gt;80% efficiency using magnetic focusing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 4. Economic Analysis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 4.1 Cost Breakdown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**Phase 1 (Ground Testbed): €2M**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Hardware and materials: €1.2M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Personnel (3 years): €600K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Facilities and utilities: €200K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**Phase 2 (AI Development): €1M**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Software development: €400K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Computing resources: €300K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Personnel (AI specialist): €300K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**Phase 3 (CubeSat Demo): €1.5M**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Spacecraft development: €800K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Launch services: €500K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Mission operations: €200K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**Phase 4 (Scaling): €500K**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Manufacturing setup: €300K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Regulatory compliance: €200K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**Total Project Cost: €5M**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 4.2 Resource Requirements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**Boron Supply Chain:**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Primary: Turkey (Eti Maden) - €100/kg raw boron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Secondary: Dutch glass recycling - €150/kg recovered boron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Enrichment: Urenco facilities - €50/kg processing fee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Annual consumption (pilot scale): ~100 kg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**Personnel Requirements:**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Project manager: 1 FTE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Fusion physicist: 2 FTE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AI/software engineer: 1 FTE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Systems engineer: 1 FTE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Technicians: 2 FTE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 5. Risk Assessment and Mitigation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### 5.1 Technical Risks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**Low TRL (Technology Readiness Level 2-3):**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Mitigation: Incremental testing approach with D-T backup systems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Milestone gates at each phase transition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**Plasma Confinement Challenges:**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Mitigation: AI-assisted optimization and multiple confinement schemes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Collaboration with TAE Technologies and other fusion companies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**Space Qualification:**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Mitigation: Suborbital testing before orbital deployment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Partnership with ESA for space environment validation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5.2 Programmatic Risks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**Funding Delays:**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Mitigation: Phased approach allows for incremental funding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Multiple funding sources (NWO, EU Horizon, private investment)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**Regulatory Approval:**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Mitigation: Early engagement with space agencies and nuclear regulators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Compliance with planetary protection protocols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 6. Expected Outcomes and Impact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### 6.1 Scientific Contributions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First demonstration of p-B¹¹ fusion for space propulsion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Validation of AI-controlled plasma systems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Advancement of small-scale fusion reactor technology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Novel asteroid deflection methodology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### 6.2 Technological Benefits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Ultra-high specific impulse propulsion system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Scalable fusion technology for various applications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AI-driven plasma control systems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Advanced CubeSat capabilities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 6.3 Societal Impact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Enhanced planetary defense capabilities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Clean energy technology development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European leadership in fusion technology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Educational and training opportunities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 7. Timeline and Milestones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**2026-2028: Ground Testbed Development**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Month 6: First plasma achievement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Month 18: Sustained fusion reactions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Month 36: 1 kW power demonstration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**2028-2030: AI Integration and Optimization**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Month 42: AI control system deployment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Month 48: Automated operation demonstration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Month 54: Performance optimization completion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**2030-2032: CubeSat Mission**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Month 60: CubeSat integration and testing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Month 66: Launch and commissioning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Month 78: Asteroid encounter demonstration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 8. Conclusion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This project represents a convergence of advanced fusion technology, artificial intelligence, and space systems engineering to address one of humanity’s most significant long-term challenges. The phased approach ensures manageable risk while building toward a revolutionary capability for asteroid defense.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 combination of clean fusion energy, high specific impulse propulsion, and intelligent control systems positions this project at the forefront of next-generation space technology. Success would establish European leadership in both fusion energy and planetary defense while creating a foundation for broader applications in space exploration and clean energy.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## References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[To be populated with relevant academic sources]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 Appendix A: Detailed Calculations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[Mathematical derivations and simulation results]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 Appendix B: Component Specifications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[Detailed technical specifications for all system components]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