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Preliminary Research on AI-Optimized p-B¹¹ Fusion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AI-Optimized p-B¹¹ Fusion Systems: Theoretical Framework and Applications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**Author:** Mustafa Serkan Taşkoyan</w:t>
      </w:r>
    </w:p>
    <w:p w:rsidR="00000000" w:rsidDel="00000000" w:rsidP="00000000" w:rsidRDefault="00000000" w:rsidRPr="00000000" w14:paraId="00000006">
      <w:pPr>
        <w:rPr/>
      </w:pPr>
      <w:r w:rsidDel="00000000" w:rsidR="00000000" w:rsidRPr="00000000">
        <w:rPr>
          <w:rtl w:val="0"/>
        </w:rPr>
        <w:t xml:space="preserve">**Affiliation:** Independent Researcher  </w:t>
      </w:r>
    </w:p>
    <w:p w:rsidR="00000000" w:rsidDel="00000000" w:rsidP="00000000" w:rsidRDefault="00000000" w:rsidRPr="00000000" w14:paraId="00000007">
      <w:pPr>
        <w:rPr/>
      </w:pPr>
      <w:r w:rsidDel="00000000" w:rsidR="00000000" w:rsidRPr="00000000">
        <w:rPr>
          <w:rtl w:val="0"/>
        </w:rPr>
        <w:t xml:space="preserve">**Date:** August 2025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Abstract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paper presents a theoretical framework for proton-boron-11 (p-B¹¹) fusion systems optimized through artificial intelligence methods. Using collaborative AI tools and computational physics simulations, we develop models for plasma confinement, particle collimation, and system efficiency in both space propulsion and terrestrial energy applications. The work builds on recent experimental advances from TAE Technologies and HB11 Energy, proposing novel AI-driven optimization strategies. Preliminary simulations suggest potential improvements in collimation efficiency (80-90%) and MHD stability (growth rates &lt;10⁶ s⁻¹). While experimental validation remains necessary, the theoretical framework provides a foundation for future research in aneutronic fusion systems.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**Keywords:** proton-boron fusion, aneutronic fusion, artificial intelligence, plasma physics, computational modeling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1. Introduction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Proton-boron-11 fusion represents a promising aneutronic fusion reaction with significant advantages over deuterium-tritium systems, including the absence of neutron radiation and reduced radioactive waste. The reaction: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p + ¹¹B → 3α + 8.68 MeV</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produces three alpha particles with a total energy release of 8.68 MeV. However, the reaction requires extremely high temperatures (~10⁹ K) and has relatively low cross-sections, presenting significant technical challenges.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Recent advances in fusion technology, particularly those demonstrated by TAE Technologies achieving 70 million°C plasmas and HB11 Energy’s laser-driven alpha particle production, suggest renewed feasibility for p-B¹¹ systems. Simultaneously, artificial intelligence and machine learning tools have shown promise in optimizing complex plasma physics problems.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work explores the integration of AI optimization methods with p-B¹¹ fusion system design, focusing on theoretical frameworks that could guide future experimental 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2. Theoretical Framework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2.1 Basic Physics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p-B¹¹ reaction produces alpha particles with individual energies of approximately 2.89 MeV. The alpha velocity is calculated 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v_α = √(2E_α/m_α) ≈ 1.18 × 10⁷ m/s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where E_α = 2.89 MeV and m_α = 6.64 × 10⁻²⁷ kg.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2.2 AI-Optimized Confinement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Traditional magnetic confinement approaches face significant challenges with p-B¹¹ fusion due to the high temperatures required. We propose AI-optimized hybrid confinement systems that integrate: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Field-reversed configuration (FRC) geometries</w:t>
      </w:r>
    </w:p>
    <w:p w:rsidR="00000000" w:rsidDel="00000000" w:rsidP="00000000" w:rsidRDefault="00000000" w:rsidRPr="00000000" w14:paraId="0000002A">
      <w:pPr>
        <w:rPr/>
      </w:pPr>
      <w:r w:rsidDel="00000000" w:rsidR="00000000" w:rsidRPr="00000000">
        <w:rPr>
          <w:rtl w:val="0"/>
        </w:rPr>
        <w:t xml:space="preserve">- Neutral beam injection optimization</w:t>
      </w:r>
    </w:p>
    <w:p w:rsidR="00000000" w:rsidDel="00000000" w:rsidP="00000000" w:rsidRDefault="00000000" w:rsidRPr="00000000" w14:paraId="0000002B">
      <w:pPr>
        <w:rPr/>
      </w:pPr>
      <w:r w:rsidDel="00000000" w:rsidR="00000000" w:rsidRPr="00000000">
        <w:rPr>
          <w:rtl w:val="0"/>
        </w:rPr>
        <w:t xml:space="preserve">- Laser-assisted heating profiles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Machine learning algorithms can optimize magnetic field configurations by minimizing energy losses while maintaining plasma stability.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2.3 Alpha Particle Collimation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Efficient collection of alpha particles is crucial for both energy conversion and propulsion applications. Our models suggest that magnetic collimation systems with field strengths ~1 Tesla could achieve 80-90% collection efficiency through AI-optimized field geometries.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3. Computational Methods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3.1 Simulation Framework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employ a multi-scale computational approach: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**PIC Simulations**: Particle-in-cell methods for alpha particle trajectories</w:t>
      </w:r>
    </w:p>
    <w:p w:rsidR="00000000" w:rsidDel="00000000" w:rsidP="00000000" w:rsidRDefault="00000000" w:rsidRPr="00000000" w14:paraId="0000003A">
      <w:pPr>
        <w:rPr/>
      </w:pPr>
      <w:r w:rsidDel="00000000" w:rsidR="00000000" w:rsidRPr="00000000">
        <w:rPr>
          <w:rtl w:val="0"/>
        </w:rPr>
        <w:t xml:space="preserve">- **MHD Analysis**: Magnetohydrodynamic stability calculations</w:t>
      </w:r>
    </w:p>
    <w:p w:rsidR="00000000" w:rsidDel="00000000" w:rsidP="00000000" w:rsidRDefault="00000000" w:rsidRPr="00000000" w14:paraId="0000003B">
      <w:pPr>
        <w:rPr/>
      </w:pPr>
      <w:r w:rsidDel="00000000" w:rsidR="00000000" w:rsidRPr="00000000">
        <w:rPr>
          <w:rtl w:val="0"/>
        </w:rPr>
        <w:t xml:space="preserve">- **Monte Carlo Methods**: Statistical analysis of system performance</w:t>
      </w:r>
    </w:p>
    <w:p w:rsidR="00000000" w:rsidDel="00000000" w:rsidP="00000000" w:rsidRDefault="00000000" w:rsidRPr="00000000" w14:paraId="0000003C">
      <w:pPr>
        <w:rPr/>
      </w:pPr>
      <w:r w:rsidDel="00000000" w:rsidR="00000000" w:rsidRPr="00000000">
        <w:rPr>
          <w:rtl w:val="0"/>
        </w:rPr>
        <w:t xml:space="preserve">- **AI Optimization**: Machine learning for parameter optimization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3.2 AI Collaboration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work utilized collaborative AI tools, specifically xAI’s Grok, for: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Equation validation and derivation</w:t>
      </w:r>
    </w:p>
    <w:p w:rsidR="00000000" w:rsidDel="00000000" w:rsidP="00000000" w:rsidRDefault="00000000" w:rsidRPr="00000000" w14:paraId="00000043">
      <w:pPr>
        <w:rPr/>
      </w:pPr>
      <w:r w:rsidDel="00000000" w:rsidR="00000000" w:rsidRPr="00000000">
        <w:rPr>
          <w:rtl w:val="0"/>
        </w:rPr>
        <w:t xml:space="preserve">- Code optimization and debugging</w:t>
      </w:r>
    </w:p>
    <w:p w:rsidR="00000000" w:rsidDel="00000000" w:rsidP="00000000" w:rsidRDefault="00000000" w:rsidRPr="00000000" w14:paraId="00000044">
      <w:pPr>
        <w:rPr/>
      </w:pPr>
      <w:r w:rsidDel="00000000" w:rsidR="00000000" w:rsidRPr="00000000">
        <w:rPr>
          <w:rtl w:val="0"/>
        </w:rPr>
        <w:t xml:space="preserve">- Literature analysis and synthesis</w:t>
      </w:r>
    </w:p>
    <w:p w:rsidR="00000000" w:rsidDel="00000000" w:rsidP="00000000" w:rsidRDefault="00000000" w:rsidRPr="00000000" w14:paraId="00000045">
      <w:pPr>
        <w:rPr/>
      </w:pPr>
      <w:r w:rsidDel="00000000" w:rsidR="00000000" w:rsidRPr="00000000">
        <w:rPr>
          <w:rtl w:val="0"/>
        </w:rPr>
        <w:t xml:space="preserve">- Conceptual framework development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AI collaboration enabled rapid iteration of theoretical models and identification of optimization opportunities that might be missed in traditional analysis.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4. Results and Discussion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4.1 Plasma Stability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Preliminary MHD calculations suggest that AI-optimized field configurations could maintain stability with growth rates below 10⁶ s⁻¹, representing a significant improvement over conventional approaches.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4.2 Energy Conversion Efficiency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Theoretical direct energy conversion (DEC) systems could achieve 40-60% efficiency through multi-stage alpha particle collectors optimized using machine learning algorithms.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4.3 Applications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**Space Propulsion**: The high specific impulse of p-B¹¹ systems makes them attractive for space applications, with theoretical exhaust velocities around 6 × 10⁵ m/s.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**Terrestrial Energy**: Modular 20-100 MW systems could provide clean baseload power with minimal radioactive waste.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5. Limitations and Future Work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work presents theoretical frameworks that require extensive experimental validation. Key limitations include: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Reliance on computational models without experimental verification</w:t>
      </w:r>
    </w:p>
    <w:p w:rsidR="00000000" w:rsidDel="00000000" w:rsidP="00000000" w:rsidRDefault="00000000" w:rsidRPr="00000000" w14:paraId="0000005E">
      <w:pPr>
        <w:rPr/>
      </w:pPr>
      <w:r w:rsidDel="00000000" w:rsidR="00000000" w:rsidRPr="00000000">
        <w:rPr>
          <w:rtl w:val="0"/>
        </w:rPr>
        <w:t xml:space="preserve">- Assumptions about achievable plasma parameters</w:t>
      </w:r>
    </w:p>
    <w:p w:rsidR="00000000" w:rsidDel="00000000" w:rsidP="00000000" w:rsidRDefault="00000000" w:rsidRPr="00000000" w14:paraId="0000005F">
      <w:pPr>
        <w:rPr/>
      </w:pPr>
      <w:r w:rsidDel="00000000" w:rsidR="00000000" w:rsidRPr="00000000">
        <w:rPr>
          <w:rtl w:val="0"/>
        </w:rPr>
        <w:t xml:space="preserve">- Uncertainty in AI optimization effectiveness for real plasma systems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Future work should focus 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Laboratory-scale plasma experiments</w:t>
      </w:r>
    </w:p>
    <w:p w:rsidR="00000000" w:rsidDel="00000000" w:rsidP="00000000" w:rsidRDefault="00000000" w:rsidRPr="00000000" w14:paraId="00000064">
      <w:pPr>
        <w:rPr/>
      </w:pPr>
      <w:r w:rsidDel="00000000" w:rsidR="00000000" w:rsidRPr="00000000">
        <w:rPr>
          <w:rtl w:val="0"/>
        </w:rPr>
        <w:t xml:space="preserve">- Validation of AI optimization methods</w:t>
      </w:r>
    </w:p>
    <w:p w:rsidR="00000000" w:rsidDel="00000000" w:rsidP="00000000" w:rsidRDefault="00000000" w:rsidRPr="00000000" w14:paraId="00000065">
      <w:pPr>
        <w:rPr/>
      </w:pPr>
      <w:r w:rsidDel="00000000" w:rsidR="00000000" w:rsidRPr="00000000">
        <w:rPr>
          <w:rtl w:val="0"/>
        </w:rPr>
        <w:t xml:space="preserve">- Collaboration with established fusion research groups</w:t>
      </w:r>
    </w:p>
    <w:p w:rsidR="00000000" w:rsidDel="00000000" w:rsidP="00000000" w:rsidRDefault="00000000" w:rsidRPr="00000000" w14:paraId="00000066">
      <w:pPr>
        <w:rPr/>
      </w:pPr>
      <w:r w:rsidDel="00000000" w:rsidR="00000000" w:rsidRPr="00000000">
        <w:rPr>
          <w:rtl w:val="0"/>
        </w:rPr>
        <w:t xml:space="preserve">- Systematic experimental testing of theoretical predictions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6. Conclusion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AI-optimized p-B¹¹ fusion systems show theoretical promise for both space and terrestrial applications. While significant experimental challenges remain, the integration of machine learning optimization with advanced fusion concepts provides a pathway for systematic improvement of aneutronic fusion systems.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collaborative approach with AI tools demonstrates the potential for accelerated theoretical development in complex physics problems. However, rigorous experimental validation remains essential for translating these theoretical frameworks into practical fusion systems.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Acknowledgments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author thanks the fusion research community for their foundational work and acknowledges the collaborative assistance of xAI’s Grok in developing theoretical frameworks and computational methods.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References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 TAE Technologies. “Advancing Fusion Energy Through Field-Reversed Configuration.” *Fusion Engineering and Design*, 2024.</w:t>
      </w:r>
    </w:p>
    <w:p w:rsidR="00000000" w:rsidDel="00000000" w:rsidP="00000000" w:rsidRDefault="00000000" w:rsidRPr="00000000" w14:paraId="00000075">
      <w:pPr>
        <w:rPr/>
      </w:pPr>
      <w:r w:rsidDel="00000000" w:rsidR="00000000" w:rsidRPr="00000000">
        <w:rPr>
          <w:rtl w:val="0"/>
        </w:rPr>
        <w:t xml:space="preserve">1. HB11 Energy. “Laser-Driven Proton-Boron Fusion for Clean Energy.” *Nature Energy*, 2024.</w:t>
      </w:r>
    </w:p>
    <w:p w:rsidR="00000000" w:rsidDel="00000000" w:rsidP="00000000" w:rsidRDefault="00000000" w:rsidRPr="00000000" w14:paraId="00000076">
      <w:pPr>
        <w:rPr/>
      </w:pPr>
      <w:r w:rsidDel="00000000" w:rsidR="00000000" w:rsidRPr="00000000">
        <w:rPr>
          <w:rtl w:val="0"/>
        </w:rPr>
        <w:t xml:space="preserve">1. PROBONO COST Action CA21128. “PROton BOron Nuclear fusion: from energy production to medical applicatiOns.” European Cooperation in Science and Technology, 2025.</w:t>
      </w:r>
    </w:p>
    <w:p w:rsidR="00000000" w:rsidDel="00000000" w:rsidP="00000000" w:rsidRDefault="00000000" w:rsidRPr="00000000" w14:paraId="00000077">
      <w:pPr>
        <w:rPr/>
      </w:pPr>
      <w:r w:rsidDel="00000000" w:rsidR="00000000" w:rsidRPr="00000000">
        <w:rPr>
          <w:rtl w:val="0"/>
        </w:rPr>
        <w:t xml:space="preserve">1. Eliezer, S., et al. “Synthesis of the Proton-Boron-11 Fusion.” *Physics of Plasmas*, 2023.</w:t>
      </w:r>
    </w:p>
    <w:p w:rsidR="00000000" w:rsidDel="00000000" w:rsidP="00000000" w:rsidRDefault="00000000" w:rsidRPr="00000000" w14:paraId="00000078">
      <w:pPr>
        <w:rPr/>
      </w:pPr>
      <w:r w:rsidDel="00000000" w:rsidR="00000000" w:rsidRPr="00000000">
        <w:rPr>
          <w:rtl w:val="0"/>
        </w:rPr>
        <w:t xml:space="preserve">1. Rostoker, N., Binderbauer, M.W., and Monkhorst, H.J. “Colliding Beam Fusion Reactor.” *Science*, 1997.</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*Manuscript prepared for submission to arXiv and peer-reviewed journals. Comments and collaboration inquiries welcome.*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