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34FD8" w14:textId="77777777" w:rsidR="00736824" w:rsidRDefault="0026085B" w:rsidP="00DC4C03">
      <w:r w:rsidRPr="0026085B">
        <w:rPr>
          <w:b/>
          <w:bCs/>
        </w:rPr>
        <w:t>Mitigation</w:t>
      </w:r>
      <w:r>
        <w:t xml:space="preserve"> </w:t>
      </w:r>
      <w:r w:rsidR="00216793">
        <w:t>–</w:t>
      </w:r>
      <w:r>
        <w:t xml:space="preserve"> </w:t>
      </w:r>
    </w:p>
    <w:p w14:paraId="2A9F489C" w14:textId="40DEA630" w:rsidR="00736824" w:rsidRDefault="00736824" w:rsidP="00DC4C03">
      <w:r w:rsidRPr="00736824">
        <w:t>Definitions</w:t>
      </w:r>
      <w:r w:rsidRPr="00736824">
        <w:t xml:space="preserve"> - Mitigation</w:t>
      </w:r>
    </w:p>
    <w:p w14:paraId="75DF415E" w14:textId="14DAD80E" w:rsidR="00462914" w:rsidRDefault="00722E74" w:rsidP="00DC4C03">
      <w:r>
        <w:t>Simply put</w:t>
      </w:r>
      <w:r w:rsidR="00CE52A3">
        <w:t>,</w:t>
      </w:r>
      <w:r>
        <w:t xml:space="preserve"> mitigation is the </w:t>
      </w:r>
      <w:r w:rsidR="000E7769">
        <w:t xml:space="preserve">protection of material culture and other archaeological data that would otherwise be destroyed by </w:t>
      </w:r>
      <w:r w:rsidR="00AF66A0">
        <w:t xml:space="preserve">human or </w:t>
      </w:r>
      <w:r w:rsidR="008B03ED">
        <w:t>environmental</w:t>
      </w:r>
      <w:r w:rsidR="00AF66A0">
        <w:t xml:space="preserve"> </w:t>
      </w:r>
      <w:r w:rsidR="008B03ED">
        <w:t>impacts</w:t>
      </w:r>
      <w:r w:rsidR="00AF66A0">
        <w:t xml:space="preserve">. </w:t>
      </w:r>
      <w:r w:rsidR="00BA0340">
        <w:t xml:space="preserve">There are other techniques </w:t>
      </w:r>
      <w:r w:rsidR="00BE05CF">
        <w:t xml:space="preserve">that archaeologists use to investigate the archaeological potential of a site, not just digging! </w:t>
      </w:r>
      <w:r w:rsidR="00760A27">
        <w:t xml:space="preserve">Each stage of the process, from </w:t>
      </w:r>
      <w:r w:rsidR="003C25BE">
        <w:t>learning about a site</w:t>
      </w:r>
      <w:r w:rsidR="00676BC7">
        <w:t xml:space="preserve"> area</w:t>
      </w:r>
      <w:r w:rsidR="003C25BE">
        <w:t xml:space="preserve"> from historical</w:t>
      </w:r>
      <w:r w:rsidR="00676BC7">
        <w:t xml:space="preserve"> records</w:t>
      </w:r>
      <w:r w:rsidR="003C25BE">
        <w:t xml:space="preserve"> to</w:t>
      </w:r>
      <w:r w:rsidR="008B03ED">
        <w:t xml:space="preserve"> </w:t>
      </w:r>
      <w:r w:rsidR="00760A27">
        <w:t xml:space="preserve">survey, </w:t>
      </w:r>
      <w:r w:rsidR="00D44BA4">
        <w:t>monitoring</w:t>
      </w:r>
      <w:r w:rsidR="00760A27">
        <w:t xml:space="preserve">, and </w:t>
      </w:r>
      <w:r w:rsidR="00D44BA4">
        <w:t>excavation</w:t>
      </w:r>
      <w:r w:rsidR="008572F1">
        <w:t xml:space="preserve"> </w:t>
      </w:r>
      <w:r>
        <w:t xml:space="preserve">can all be regarded as mitigation because </w:t>
      </w:r>
      <w:r w:rsidR="00811AFE">
        <w:t xml:space="preserve">in each the archaeological potential is </w:t>
      </w:r>
      <w:r w:rsidR="00C53462">
        <w:t xml:space="preserve">identified and solutions to </w:t>
      </w:r>
      <w:r w:rsidR="00E85A9E">
        <w:t xml:space="preserve">avoid damage are sought. All archaeologists know that the best way to avoid damaging </w:t>
      </w:r>
      <w:r w:rsidR="001A53CE">
        <w:t xml:space="preserve">cultural remains </w:t>
      </w:r>
      <w:r w:rsidR="00952B20">
        <w:t xml:space="preserve">is to </w:t>
      </w:r>
      <w:r w:rsidR="007D45DA">
        <w:t>not impact them at all! G</w:t>
      </w:r>
      <w:r w:rsidR="00952B20">
        <w:t xml:space="preserve">ood background research </w:t>
      </w:r>
      <w:r w:rsidR="0013406B">
        <w:t>may</w:t>
      </w:r>
      <w:r w:rsidR="00952B20">
        <w:t xml:space="preserve"> help </w:t>
      </w:r>
      <w:r w:rsidR="0013406B">
        <w:t xml:space="preserve">alter a construction project </w:t>
      </w:r>
      <w:r w:rsidR="007D45DA">
        <w:t>so that the plan</w:t>
      </w:r>
      <w:r w:rsidR="00D918E8">
        <w:t xml:space="preserve"> avoids area with high archaeological potential, but it is not always possible. </w:t>
      </w:r>
    </w:p>
    <w:p w14:paraId="05B21969" w14:textId="7AFF77DA" w:rsidR="0003582F" w:rsidRDefault="0003582F" w:rsidP="00DC4C03">
      <w:r>
        <w:t xml:space="preserve">CAP works closely with Michigan State University Infrastructure Planning and Faculties </w:t>
      </w:r>
      <w:r w:rsidR="00954AD7">
        <w:t xml:space="preserve">(IPF) and Archives and historical Collections </w:t>
      </w:r>
      <w:r w:rsidR="002F7002">
        <w:t xml:space="preserve">to protect and mitigate </w:t>
      </w:r>
      <w:r w:rsidR="00B172A3">
        <w:t>archaeological resources on campus.</w:t>
      </w:r>
      <w:r w:rsidR="00EB21C9">
        <w:t xml:space="preserve"> MSU Archives helps</w:t>
      </w:r>
      <w:r w:rsidR="00991484">
        <w:t xml:space="preserve"> provide</w:t>
      </w:r>
      <w:r w:rsidR="00EB21C9">
        <w:t xml:space="preserve"> CAP </w:t>
      </w:r>
      <w:r w:rsidR="00991484">
        <w:t xml:space="preserve">with the resources to </w:t>
      </w:r>
      <w:r w:rsidR="00EB21C9">
        <w:t xml:space="preserve">understand the history of particular places on campus, including its past occupants, activities, or structures and what materials, if any, may be buried and mostly forgotten. </w:t>
      </w:r>
      <w:r w:rsidR="00B172A3">
        <w:t xml:space="preserve"> </w:t>
      </w:r>
      <w:r w:rsidR="00BF22C0">
        <w:t>Our goal</w:t>
      </w:r>
      <w:r w:rsidR="00BE4BBD">
        <w:t>s</w:t>
      </w:r>
      <w:r w:rsidR="00BF22C0">
        <w:t xml:space="preserve"> </w:t>
      </w:r>
      <w:r w:rsidR="00BE4BBD">
        <w:t>are</w:t>
      </w:r>
      <w:r w:rsidR="00BF22C0">
        <w:t xml:space="preserve"> to </w:t>
      </w:r>
      <w:r w:rsidR="009B0AE9">
        <w:t>be able to inform IPF and construction crews of the archaeological potential in the areas they are working</w:t>
      </w:r>
      <w:r w:rsidR="00E87539">
        <w:t xml:space="preserve">, to survey areas before construction begins, </w:t>
      </w:r>
      <w:r w:rsidR="009B0AE9">
        <w:t xml:space="preserve">and </w:t>
      </w:r>
      <w:r w:rsidR="006E3C44">
        <w:t xml:space="preserve">to be in a position to monitor and collect data if </w:t>
      </w:r>
      <w:r w:rsidR="00BE4BBD">
        <w:t xml:space="preserve">historic artifacts are discovered on campus. </w:t>
      </w:r>
    </w:p>
    <w:p w14:paraId="35F1C763" w14:textId="0A8197F3" w:rsidR="004D362B" w:rsidRDefault="00BF229E" w:rsidP="00DC4C03">
      <w:r>
        <w:t xml:space="preserve">This type of mitigation, or cultural resource management, </w:t>
      </w:r>
      <w:r w:rsidR="00462914">
        <w:t xml:space="preserve">began </w:t>
      </w:r>
      <w:r>
        <w:t xml:space="preserve">in American archaeology when </w:t>
      </w:r>
      <w:r w:rsidR="00E63467">
        <w:t>the National Historic Preservation Act of 1966.</w:t>
      </w:r>
      <w:r w:rsidR="00617BD8">
        <w:t xml:space="preserve"> Federal and </w:t>
      </w:r>
      <w:r w:rsidR="007E2BD5">
        <w:t xml:space="preserve">state laws were created to </w:t>
      </w:r>
      <w:r w:rsidR="004558B8">
        <w:t>implement</w:t>
      </w:r>
      <w:r w:rsidR="007E2BD5">
        <w:t xml:space="preserve"> </w:t>
      </w:r>
      <w:r w:rsidR="004558B8">
        <w:t>the Historic Preservation Act</w:t>
      </w:r>
      <w:r w:rsidR="00E63467">
        <w:t xml:space="preserve"> </w:t>
      </w:r>
      <w:r w:rsidR="006D04BD">
        <w:t>and these dictate when mitigation must be done.</w:t>
      </w:r>
      <w:r w:rsidR="00462914">
        <w:t xml:space="preserve"> </w:t>
      </w:r>
      <w:r w:rsidR="002E0597">
        <w:t xml:space="preserve">When </w:t>
      </w:r>
      <w:r w:rsidR="00765549">
        <w:t>a potential site cannot be avoided</w:t>
      </w:r>
      <w:r w:rsidR="004D4B57">
        <w:t xml:space="preserve"> archaeologists work with </w:t>
      </w:r>
      <w:r w:rsidR="00CF59EB">
        <w:t xml:space="preserve">agencies like the State Historic Preservation Officer (SHPO), who represent </w:t>
      </w:r>
      <w:r w:rsidR="000E4439">
        <w:t>s</w:t>
      </w:r>
      <w:r w:rsidR="001E1208">
        <w:t xml:space="preserve">tate government and </w:t>
      </w:r>
      <w:r w:rsidR="000E4439">
        <w:t>s</w:t>
      </w:r>
      <w:r w:rsidR="001E1208">
        <w:t xml:space="preserve">tate preservation </w:t>
      </w:r>
      <w:r w:rsidR="00203584">
        <w:t>interests</w:t>
      </w:r>
      <w:r w:rsidR="001E1208">
        <w:t>,</w:t>
      </w:r>
      <w:r w:rsidR="00CF59EB">
        <w:t xml:space="preserve"> and</w:t>
      </w:r>
      <w:r w:rsidR="001E1208">
        <w:t xml:space="preserve"> </w:t>
      </w:r>
      <w:r w:rsidR="00C34367">
        <w:t>Tribal Historic Preservation Officer(s)</w:t>
      </w:r>
      <w:r w:rsidR="003B2001">
        <w:t xml:space="preserve"> (THPO)</w:t>
      </w:r>
      <w:r w:rsidR="003D1500">
        <w:t xml:space="preserve">, who represent federally recognized </w:t>
      </w:r>
      <w:r w:rsidR="00927101">
        <w:t xml:space="preserve">American </w:t>
      </w:r>
      <w:r w:rsidR="00EF7331">
        <w:t xml:space="preserve">Indian </w:t>
      </w:r>
      <w:r w:rsidR="008742BB">
        <w:t>tribes</w:t>
      </w:r>
      <w:r w:rsidR="001E1208">
        <w:t xml:space="preserve"> </w:t>
      </w:r>
      <w:r w:rsidR="00203584">
        <w:t xml:space="preserve">and </w:t>
      </w:r>
      <w:r w:rsidR="000E4439">
        <w:t>t</w:t>
      </w:r>
      <w:r w:rsidR="00203584">
        <w:t xml:space="preserve">ribal </w:t>
      </w:r>
      <w:r w:rsidR="00765549">
        <w:t>preservation interests.</w:t>
      </w:r>
      <w:r w:rsidR="007250B6">
        <w:t xml:space="preserve"> The mitigation organization </w:t>
      </w:r>
      <w:r w:rsidR="009B097A">
        <w:t>provides</w:t>
      </w:r>
      <w:r w:rsidR="007250B6">
        <w:t xml:space="preserve"> information on the site and project and </w:t>
      </w:r>
      <w:r w:rsidR="00735EBA">
        <w:t>recommend</w:t>
      </w:r>
      <w:r w:rsidR="009B097A">
        <w:t>s</w:t>
      </w:r>
      <w:r w:rsidR="00735EBA">
        <w:t xml:space="preserve"> a course of action</w:t>
      </w:r>
      <w:r w:rsidR="00592930">
        <w:t xml:space="preserve"> and the </w:t>
      </w:r>
      <w:r w:rsidR="003B2001">
        <w:t>SHPO and THPO</w:t>
      </w:r>
      <w:r w:rsidR="00C872EA">
        <w:t xml:space="preserve"> comment on those recommendations, but the final decision with the </w:t>
      </w:r>
      <w:r w:rsidR="0077363C">
        <w:t xml:space="preserve">state or federal agency </w:t>
      </w:r>
      <w:r w:rsidR="008B2D70">
        <w:t>in charge of the project</w:t>
      </w:r>
      <w:r w:rsidR="00CE52A3">
        <w:t xml:space="preserve"> (</w:t>
      </w:r>
      <w:proofErr w:type="spellStart"/>
      <w:r w:rsidR="000851DC">
        <w:t>Orser</w:t>
      </w:r>
      <w:proofErr w:type="spellEnd"/>
      <w:r w:rsidR="000851DC">
        <w:t xml:space="preserve"> 2002:</w:t>
      </w:r>
      <w:r w:rsidR="00055178">
        <w:t>157-158)</w:t>
      </w:r>
      <w:r w:rsidR="008B2D70">
        <w:t xml:space="preserve">. </w:t>
      </w:r>
    </w:p>
    <w:p w14:paraId="6ECE6852" w14:textId="7ED6046E" w:rsidR="00ED16AA" w:rsidRDefault="00662BE0" w:rsidP="00DC4C03">
      <w:r>
        <w:t xml:space="preserve">While mitigation work at MSU is seldom federally mandated, CAP </w:t>
      </w:r>
      <w:r w:rsidR="00470B49">
        <w:t xml:space="preserve">has developed a strong working relationship with IPF </w:t>
      </w:r>
      <w:r w:rsidR="00F87EDD">
        <w:t>to our mutual benefit and to the benefit of MSU and</w:t>
      </w:r>
      <w:r w:rsidR="00ED16AA">
        <w:t xml:space="preserve"> those interested in the history of the University and the surrounding area.</w:t>
      </w:r>
    </w:p>
    <w:p w14:paraId="7374ED03" w14:textId="62F99BCC" w:rsidR="006014DC" w:rsidRDefault="006014DC" w:rsidP="006014DC"/>
    <w:p w14:paraId="4E9EF48B" w14:textId="129D4364" w:rsidR="00E61B36" w:rsidRDefault="002F460D" w:rsidP="00DC4C03">
      <w:r>
        <w:rPr>
          <w:b/>
          <w:bCs/>
        </w:rPr>
        <w:t xml:space="preserve">Whiteware Ceramics </w:t>
      </w:r>
      <w:r w:rsidR="00AA4C43">
        <w:rPr>
          <w:b/>
          <w:bCs/>
        </w:rPr>
        <w:softHyphen/>
      </w:r>
      <w:r w:rsidR="00AA4C43">
        <w:softHyphen/>
      </w:r>
      <w:r w:rsidR="007E13F8">
        <w:t>–</w:t>
      </w:r>
      <w:r w:rsidR="004F3F55">
        <w:t xml:space="preserve"> Refined white</w:t>
      </w:r>
      <w:r w:rsidR="007E13F8">
        <w:t xml:space="preserve"> earthenware</w:t>
      </w:r>
      <w:r w:rsidR="002425FC">
        <w:t xml:space="preserve"> refers to</w:t>
      </w:r>
      <w:r w:rsidR="00072AD6">
        <w:t xml:space="preserve"> factory produced</w:t>
      </w:r>
      <w:r w:rsidR="002A32A2">
        <w:t xml:space="preserve"> pottery with a white colored paste</w:t>
      </w:r>
      <w:r w:rsidR="00555711">
        <w:t xml:space="preserve"> and</w:t>
      </w:r>
      <w:r w:rsidR="0092101C">
        <w:t xml:space="preserve"> are </w:t>
      </w:r>
      <w:r w:rsidR="002A32A2">
        <w:t>some</w:t>
      </w:r>
      <w:r w:rsidR="0092101C">
        <w:t xml:space="preserve"> of the most common artifacts found on </w:t>
      </w:r>
      <w:r w:rsidR="008442DB">
        <w:t>late 18</w:t>
      </w:r>
      <w:r w:rsidR="008442DB" w:rsidRPr="008442DB">
        <w:rPr>
          <w:vertAlign w:val="superscript"/>
        </w:rPr>
        <w:t>th</w:t>
      </w:r>
      <w:r w:rsidR="008442DB">
        <w:t xml:space="preserve"> and </w:t>
      </w:r>
      <w:r w:rsidR="00015AB0">
        <w:t>19</w:t>
      </w:r>
      <w:r w:rsidR="00015AB0" w:rsidRPr="00015AB0">
        <w:rPr>
          <w:vertAlign w:val="superscript"/>
        </w:rPr>
        <w:t>th</w:t>
      </w:r>
      <w:r w:rsidR="00015AB0">
        <w:t xml:space="preserve"> </w:t>
      </w:r>
      <w:r w:rsidR="00891CA0">
        <w:t>century</w:t>
      </w:r>
      <w:r w:rsidR="002A32A2">
        <w:t xml:space="preserve"> </w:t>
      </w:r>
      <w:r w:rsidR="0092101C">
        <w:t>sites</w:t>
      </w:r>
      <w:r w:rsidR="00996B49">
        <w:t xml:space="preserve"> as it was</w:t>
      </w:r>
      <w:r w:rsidR="00397C6A">
        <w:t xml:space="preserve"> </w:t>
      </w:r>
      <w:r w:rsidR="00235129">
        <w:t>produced</w:t>
      </w:r>
      <w:r w:rsidR="00996B49">
        <w:t xml:space="preserve"> in a verity of forms, including: </w:t>
      </w:r>
      <w:r w:rsidR="00D630FD">
        <w:t xml:space="preserve">dinner plates, bowls, tea cups and saucers, as well as mixing bowls, washbasins, and </w:t>
      </w:r>
      <w:r w:rsidR="00C32165">
        <w:t>chamber pots. Refined white earthenware</w:t>
      </w:r>
      <w:r w:rsidR="00555711">
        <w:t xml:space="preserve"> produced in </w:t>
      </w:r>
      <w:r w:rsidR="001F2BFE">
        <w:t>Britain</w:t>
      </w:r>
      <w:r w:rsidR="00C32165">
        <w:t xml:space="preserve"> </w:t>
      </w:r>
      <w:r w:rsidR="00D52AA8">
        <w:t>during the 19</w:t>
      </w:r>
      <w:r w:rsidR="00D52AA8" w:rsidRPr="00D52AA8">
        <w:rPr>
          <w:vertAlign w:val="superscript"/>
        </w:rPr>
        <w:t>th</w:t>
      </w:r>
      <w:r w:rsidR="00D52AA8">
        <w:t xml:space="preserve"> century </w:t>
      </w:r>
      <w:r w:rsidR="00C32165">
        <w:t>is also one of the most useful</w:t>
      </w:r>
      <w:r w:rsidR="00227FA3">
        <w:t xml:space="preserve"> </w:t>
      </w:r>
      <w:r w:rsidR="003C7A35">
        <w:t xml:space="preserve">ceramics for dating purposes as it has a well understood chronology </w:t>
      </w:r>
      <w:r w:rsidR="001C0477">
        <w:t xml:space="preserve">based on changes in decoration styles and techniques </w:t>
      </w:r>
      <w:r w:rsidR="003C7A35">
        <w:t>(Majewski and O’Brien 198</w:t>
      </w:r>
      <w:r w:rsidR="005A763E">
        <w:t>7</w:t>
      </w:r>
      <w:r w:rsidR="005E39F6">
        <w:t>)</w:t>
      </w:r>
      <w:r w:rsidR="009248E1">
        <w:t xml:space="preserve">. </w:t>
      </w:r>
      <w:r w:rsidR="00B06D30">
        <w:t xml:space="preserve">CAP archaeologists </w:t>
      </w:r>
      <w:r w:rsidR="002835EA">
        <w:t xml:space="preserve">have found </w:t>
      </w:r>
      <w:r w:rsidR="00511226">
        <w:t xml:space="preserve">many white earthenware ceramics </w:t>
      </w:r>
      <w:r w:rsidR="00B44D94">
        <w:t>on campus, including transfer printed</w:t>
      </w:r>
      <w:r w:rsidR="005829DB">
        <w:t xml:space="preserve"> and</w:t>
      </w:r>
      <w:r w:rsidR="00B44D94">
        <w:t xml:space="preserve"> </w:t>
      </w:r>
      <w:r w:rsidR="00953864">
        <w:t>hand painted</w:t>
      </w:r>
      <w:r w:rsidR="005829DB">
        <w:t xml:space="preserve"> </w:t>
      </w:r>
      <w:r w:rsidR="00DA5FC5">
        <w:t xml:space="preserve">vessels. </w:t>
      </w:r>
    </w:p>
    <w:p w14:paraId="20B27EBE" w14:textId="07C36850" w:rsidR="005D3E65" w:rsidRDefault="00296C39" w:rsidP="00DC4C03">
      <w:r>
        <w:rPr>
          <w:b/>
          <w:bCs/>
        </w:rPr>
        <w:t>White Granit</w:t>
      </w:r>
      <w:r w:rsidR="0058140F">
        <w:rPr>
          <w:b/>
          <w:bCs/>
        </w:rPr>
        <w:t>e</w:t>
      </w:r>
      <w:r>
        <w:rPr>
          <w:b/>
          <w:bCs/>
        </w:rPr>
        <w:t xml:space="preserve"> </w:t>
      </w:r>
      <w:r w:rsidR="002B7522">
        <w:rPr>
          <w:b/>
          <w:bCs/>
        </w:rPr>
        <w:t>–</w:t>
      </w:r>
      <w:r w:rsidR="0054259B">
        <w:rPr>
          <w:b/>
          <w:bCs/>
        </w:rPr>
        <w:t xml:space="preserve"> </w:t>
      </w:r>
      <w:r w:rsidR="002B7522">
        <w:t>White Granit</w:t>
      </w:r>
      <w:r w:rsidR="0058140F">
        <w:t>e</w:t>
      </w:r>
      <w:r w:rsidR="002B7522">
        <w:t xml:space="preserve"> </w:t>
      </w:r>
      <w:r w:rsidR="002B7522" w:rsidRPr="002B7522">
        <w:t xml:space="preserve">or </w:t>
      </w:r>
      <w:r w:rsidR="003F22B1">
        <w:t xml:space="preserve">White </w:t>
      </w:r>
      <w:r w:rsidR="002B7522" w:rsidRPr="002B7522">
        <w:t>Ironstone</w:t>
      </w:r>
      <w:r w:rsidR="002B7522">
        <w:t xml:space="preserve"> </w:t>
      </w:r>
      <w:r w:rsidR="001146EE">
        <w:t>is</w:t>
      </w:r>
      <w:r w:rsidR="008645A6">
        <w:t xml:space="preserve"> a</w:t>
      </w:r>
      <w:r w:rsidR="005C1ECF">
        <w:t>n</w:t>
      </w:r>
      <w:r w:rsidR="008645A6">
        <w:t xml:space="preserve"> </w:t>
      </w:r>
      <w:r w:rsidR="005C1ECF">
        <w:t>extremally</w:t>
      </w:r>
      <w:r w:rsidR="008645A6">
        <w:t xml:space="preserve"> durable </w:t>
      </w:r>
      <w:r w:rsidR="00955550">
        <w:t>ceramic made to look like European porcelain</w:t>
      </w:r>
      <w:r w:rsidR="001B4E6B">
        <w:t xml:space="preserve">, but at a fraction of the cost. </w:t>
      </w:r>
      <w:r w:rsidR="007318CF">
        <w:t xml:space="preserve">It is possible to distinguish white granite from </w:t>
      </w:r>
      <w:r w:rsidR="00EA555E">
        <w:t xml:space="preserve">refined white earthenware because </w:t>
      </w:r>
      <w:r w:rsidR="00922B7C">
        <w:t>the paste</w:t>
      </w:r>
      <w:r w:rsidR="002F3B74">
        <w:t xml:space="preserve">, the part of the vessel you see when looking at a </w:t>
      </w:r>
      <w:r w:rsidR="00A112E6">
        <w:t>broken piece of pottery,</w:t>
      </w:r>
      <w:r w:rsidR="00922B7C">
        <w:t xml:space="preserve"> is much harder</w:t>
      </w:r>
      <w:r w:rsidR="00A112E6">
        <w:t xml:space="preserve"> for white granite</w:t>
      </w:r>
      <w:r w:rsidR="00930A42">
        <w:t xml:space="preserve">. </w:t>
      </w:r>
      <w:r w:rsidR="00827BFB">
        <w:t xml:space="preserve">Another distinction is that, unlike white earthenware, which </w:t>
      </w:r>
      <w:r w:rsidR="002F3B74">
        <w:t>has</w:t>
      </w:r>
      <w:r w:rsidR="002B3A90">
        <w:t xml:space="preserve"> quite porous or absorbent</w:t>
      </w:r>
      <w:r w:rsidR="002F3B74">
        <w:t xml:space="preserve"> paste</w:t>
      </w:r>
      <w:r w:rsidR="002B3A90">
        <w:t>, w</w:t>
      </w:r>
      <w:r w:rsidR="00930A42">
        <w:t xml:space="preserve">hite granite </w:t>
      </w:r>
      <w:r w:rsidR="002B3A90">
        <w:t>is</w:t>
      </w:r>
      <w:r w:rsidR="007A783B">
        <w:t xml:space="preserve"> often semi-vitreous or</w:t>
      </w:r>
      <w:r w:rsidR="002B3A90">
        <w:t xml:space="preserve"> vitrified, meaning that </w:t>
      </w:r>
      <w:r w:rsidR="00922B7C">
        <w:t xml:space="preserve">the </w:t>
      </w:r>
      <w:r w:rsidR="00A112E6">
        <w:lastRenderedPageBreak/>
        <w:t xml:space="preserve">paste </w:t>
      </w:r>
      <w:r w:rsidR="00B15323">
        <w:t>is glass like and will not absorb water</w:t>
      </w:r>
      <w:r w:rsidR="002C2A03">
        <w:t xml:space="preserve"> (Majewski and O’Brien 1987)</w:t>
      </w:r>
      <w:r w:rsidR="00B15323">
        <w:t xml:space="preserve">. Archaeologists can test this by sticking </w:t>
      </w:r>
      <w:r w:rsidR="005D3E65">
        <w:t>ceramics to their tongue! The more porous the paste, the better it will stick.</w:t>
      </w:r>
    </w:p>
    <w:p w14:paraId="1035C286" w14:textId="5BCACCE3" w:rsidR="008D74E0" w:rsidRPr="0054259B" w:rsidRDefault="005D3E65" w:rsidP="00DC4C03">
      <w:r>
        <w:t>White</w:t>
      </w:r>
      <w:r w:rsidR="001B4E6B">
        <w:t xml:space="preserve"> </w:t>
      </w:r>
      <w:r w:rsidR="002C2A03">
        <w:t xml:space="preserve">Granite </w:t>
      </w:r>
      <w:r w:rsidR="001B4E6B">
        <w:t>was popular in the mid</w:t>
      </w:r>
      <w:r w:rsidR="003F22B1">
        <w:t>-19</w:t>
      </w:r>
      <w:r w:rsidR="003F22B1" w:rsidRPr="003F22B1">
        <w:rPr>
          <w:vertAlign w:val="superscript"/>
        </w:rPr>
        <w:t>th</w:t>
      </w:r>
      <w:r w:rsidR="003F22B1">
        <w:t xml:space="preserve"> century and was </w:t>
      </w:r>
      <w:r w:rsidR="00635717">
        <w:t>unpainted</w:t>
      </w:r>
      <w:r w:rsidR="0039333A">
        <w:t xml:space="preserve">, but </w:t>
      </w:r>
      <w:r w:rsidR="005D6E4A">
        <w:t>often had molded decoration, like the thistle motif on the chamber pot</w:t>
      </w:r>
      <w:r w:rsidR="007109E1">
        <w:t xml:space="preserve">. </w:t>
      </w:r>
      <w:r w:rsidR="006E2C6E">
        <w:t xml:space="preserve">Another similar ceramic </w:t>
      </w:r>
      <w:r w:rsidR="001146EE">
        <w:t>is</w:t>
      </w:r>
      <w:r w:rsidR="006E2C6E">
        <w:t xml:space="preserve"> Ironstone</w:t>
      </w:r>
      <w:r w:rsidR="00A3351C">
        <w:t xml:space="preserve">, </w:t>
      </w:r>
      <w:r w:rsidR="00F17FD9">
        <w:t xml:space="preserve">which </w:t>
      </w:r>
      <w:r w:rsidR="006E2C6E">
        <w:t xml:space="preserve">was </w:t>
      </w:r>
      <w:r w:rsidR="00882677">
        <w:t>made popular by</w:t>
      </w:r>
      <w:r w:rsidR="006E2C6E">
        <w:t xml:space="preserve"> </w:t>
      </w:r>
      <w:r w:rsidR="001E2A5B">
        <w:t>in</w:t>
      </w:r>
      <w:r w:rsidR="002D5316">
        <w:t xml:space="preserve"> the early 19</w:t>
      </w:r>
      <w:r w:rsidR="002D5316" w:rsidRPr="002D5316">
        <w:rPr>
          <w:vertAlign w:val="superscript"/>
        </w:rPr>
        <w:t>th</w:t>
      </w:r>
      <w:r w:rsidR="002D5316">
        <w:t xml:space="preserve"> century</w:t>
      </w:r>
      <w:r w:rsidR="005829DB">
        <w:t xml:space="preserve">. Unlike </w:t>
      </w:r>
      <w:r w:rsidR="001146EE">
        <w:t xml:space="preserve">later white granite </w:t>
      </w:r>
      <w:r w:rsidR="00F17FD9">
        <w:t xml:space="preserve">this vitrified ceramic was often decorated with </w:t>
      </w:r>
      <w:r w:rsidR="00D7219B">
        <w:t xml:space="preserve">transfer print designs (Majewski and O’Brien 1987). </w:t>
      </w:r>
    </w:p>
    <w:p w14:paraId="140E454F" w14:textId="77777777" w:rsidR="00F967CA" w:rsidRDefault="002A48D8" w:rsidP="00F967CA">
      <w:r w:rsidRPr="00DC4C03">
        <w:rPr>
          <w:b/>
          <w:bCs/>
        </w:rPr>
        <w:t>Porcelain</w:t>
      </w:r>
      <w:r>
        <w:t xml:space="preserve"> - </w:t>
      </w:r>
      <w:r w:rsidR="00F967CA" w:rsidRPr="00DC4C03">
        <w:rPr>
          <w:b/>
          <w:bCs/>
        </w:rPr>
        <w:t xml:space="preserve">Porcelain </w:t>
      </w:r>
      <w:r w:rsidR="00F967CA">
        <w:t xml:space="preserve">- Porcelain refers a variety of dense, highly vitreous and translucent white-bodied wares. There are a wider variety of porcelain, typically divided into categories of //soft paste//, //bone china// and //hard paste// (Majewski and O’Brien 1987; Samford 2019). Hard paste porcelain includes Chinese, Japanese, and most continental European produced porcelains and was made in China as early as the Tang Dynasty (AD 618-907) and exported to Europe in larger amount by the 17th century. Hard paste porcelain was reproduced in France in 1710 and England in 1782. Soft paste porcelain and bone china were produced in the 18th century as English potters experimented with porcelain formulas. Both are more porous than hard paste varieties Bone china became the standard English porcelain early in the 19th century. (Majewski and O’Brien 1987).   </w:t>
      </w:r>
    </w:p>
    <w:p w14:paraId="0285AB10" w14:textId="77777777" w:rsidR="00F967CA" w:rsidRDefault="00F967CA" w:rsidP="00F967CA">
      <w:r>
        <w:t xml:space="preserve">Most porcelain vessels imported into the United States in the 18th and 19th centuries were decorated (Majewski and O’Brien 1987). Imported Chinese produced porcelain </w:t>
      </w:r>
      <w:proofErr w:type="spellStart"/>
      <w:r>
        <w:t>teaware</w:t>
      </w:r>
      <w:proofErr w:type="spellEnd"/>
      <w:r>
        <w:t xml:space="preserve">, often decorated with cobalt blue designs, had a strong and lasting impact on the British and continental European ceramic industry and the expensive vessels were transported throughout their colonies (Barker and Majewski 2006). As such, cobalt blue decoration was most common method on European produced porcelain up until 1880. </w:t>
      </w:r>
    </w:p>
    <w:p w14:paraId="5D00439A" w14:textId="77777777" w:rsidR="00F967CA" w:rsidRDefault="00F967CA" w:rsidP="00F967CA">
      <w:r>
        <w:t xml:space="preserve">During the last decades of the 19th century, the porcelain market was more diversified than in previous times. Vessels produced in China, Japan, England, Germany, France, and from other European producers were all competing for a share of the American market (Majewski and O’Brien 1986). Decoration changed as well, after 1880 decal decoration, often pair with gilded or embossed designs, became more common. </w:t>
      </w:r>
    </w:p>
    <w:p w14:paraId="6E2E4D07" w14:textId="7B940282" w:rsidR="00F967CA" w:rsidRDefault="00F967CA" w:rsidP="00F967CA">
      <w:r>
        <w:t xml:space="preserve">The porcelain vessels found at Michigan State University typically date to this more diversified period and include a Bavarian sugar bowl and Japanese export “Geisha Girl” ceramic. </w:t>
      </w:r>
    </w:p>
    <w:p w14:paraId="78313E58" w14:textId="77777777" w:rsidR="00105815" w:rsidRDefault="00105815" w:rsidP="00F967CA"/>
    <w:p w14:paraId="21833F42" w14:textId="77777777" w:rsidR="00CE52A3" w:rsidRPr="00A3602B" w:rsidRDefault="00CE52A3" w:rsidP="00CE52A3">
      <w:r>
        <w:rPr>
          <w:b/>
          <w:bCs/>
        </w:rPr>
        <w:t xml:space="preserve">Archaeological Periods of the Eastern Woodlands: </w:t>
      </w:r>
      <w:r>
        <w:t xml:space="preserve">Eastern Woodlands refers to the part of what is now North America that ranges from the Gulf of Mexico to what is now Canada and east of the Mississippi River to the Atlantic Coast. </w:t>
      </w:r>
    </w:p>
    <w:p w14:paraId="431E7AE7" w14:textId="77777777" w:rsidR="00CE52A3" w:rsidRDefault="00CE52A3" w:rsidP="00CE52A3">
      <w:r>
        <w:rPr>
          <w:b/>
          <w:bCs/>
        </w:rPr>
        <w:tab/>
      </w:r>
      <w:r w:rsidRPr="00A343D2">
        <w:rPr>
          <w:b/>
          <w:bCs/>
        </w:rPr>
        <w:t>Paleoindian</w:t>
      </w:r>
      <w:r>
        <w:t xml:space="preserve"> – The first phase of human occupation in what is now North America, beginning around 15,000 years ago. This was a time of glacial retreat along the Pacific Coast (16,000 – 15,000 years ago) and in the interior of what is now Canada (14,000 – 13,500 years ago) (</w:t>
      </w:r>
      <w:r w:rsidRPr="00A343D2">
        <w:t>Pitblado 2011)</w:t>
      </w:r>
      <w:r>
        <w:t xml:space="preserve">. </w:t>
      </w:r>
    </w:p>
    <w:p w14:paraId="035DC50A" w14:textId="77777777" w:rsidR="00CE52A3" w:rsidRDefault="00CE52A3" w:rsidP="00CE52A3">
      <w:r>
        <w:tab/>
      </w:r>
      <w:r>
        <w:rPr>
          <w:b/>
          <w:bCs/>
        </w:rPr>
        <w:t>Archaic</w:t>
      </w:r>
      <w:r>
        <w:t xml:space="preserve"> – For the societies living in the Eastern Woodlands this was a period of vast cultural and environmental change between 12,500 and 1000 years ago. This period is split by archaeologists into three sub-periods: Early (12,500 – 9,000 years ago); Middle (9,000 – 5,400 years ago); and Late Archaic (5,400 – 1000 years ago) (</w:t>
      </w:r>
      <w:r w:rsidRPr="00E27361">
        <w:t>Styles and McMillan 2009</w:t>
      </w:r>
      <w:r>
        <w:t xml:space="preserve">). </w:t>
      </w:r>
    </w:p>
    <w:p w14:paraId="3F5CD14C" w14:textId="77777777" w:rsidR="00CE52A3" w:rsidRDefault="00CE52A3" w:rsidP="00CE52A3">
      <w:r>
        <w:tab/>
      </w:r>
      <w:r>
        <w:rPr>
          <w:b/>
          <w:bCs/>
        </w:rPr>
        <w:t>Woodland period</w:t>
      </w:r>
      <w:r>
        <w:t xml:space="preserve"> – This period is seen by archaeologists as marking a change from the lifeways societies and individuals practiced during the Archaic period. At the transition between the two archaeological periods climate change, particularly in the resource rich flood plains, disrupted some of </w:t>
      </w:r>
      <w:r>
        <w:lastRenderedPageBreak/>
        <w:t>the ways in which societies lived, traded, and interacted with others and the environment (Kidder 2006). After these changes continuity …</w:t>
      </w:r>
    </w:p>
    <w:p w14:paraId="3DC38FBE" w14:textId="0D694410" w:rsidR="00A55E36" w:rsidRDefault="007E5DCE" w:rsidP="00DC4C03">
      <w:r>
        <w:rPr>
          <w:b/>
          <w:bCs/>
        </w:rPr>
        <w:t xml:space="preserve">Secondary </w:t>
      </w:r>
      <w:r w:rsidR="00A55E36">
        <w:rPr>
          <w:b/>
          <w:bCs/>
        </w:rPr>
        <w:t>refuse</w:t>
      </w:r>
      <w:r w:rsidR="00A55E36">
        <w:t xml:space="preserve"> - </w:t>
      </w:r>
      <w:r w:rsidR="00514ABB" w:rsidRPr="00514ABB">
        <w:t>Artifacts or other cultural materials discarded anywhere other than their location(s) of use.</w:t>
      </w:r>
    </w:p>
    <w:p w14:paraId="1A64D4A2" w14:textId="2B729433" w:rsidR="00522C45" w:rsidRDefault="00522C45" w:rsidP="001B268A">
      <w:pPr>
        <w:pStyle w:val="ListParagraph"/>
        <w:numPr>
          <w:ilvl w:val="0"/>
          <w:numId w:val="2"/>
        </w:numPr>
        <w:rPr>
          <w:rFonts w:ascii="Verdana" w:hAnsi="Verdana"/>
          <w:color w:val="000000"/>
          <w:sz w:val="20"/>
          <w:szCs w:val="20"/>
          <w:shd w:val="clear" w:color="auto" w:fill="FFFFFF"/>
        </w:rPr>
      </w:pPr>
      <w:r w:rsidRPr="000A2FE3">
        <w:rPr>
          <w:rFonts w:ascii="Verdana" w:hAnsi="Verdana"/>
          <w:color w:val="000000"/>
          <w:sz w:val="20"/>
          <w:szCs w:val="20"/>
          <w:shd w:val="clear" w:color="auto" w:fill="FFFFFF"/>
        </w:rPr>
        <w:t>artifacts recovered from the site resulted from secondary deposition in one of three major middens associated with each of the structures (Tables 1 and 2). As such, they reflect residents' attitudes towards the appropriate disposal of trash rather than the location of individual activities such as dining, sewing, or socializing.</w:t>
      </w:r>
      <w:r w:rsidR="00943E7D" w:rsidRPr="00943E7D">
        <w:t xml:space="preserve"> </w:t>
      </w:r>
      <w:r w:rsidR="00943E7D" w:rsidRPr="000A2FE3">
        <w:rPr>
          <w:rFonts w:ascii="Verdana" w:hAnsi="Verdana"/>
          <w:color w:val="000000"/>
          <w:sz w:val="20"/>
          <w:szCs w:val="20"/>
          <w:shd w:val="clear" w:color="auto" w:fill="FFFFFF"/>
        </w:rPr>
        <w:t xml:space="preserve">An analysis, however, of the distribution patterns of specific artifact types within these middens and of the location of individual artifacts recovered from contexts other than the middens has offered some suggestions for yard use and raised some questions. </w:t>
      </w:r>
      <w:r w:rsidRPr="000A2FE3">
        <w:rPr>
          <w:rFonts w:ascii="Verdana" w:hAnsi="Verdana"/>
          <w:color w:val="000000"/>
          <w:sz w:val="20"/>
          <w:szCs w:val="20"/>
          <w:shd w:val="clear" w:color="auto" w:fill="FFFFFF"/>
        </w:rPr>
        <w:t xml:space="preserve"> (</w:t>
      </w:r>
      <w:r w:rsidR="001B268A" w:rsidRPr="000A2FE3">
        <w:rPr>
          <w:rFonts w:ascii="Verdana" w:hAnsi="Verdana"/>
          <w:color w:val="000000"/>
          <w:sz w:val="20"/>
          <w:szCs w:val="20"/>
          <w:shd w:val="clear" w:color="auto" w:fill="FFFFFF"/>
        </w:rPr>
        <w:t>Barbara J. Heath and Amber Bennett</w:t>
      </w:r>
      <w:r w:rsidR="000A2FE3" w:rsidRPr="000A2FE3">
        <w:rPr>
          <w:rFonts w:ascii="Verdana" w:hAnsi="Verdana"/>
          <w:color w:val="000000"/>
          <w:sz w:val="20"/>
          <w:szCs w:val="20"/>
          <w:shd w:val="clear" w:color="auto" w:fill="FFFFFF"/>
        </w:rPr>
        <w:t xml:space="preserve"> - </w:t>
      </w:r>
      <w:r w:rsidR="001B268A" w:rsidRPr="000A2FE3">
        <w:rPr>
          <w:rFonts w:ascii="Verdana" w:hAnsi="Verdana"/>
          <w:color w:val="000000"/>
          <w:sz w:val="20"/>
          <w:szCs w:val="20"/>
          <w:shd w:val="clear" w:color="auto" w:fill="FFFFFF"/>
        </w:rPr>
        <w:t xml:space="preserve">“The little Spots </w:t>
      </w:r>
      <w:proofErr w:type="spellStart"/>
      <w:r w:rsidR="001B268A" w:rsidRPr="000A2FE3">
        <w:rPr>
          <w:rFonts w:ascii="Verdana" w:hAnsi="Verdana"/>
          <w:color w:val="000000"/>
          <w:sz w:val="20"/>
          <w:szCs w:val="20"/>
          <w:shd w:val="clear" w:color="auto" w:fill="FFFFFF"/>
        </w:rPr>
        <w:t>allow’d</w:t>
      </w:r>
      <w:proofErr w:type="spellEnd"/>
      <w:r w:rsidR="001B268A" w:rsidRPr="000A2FE3">
        <w:rPr>
          <w:rFonts w:ascii="Verdana" w:hAnsi="Verdana"/>
          <w:color w:val="000000"/>
          <w:sz w:val="20"/>
          <w:szCs w:val="20"/>
          <w:shd w:val="clear" w:color="auto" w:fill="FFFFFF"/>
        </w:rPr>
        <w:t xml:space="preserve"> </w:t>
      </w:r>
      <w:proofErr w:type="spellStart"/>
      <w:r w:rsidR="001B268A" w:rsidRPr="000A2FE3">
        <w:rPr>
          <w:rFonts w:ascii="Verdana" w:hAnsi="Verdana"/>
          <w:color w:val="000000"/>
          <w:sz w:val="20"/>
          <w:szCs w:val="20"/>
          <w:shd w:val="clear" w:color="auto" w:fill="FFFFFF"/>
        </w:rPr>
        <w:t>them”:The</w:t>
      </w:r>
      <w:proofErr w:type="spellEnd"/>
      <w:r w:rsidR="001B268A" w:rsidRPr="000A2FE3">
        <w:rPr>
          <w:rFonts w:ascii="Verdana" w:hAnsi="Verdana"/>
          <w:color w:val="000000"/>
          <w:sz w:val="20"/>
          <w:szCs w:val="20"/>
          <w:shd w:val="clear" w:color="auto" w:fill="FFFFFF"/>
        </w:rPr>
        <w:t xml:space="preserve"> </w:t>
      </w:r>
      <w:r w:rsidR="000A2FE3" w:rsidRPr="000A2FE3">
        <w:rPr>
          <w:rFonts w:ascii="Verdana" w:hAnsi="Verdana"/>
          <w:color w:val="000000"/>
          <w:sz w:val="20"/>
          <w:szCs w:val="20"/>
          <w:shd w:val="clear" w:color="auto" w:fill="FFFFFF"/>
        </w:rPr>
        <w:t>A</w:t>
      </w:r>
      <w:r w:rsidR="001B268A" w:rsidRPr="000A2FE3">
        <w:rPr>
          <w:rFonts w:ascii="Verdana" w:hAnsi="Verdana"/>
          <w:color w:val="000000"/>
          <w:sz w:val="20"/>
          <w:szCs w:val="20"/>
          <w:shd w:val="clear" w:color="auto" w:fill="FFFFFF"/>
        </w:rPr>
        <w:t>rchaeological Study of</w:t>
      </w:r>
      <w:r w:rsidR="000A2FE3" w:rsidRPr="000A2FE3">
        <w:rPr>
          <w:rFonts w:ascii="Verdana" w:hAnsi="Verdana"/>
          <w:color w:val="000000"/>
          <w:sz w:val="20"/>
          <w:szCs w:val="20"/>
          <w:shd w:val="clear" w:color="auto" w:fill="FFFFFF"/>
        </w:rPr>
        <w:t xml:space="preserve"> </w:t>
      </w:r>
      <w:r w:rsidR="001B268A" w:rsidRPr="000A2FE3">
        <w:rPr>
          <w:rFonts w:ascii="Verdana" w:hAnsi="Verdana"/>
          <w:color w:val="000000"/>
          <w:sz w:val="20"/>
          <w:szCs w:val="20"/>
          <w:shd w:val="clear" w:color="auto" w:fill="FFFFFF"/>
        </w:rPr>
        <w:t>African-American Yards</w:t>
      </w:r>
      <w:r w:rsidR="000A2FE3">
        <w:rPr>
          <w:rFonts w:ascii="Verdana" w:hAnsi="Verdana"/>
          <w:color w:val="000000"/>
          <w:sz w:val="20"/>
          <w:szCs w:val="20"/>
          <w:shd w:val="clear" w:color="auto" w:fill="FFFFFF"/>
        </w:rPr>
        <w:t xml:space="preserve">” </w:t>
      </w:r>
      <w:r w:rsidR="000A2FE3" w:rsidRPr="000A2FE3">
        <w:rPr>
          <w:rFonts w:ascii="Verdana" w:hAnsi="Verdana"/>
          <w:color w:val="000000"/>
          <w:sz w:val="20"/>
          <w:szCs w:val="20"/>
          <w:shd w:val="clear" w:color="auto" w:fill="FFFFFF"/>
        </w:rPr>
        <w:t>Historical Archaeology, 2000, 34(2):38-55.</w:t>
      </w:r>
      <w:r w:rsidR="000A2FE3">
        <w:rPr>
          <w:rFonts w:ascii="Verdana" w:hAnsi="Verdana"/>
          <w:color w:val="000000"/>
          <w:sz w:val="20"/>
          <w:szCs w:val="20"/>
          <w:shd w:val="clear" w:color="auto" w:fill="FFFFFF"/>
        </w:rPr>
        <w:t>)</w:t>
      </w:r>
    </w:p>
    <w:p w14:paraId="65AC4044" w14:textId="77777777" w:rsidR="000A2FE3" w:rsidRPr="000A2FE3" w:rsidRDefault="000A2FE3" w:rsidP="001B268A">
      <w:pPr>
        <w:pStyle w:val="ListParagraph"/>
        <w:numPr>
          <w:ilvl w:val="0"/>
          <w:numId w:val="2"/>
        </w:numPr>
        <w:rPr>
          <w:rFonts w:ascii="Verdana" w:hAnsi="Verdana"/>
          <w:color w:val="000000"/>
          <w:sz w:val="20"/>
          <w:szCs w:val="20"/>
          <w:shd w:val="clear" w:color="auto" w:fill="FFFFFF"/>
        </w:rPr>
      </w:pPr>
    </w:p>
    <w:p w14:paraId="2A334FB4" w14:textId="77777777" w:rsidR="00A55E36" w:rsidRDefault="00A55E36" w:rsidP="00DC4C03">
      <w:pPr>
        <w:rPr>
          <w:rFonts w:ascii="Verdana" w:hAnsi="Verdana"/>
          <w:color w:val="000000"/>
          <w:sz w:val="20"/>
          <w:szCs w:val="20"/>
          <w:shd w:val="clear" w:color="auto" w:fill="FFFFFF"/>
        </w:rPr>
      </w:pPr>
    </w:p>
    <w:p w14:paraId="446D2345" w14:textId="77777777" w:rsidR="00A55E36" w:rsidRDefault="00A55E36" w:rsidP="00DC4C03">
      <w:pPr>
        <w:rPr>
          <w:rFonts w:ascii="Verdana" w:hAnsi="Verdana"/>
          <w:color w:val="000000"/>
          <w:sz w:val="20"/>
          <w:szCs w:val="20"/>
          <w:shd w:val="clear" w:color="auto" w:fill="FFFFFF"/>
        </w:rPr>
      </w:pPr>
    </w:p>
    <w:p w14:paraId="4B101A4D" w14:textId="295B0FE6" w:rsidR="00A55E36" w:rsidRPr="00A55E36" w:rsidRDefault="00A55E36" w:rsidP="00DC4C03">
      <w:pPr>
        <w:rPr>
          <w:rFonts w:ascii="Verdana" w:hAnsi="Verdana"/>
          <w:color w:val="000000"/>
          <w:sz w:val="20"/>
          <w:szCs w:val="20"/>
          <w:shd w:val="clear" w:color="auto" w:fill="FFFFFF"/>
        </w:rPr>
      </w:pPr>
      <w:proofErr w:type="spellStart"/>
      <w:r>
        <w:rPr>
          <w:rFonts w:ascii="Verdana" w:hAnsi="Verdana"/>
          <w:b/>
          <w:bCs/>
          <w:color w:val="000000"/>
          <w:sz w:val="20"/>
          <w:szCs w:val="20"/>
          <w:shd w:val="clear" w:color="auto" w:fill="FFFFFF"/>
        </w:rPr>
        <w:t>Refrences</w:t>
      </w:r>
      <w:proofErr w:type="spellEnd"/>
    </w:p>
    <w:p w14:paraId="7E1EAC3E" w14:textId="29EED939" w:rsidR="00047D11" w:rsidRDefault="000851DC" w:rsidP="00DC4C03">
      <w:pPr>
        <w:rPr>
          <w:rFonts w:ascii="Arial Unicode MS" w:hAnsi="Arial Unicode MS"/>
          <w:color w:val="000000"/>
          <w:shd w:val="clear" w:color="auto" w:fill="FFFFFF"/>
        </w:rPr>
      </w:pPr>
      <w:proofErr w:type="spellStart"/>
      <w:r>
        <w:rPr>
          <w:rFonts w:ascii="Arial Unicode MS" w:hAnsi="Arial Unicode MS"/>
          <w:color w:val="000000"/>
          <w:shd w:val="clear" w:color="auto" w:fill="FFFFFF"/>
        </w:rPr>
        <w:t>Orser</w:t>
      </w:r>
      <w:proofErr w:type="spellEnd"/>
      <w:r>
        <w:rPr>
          <w:rFonts w:ascii="Arial Unicode MS" w:hAnsi="Arial Unicode MS"/>
          <w:color w:val="000000"/>
          <w:shd w:val="clear" w:color="auto" w:fill="FFFFFF"/>
        </w:rPr>
        <w:t>, Charles E. 2002. </w:t>
      </w:r>
      <w:r>
        <w:rPr>
          <w:rFonts w:ascii="Arial Unicode MS" w:hAnsi="Arial Unicode MS"/>
          <w:i/>
          <w:iCs/>
          <w:color w:val="000000"/>
          <w:shd w:val="clear" w:color="auto" w:fill="FFFFFF"/>
        </w:rPr>
        <w:t>Encyclopedia of historical archaeology</w:t>
      </w:r>
      <w:r>
        <w:rPr>
          <w:rFonts w:ascii="Arial Unicode MS" w:hAnsi="Arial Unicode MS"/>
          <w:color w:val="000000"/>
          <w:shd w:val="clear" w:color="auto" w:fill="FFFFFF"/>
        </w:rPr>
        <w:t xml:space="preserve">. London: Routledge. </w:t>
      </w:r>
      <w:hyperlink r:id="rId8" w:history="1">
        <w:r w:rsidR="00F804DB" w:rsidRPr="00C03A90">
          <w:rPr>
            <w:rStyle w:val="Hyperlink"/>
            <w:rFonts w:ascii="Arial Unicode MS" w:hAnsi="Arial Unicode MS"/>
            <w:shd w:val="clear" w:color="auto" w:fill="FFFFFF"/>
          </w:rPr>
          <w:t>http://public.eblib.com/choice/publicfullrecord.aspx?p=180361</w:t>
        </w:r>
      </w:hyperlink>
      <w:r>
        <w:rPr>
          <w:rFonts w:ascii="Arial Unicode MS" w:hAnsi="Arial Unicode MS"/>
          <w:color w:val="000000"/>
          <w:shd w:val="clear" w:color="auto" w:fill="FFFFFF"/>
        </w:rPr>
        <w:t>.</w:t>
      </w:r>
    </w:p>
    <w:p w14:paraId="484DA1FD" w14:textId="65E6BD41" w:rsidR="00F804DB" w:rsidRDefault="00F804DB" w:rsidP="00DC4C03">
      <w:pPr>
        <w:rPr>
          <w:rFonts w:ascii="Arial" w:hAnsi="Arial" w:cs="Arial"/>
          <w:color w:val="333333"/>
          <w:sz w:val="21"/>
          <w:szCs w:val="21"/>
          <w:shd w:val="clear" w:color="auto" w:fill="FFFFFF"/>
        </w:rPr>
      </w:pPr>
      <w:r>
        <w:rPr>
          <w:rFonts w:ascii="Arial" w:hAnsi="Arial" w:cs="Arial"/>
          <w:color w:val="333333"/>
          <w:sz w:val="21"/>
          <w:szCs w:val="21"/>
          <w:shd w:val="clear" w:color="auto" w:fill="FFFFFF"/>
        </w:rPr>
        <w:t>Majewski, Teresita, and Michael J. O'Brien. “The Use and Misuse of Nineteenth-Century English and American Ceramics in Archaeological Analysis.” </w:t>
      </w:r>
      <w:r>
        <w:rPr>
          <w:rFonts w:ascii="Arial" w:hAnsi="Arial" w:cs="Arial"/>
          <w:i/>
          <w:iCs/>
          <w:color w:val="333333"/>
          <w:sz w:val="21"/>
          <w:szCs w:val="21"/>
          <w:shd w:val="clear" w:color="auto" w:fill="FFFFFF"/>
        </w:rPr>
        <w:t>Advances in Archaeological Method and Theory</w:t>
      </w:r>
      <w:r>
        <w:rPr>
          <w:rFonts w:ascii="Arial" w:hAnsi="Arial" w:cs="Arial"/>
          <w:color w:val="333333"/>
          <w:sz w:val="21"/>
          <w:szCs w:val="21"/>
          <w:shd w:val="clear" w:color="auto" w:fill="FFFFFF"/>
        </w:rPr>
        <w:t>, vol. 11, 1987, pp. 97–209.</w:t>
      </w:r>
    </w:p>
    <w:p w14:paraId="5FF75A4D" w14:textId="731B690E" w:rsidR="00F804DB" w:rsidRDefault="00BA1A31" w:rsidP="00DC4C03">
      <w:r w:rsidRPr="00BA1A31">
        <w:t>Barker, D., &amp; Majewski, T. (2006). Ceramic studies in historical archaeology. In D. Hicks &amp; M. Beaudry (Eds.), The Cambridge Companion to Historical Archaeology (pp. 205-232). Cambridge: Cambridge University Press. doi:10.1017/CCO9781139167321.012</w:t>
      </w:r>
    </w:p>
    <w:p w14:paraId="7D9A26E8" w14:textId="6D019DAF" w:rsidR="00BA1A31" w:rsidRPr="00645479" w:rsidRDefault="001F761C" w:rsidP="00A56170">
      <w:r>
        <w:t>Samford, Patricia</w:t>
      </w:r>
      <w:r w:rsidR="00DA4119">
        <w:t xml:space="preserve"> 2019 “Colonial and Post-Colonial Ceramics</w:t>
      </w:r>
      <w:r w:rsidR="00A56170">
        <w:t>”, Maryland Archaeological Conservation Laboratory, Jefferson Patterson Park and Museum, Maryland Historical Trust/Maryland Dept of Planning</w:t>
      </w:r>
    </w:p>
    <w:sectPr w:rsidR="00BA1A31" w:rsidRPr="00645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4DB3"/>
    <w:multiLevelType w:val="hybridMultilevel"/>
    <w:tmpl w:val="1376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D0A61"/>
    <w:multiLevelType w:val="hybridMultilevel"/>
    <w:tmpl w:val="A342AE1A"/>
    <w:lvl w:ilvl="0" w:tplc="9124BB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5A"/>
    <w:rsid w:val="00015AB0"/>
    <w:rsid w:val="0003582F"/>
    <w:rsid w:val="00047D11"/>
    <w:rsid w:val="00055178"/>
    <w:rsid w:val="00072AD6"/>
    <w:rsid w:val="0007393D"/>
    <w:rsid w:val="000851DC"/>
    <w:rsid w:val="00097CCF"/>
    <w:rsid w:val="000A2FE3"/>
    <w:rsid w:val="000B08AD"/>
    <w:rsid w:val="000C4445"/>
    <w:rsid w:val="000C4737"/>
    <w:rsid w:val="000C7DFD"/>
    <w:rsid w:val="000D7580"/>
    <w:rsid w:val="000E4439"/>
    <w:rsid w:val="000E7769"/>
    <w:rsid w:val="000E7C00"/>
    <w:rsid w:val="00105815"/>
    <w:rsid w:val="001146EE"/>
    <w:rsid w:val="0013146F"/>
    <w:rsid w:val="0013406B"/>
    <w:rsid w:val="00137799"/>
    <w:rsid w:val="0015414A"/>
    <w:rsid w:val="00171A06"/>
    <w:rsid w:val="00185B92"/>
    <w:rsid w:val="001A53CE"/>
    <w:rsid w:val="001B268A"/>
    <w:rsid w:val="001B4E6B"/>
    <w:rsid w:val="001B7FD2"/>
    <w:rsid w:val="001C0477"/>
    <w:rsid w:val="001E1208"/>
    <w:rsid w:val="001E2A5B"/>
    <w:rsid w:val="001F2BFE"/>
    <w:rsid w:val="001F761C"/>
    <w:rsid w:val="00203584"/>
    <w:rsid w:val="00216793"/>
    <w:rsid w:val="0022701E"/>
    <w:rsid w:val="00227FA3"/>
    <w:rsid w:val="00235129"/>
    <w:rsid w:val="0023642F"/>
    <w:rsid w:val="002425FC"/>
    <w:rsid w:val="0025705E"/>
    <w:rsid w:val="0026085B"/>
    <w:rsid w:val="002835EA"/>
    <w:rsid w:val="00285D3E"/>
    <w:rsid w:val="00296C39"/>
    <w:rsid w:val="002A32A2"/>
    <w:rsid w:val="002A456A"/>
    <w:rsid w:val="002A48D8"/>
    <w:rsid w:val="002A4C3D"/>
    <w:rsid w:val="002B01C8"/>
    <w:rsid w:val="002B3A90"/>
    <w:rsid w:val="002B6808"/>
    <w:rsid w:val="002B7522"/>
    <w:rsid w:val="002C2A03"/>
    <w:rsid w:val="002C40D0"/>
    <w:rsid w:val="002D5316"/>
    <w:rsid w:val="002E0597"/>
    <w:rsid w:val="002F3B74"/>
    <w:rsid w:val="002F460D"/>
    <w:rsid w:val="002F7002"/>
    <w:rsid w:val="003010A1"/>
    <w:rsid w:val="00304A70"/>
    <w:rsid w:val="00316DC5"/>
    <w:rsid w:val="003221F9"/>
    <w:rsid w:val="00334A66"/>
    <w:rsid w:val="00360DA6"/>
    <w:rsid w:val="00373A3C"/>
    <w:rsid w:val="0039333A"/>
    <w:rsid w:val="00397C6A"/>
    <w:rsid w:val="003B2001"/>
    <w:rsid w:val="003C25BE"/>
    <w:rsid w:val="003C4FB1"/>
    <w:rsid w:val="003C7A35"/>
    <w:rsid w:val="003D1500"/>
    <w:rsid w:val="003D6D0A"/>
    <w:rsid w:val="003E1C45"/>
    <w:rsid w:val="003F22B1"/>
    <w:rsid w:val="004215C3"/>
    <w:rsid w:val="00452747"/>
    <w:rsid w:val="004558B8"/>
    <w:rsid w:val="00462914"/>
    <w:rsid w:val="00470B49"/>
    <w:rsid w:val="004A0346"/>
    <w:rsid w:val="004A2860"/>
    <w:rsid w:val="004B62EA"/>
    <w:rsid w:val="004D362B"/>
    <w:rsid w:val="004D4B57"/>
    <w:rsid w:val="004D551F"/>
    <w:rsid w:val="004D5BC3"/>
    <w:rsid w:val="004F3F55"/>
    <w:rsid w:val="00511226"/>
    <w:rsid w:val="005145A1"/>
    <w:rsid w:val="00514ABB"/>
    <w:rsid w:val="00515330"/>
    <w:rsid w:val="00522C45"/>
    <w:rsid w:val="0052628F"/>
    <w:rsid w:val="00541893"/>
    <w:rsid w:val="0054259B"/>
    <w:rsid w:val="00555711"/>
    <w:rsid w:val="00574242"/>
    <w:rsid w:val="00576980"/>
    <w:rsid w:val="0058140F"/>
    <w:rsid w:val="005829DB"/>
    <w:rsid w:val="005838E6"/>
    <w:rsid w:val="0058634B"/>
    <w:rsid w:val="00592930"/>
    <w:rsid w:val="005A127F"/>
    <w:rsid w:val="005A763E"/>
    <w:rsid w:val="005C1ECF"/>
    <w:rsid w:val="005D3E65"/>
    <w:rsid w:val="005D6E4A"/>
    <w:rsid w:val="005D7F09"/>
    <w:rsid w:val="005E2501"/>
    <w:rsid w:val="005E39F6"/>
    <w:rsid w:val="005F488A"/>
    <w:rsid w:val="006014DC"/>
    <w:rsid w:val="00604C3F"/>
    <w:rsid w:val="00617BD8"/>
    <w:rsid w:val="00620865"/>
    <w:rsid w:val="00635717"/>
    <w:rsid w:val="00645479"/>
    <w:rsid w:val="00660830"/>
    <w:rsid w:val="00662BE0"/>
    <w:rsid w:val="00662EB8"/>
    <w:rsid w:val="00663848"/>
    <w:rsid w:val="00676BC7"/>
    <w:rsid w:val="00697244"/>
    <w:rsid w:val="006D04BD"/>
    <w:rsid w:val="006E2C6E"/>
    <w:rsid w:val="006E3C44"/>
    <w:rsid w:val="007109E1"/>
    <w:rsid w:val="0071624B"/>
    <w:rsid w:val="00716EB3"/>
    <w:rsid w:val="00722E74"/>
    <w:rsid w:val="007250B6"/>
    <w:rsid w:val="007318CF"/>
    <w:rsid w:val="00735EBA"/>
    <w:rsid w:val="00736824"/>
    <w:rsid w:val="00742615"/>
    <w:rsid w:val="00755926"/>
    <w:rsid w:val="00760A27"/>
    <w:rsid w:val="00765549"/>
    <w:rsid w:val="0077363C"/>
    <w:rsid w:val="00790C99"/>
    <w:rsid w:val="007A783B"/>
    <w:rsid w:val="007D45DA"/>
    <w:rsid w:val="007E13F8"/>
    <w:rsid w:val="007E2BD5"/>
    <w:rsid w:val="007E5DCE"/>
    <w:rsid w:val="00811AFE"/>
    <w:rsid w:val="00827BFB"/>
    <w:rsid w:val="00836725"/>
    <w:rsid w:val="008442DB"/>
    <w:rsid w:val="00852BEC"/>
    <w:rsid w:val="008572F1"/>
    <w:rsid w:val="008645A6"/>
    <w:rsid w:val="008742BB"/>
    <w:rsid w:val="00882677"/>
    <w:rsid w:val="00890A64"/>
    <w:rsid w:val="00891CA0"/>
    <w:rsid w:val="008923C9"/>
    <w:rsid w:val="008A0694"/>
    <w:rsid w:val="008B03ED"/>
    <w:rsid w:val="008B2D70"/>
    <w:rsid w:val="008B47FE"/>
    <w:rsid w:val="008C3CD9"/>
    <w:rsid w:val="008D74E0"/>
    <w:rsid w:val="0092101C"/>
    <w:rsid w:val="00922B7C"/>
    <w:rsid w:val="009248E1"/>
    <w:rsid w:val="00927101"/>
    <w:rsid w:val="00930A42"/>
    <w:rsid w:val="00931FF6"/>
    <w:rsid w:val="00943E7D"/>
    <w:rsid w:val="00952B20"/>
    <w:rsid w:val="00953864"/>
    <w:rsid w:val="00954AD7"/>
    <w:rsid w:val="00955550"/>
    <w:rsid w:val="00960791"/>
    <w:rsid w:val="00961592"/>
    <w:rsid w:val="00991484"/>
    <w:rsid w:val="00996B49"/>
    <w:rsid w:val="009B097A"/>
    <w:rsid w:val="009B0AE9"/>
    <w:rsid w:val="009D3381"/>
    <w:rsid w:val="00A112E6"/>
    <w:rsid w:val="00A3351C"/>
    <w:rsid w:val="00A343D2"/>
    <w:rsid w:val="00A3602B"/>
    <w:rsid w:val="00A467EC"/>
    <w:rsid w:val="00A55E36"/>
    <w:rsid w:val="00A56170"/>
    <w:rsid w:val="00A650AB"/>
    <w:rsid w:val="00AA4C43"/>
    <w:rsid w:val="00AD2212"/>
    <w:rsid w:val="00AD2226"/>
    <w:rsid w:val="00AF66A0"/>
    <w:rsid w:val="00B06D30"/>
    <w:rsid w:val="00B15323"/>
    <w:rsid w:val="00B172A3"/>
    <w:rsid w:val="00B2190E"/>
    <w:rsid w:val="00B36524"/>
    <w:rsid w:val="00B44D94"/>
    <w:rsid w:val="00BA0340"/>
    <w:rsid w:val="00BA1A31"/>
    <w:rsid w:val="00BB5B3D"/>
    <w:rsid w:val="00BC0A1E"/>
    <w:rsid w:val="00BD42C2"/>
    <w:rsid w:val="00BE05CF"/>
    <w:rsid w:val="00BE4BBD"/>
    <w:rsid w:val="00BF16A1"/>
    <w:rsid w:val="00BF229E"/>
    <w:rsid w:val="00BF22C0"/>
    <w:rsid w:val="00BF3347"/>
    <w:rsid w:val="00C2711A"/>
    <w:rsid w:val="00C32165"/>
    <w:rsid w:val="00C34367"/>
    <w:rsid w:val="00C360D7"/>
    <w:rsid w:val="00C402CA"/>
    <w:rsid w:val="00C440C9"/>
    <w:rsid w:val="00C45240"/>
    <w:rsid w:val="00C53462"/>
    <w:rsid w:val="00C572D0"/>
    <w:rsid w:val="00C76697"/>
    <w:rsid w:val="00C80831"/>
    <w:rsid w:val="00C872EA"/>
    <w:rsid w:val="00CA75A0"/>
    <w:rsid w:val="00CE52A3"/>
    <w:rsid w:val="00CF59EB"/>
    <w:rsid w:val="00D037C3"/>
    <w:rsid w:val="00D30042"/>
    <w:rsid w:val="00D44BA4"/>
    <w:rsid w:val="00D52AA8"/>
    <w:rsid w:val="00D630FD"/>
    <w:rsid w:val="00D666C5"/>
    <w:rsid w:val="00D7185A"/>
    <w:rsid w:val="00D7219B"/>
    <w:rsid w:val="00D918E8"/>
    <w:rsid w:val="00DA4119"/>
    <w:rsid w:val="00DA5FC5"/>
    <w:rsid w:val="00DB2519"/>
    <w:rsid w:val="00DC4C03"/>
    <w:rsid w:val="00E018AE"/>
    <w:rsid w:val="00E032F4"/>
    <w:rsid w:val="00E27361"/>
    <w:rsid w:val="00E3683E"/>
    <w:rsid w:val="00E61B36"/>
    <w:rsid w:val="00E63467"/>
    <w:rsid w:val="00E8010D"/>
    <w:rsid w:val="00E82CE6"/>
    <w:rsid w:val="00E85A9E"/>
    <w:rsid w:val="00E87539"/>
    <w:rsid w:val="00E93371"/>
    <w:rsid w:val="00EA555E"/>
    <w:rsid w:val="00EB21C9"/>
    <w:rsid w:val="00EC6BFE"/>
    <w:rsid w:val="00ED16AA"/>
    <w:rsid w:val="00ED3FAA"/>
    <w:rsid w:val="00EE3F61"/>
    <w:rsid w:val="00EF6F40"/>
    <w:rsid w:val="00EF7331"/>
    <w:rsid w:val="00F13672"/>
    <w:rsid w:val="00F17FD9"/>
    <w:rsid w:val="00F253AB"/>
    <w:rsid w:val="00F34FE4"/>
    <w:rsid w:val="00F4242F"/>
    <w:rsid w:val="00F5265A"/>
    <w:rsid w:val="00F804DB"/>
    <w:rsid w:val="00F87EDD"/>
    <w:rsid w:val="00F967CA"/>
    <w:rsid w:val="00FA7D36"/>
    <w:rsid w:val="00FC1A99"/>
    <w:rsid w:val="00FD1374"/>
    <w:rsid w:val="00FF443B"/>
    <w:rsid w:val="00FF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7339"/>
  <w15:chartTrackingRefBased/>
  <w15:docId w15:val="{EBBCE542-C712-40FA-9EB1-F1DF201A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288" w:right="-28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FD"/>
    <w:pPr>
      <w:ind w:left="0" w:right="0" w:firstLine="0"/>
    </w:pPr>
    <w:rPr>
      <w:szCs w:val="24"/>
    </w:rPr>
  </w:style>
  <w:style w:type="paragraph" w:styleId="Heading3">
    <w:name w:val="heading 3"/>
    <w:basedOn w:val="Normal"/>
    <w:next w:val="Normal"/>
    <w:link w:val="Heading3Char"/>
    <w:uiPriority w:val="9"/>
    <w:semiHidden/>
    <w:unhideWhenUsed/>
    <w:qFormat/>
    <w:rsid w:val="006972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244"/>
    <w:rPr>
      <w:rFonts w:asciiTheme="majorHAnsi" w:eastAsiaTheme="majorEastAsia" w:hAnsiTheme="majorHAnsi" w:cstheme="majorBidi"/>
      <w:color w:val="1F3763" w:themeColor="accent1" w:themeShade="7F"/>
      <w:sz w:val="24"/>
      <w:szCs w:val="24"/>
    </w:rPr>
  </w:style>
  <w:style w:type="paragraph" w:customStyle="1" w:styleId="CAPTitleandAbstract">
    <w:name w:val="CAP Title and Abstract"/>
    <w:next w:val="Normal"/>
    <w:link w:val="CAPTitleandAbstractChar"/>
    <w:autoRedefine/>
    <w:qFormat/>
    <w:rsid w:val="00316DC5"/>
    <w:pPr>
      <w:keepNext/>
      <w:spacing w:after="0"/>
      <w:ind w:left="0" w:right="0" w:firstLine="0"/>
      <w:jc w:val="center"/>
      <w:outlineLvl w:val="0"/>
    </w:pPr>
    <w:rPr>
      <w:rFonts w:ascii="Cambria" w:eastAsia="ヒラギノ角ゴ Pro W3" w:hAnsi="Cambria"/>
      <w:b/>
      <w:color w:val="075800"/>
      <w:sz w:val="48"/>
      <w:szCs w:val="32"/>
    </w:rPr>
  </w:style>
  <w:style w:type="character" w:customStyle="1" w:styleId="CAPTitleandAbstractChar">
    <w:name w:val="CAP Title and Abstract Char"/>
    <w:basedOn w:val="DefaultParagraphFont"/>
    <w:link w:val="CAPTitleandAbstract"/>
    <w:rsid w:val="00316DC5"/>
    <w:rPr>
      <w:rFonts w:ascii="Cambria" w:eastAsia="ヒラギノ角ゴ Pro W3" w:hAnsi="Cambria"/>
      <w:b/>
      <w:color w:val="075800"/>
      <w:sz w:val="48"/>
      <w:szCs w:val="32"/>
    </w:rPr>
  </w:style>
  <w:style w:type="paragraph" w:styleId="BodyText3">
    <w:name w:val="Body Text 3"/>
    <w:basedOn w:val="Normal"/>
    <w:link w:val="BodyText3Char"/>
    <w:uiPriority w:val="99"/>
    <w:semiHidden/>
    <w:unhideWhenUsed/>
    <w:rsid w:val="00316DC5"/>
    <w:rPr>
      <w:sz w:val="16"/>
      <w:szCs w:val="16"/>
    </w:rPr>
  </w:style>
  <w:style w:type="character" w:customStyle="1" w:styleId="BodyText3Char">
    <w:name w:val="Body Text 3 Char"/>
    <w:basedOn w:val="DefaultParagraphFont"/>
    <w:link w:val="BodyText3"/>
    <w:uiPriority w:val="99"/>
    <w:semiHidden/>
    <w:rsid w:val="00316DC5"/>
    <w:rPr>
      <w:sz w:val="16"/>
      <w:szCs w:val="16"/>
    </w:rPr>
  </w:style>
  <w:style w:type="paragraph" w:styleId="ListParagraph">
    <w:name w:val="List Paragraph"/>
    <w:basedOn w:val="Normal"/>
    <w:uiPriority w:val="34"/>
    <w:qFormat/>
    <w:rsid w:val="00F34FE4"/>
    <w:pPr>
      <w:numPr>
        <w:numId w:val="1"/>
      </w:numPr>
    </w:pPr>
  </w:style>
  <w:style w:type="paragraph" w:customStyle="1" w:styleId="StyleLeft025Hanging025">
    <w:name w:val="Style Left:  0.25&quot; Hanging:  0.25&quot;"/>
    <w:basedOn w:val="Normal"/>
    <w:next w:val="Normal"/>
    <w:rsid w:val="00FC1A99"/>
    <w:pPr>
      <w:ind w:left="360"/>
    </w:pPr>
    <w:rPr>
      <w:rFonts w:eastAsia="Times New Roman" w:cs="Times New Roman"/>
      <w:szCs w:val="20"/>
    </w:rPr>
  </w:style>
  <w:style w:type="character" w:styleId="Hyperlink">
    <w:name w:val="Hyperlink"/>
    <w:basedOn w:val="DefaultParagraphFont"/>
    <w:uiPriority w:val="99"/>
    <w:unhideWhenUsed/>
    <w:rsid w:val="00F804DB"/>
    <w:rPr>
      <w:color w:val="0563C1" w:themeColor="hyperlink"/>
      <w:u w:val="single"/>
    </w:rPr>
  </w:style>
  <w:style w:type="character" w:styleId="UnresolvedMention">
    <w:name w:val="Unresolved Mention"/>
    <w:basedOn w:val="DefaultParagraphFont"/>
    <w:uiPriority w:val="99"/>
    <w:semiHidden/>
    <w:unhideWhenUsed/>
    <w:rsid w:val="00F80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eblib.com/choice/publicfullrecord.aspx?p=18036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C8008B87034543BACFDEE7E5FF99D2" ma:contentTypeVersion="13" ma:contentTypeDescription="Create a new document." ma:contentTypeScope="" ma:versionID="23e329f8c0beef953afc156f7b50e38d">
  <xsd:schema xmlns:xsd="http://www.w3.org/2001/XMLSchema" xmlns:xs="http://www.w3.org/2001/XMLSchema" xmlns:p="http://schemas.microsoft.com/office/2006/metadata/properties" xmlns:ns3="9279389f-1d36-482f-bbf1-29c251831a98" xmlns:ns4="f97b8c6b-9cb0-4b35-b54f-2e3d40baa8d1" targetNamespace="http://schemas.microsoft.com/office/2006/metadata/properties" ma:root="true" ma:fieldsID="00b31d9e888fbdf14669be40fb3cb20d" ns3:_="" ns4:_="">
    <xsd:import namespace="9279389f-1d36-482f-bbf1-29c251831a98"/>
    <xsd:import namespace="f97b8c6b-9cb0-4b35-b54f-2e3d40baa8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89f-1d36-482f-bbf1-29c251831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b8c6b-9cb0-4b35-b54f-2e3d40baa8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84DF21-9CBA-40FC-8569-DA07A2D4B1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83DCAD-BAAB-4339-AC66-AA3A954E26F9}">
  <ds:schemaRefs>
    <ds:schemaRef ds:uri="http://schemas.microsoft.com/sharepoint/v3/contenttype/forms"/>
  </ds:schemaRefs>
</ds:datastoreItem>
</file>

<file path=customXml/itemProps3.xml><?xml version="1.0" encoding="utf-8"?>
<ds:datastoreItem xmlns:ds="http://schemas.openxmlformats.org/officeDocument/2006/customXml" ds:itemID="{159BC323-8E93-43FF-8654-EFEEAD0B9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89f-1d36-482f-bbf1-29c251831a98"/>
    <ds:schemaRef ds:uri="f97b8c6b-9cb0-4b35-b54f-2e3d40baa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Burnett</dc:creator>
  <cp:keywords/>
  <dc:description/>
  <cp:lastModifiedBy>Jeffrey Burnett</cp:lastModifiedBy>
  <cp:revision>264</cp:revision>
  <dcterms:created xsi:type="dcterms:W3CDTF">2020-07-01T11:31:00Z</dcterms:created>
  <dcterms:modified xsi:type="dcterms:W3CDTF">2020-07-02T14:49:00Z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0x0101005DC8008B87034543BACFDEE7E5FF99D2</vt:lpwstr>
  </property>
</Properties>
</file>