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8DA" w:rsidRDefault="00F308DA" w:rsidP="00F308DA">
      <w:pPr>
        <w:shd w:val="clear" w:color="auto" w:fill="FFFFFF"/>
        <w:spacing w:before="300" w:after="150"/>
        <w:outlineLvl w:val="1"/>
        <w:rPr>
          <w:rFonts w:ascii="Arial" w:eastAsia="Times New Roman" w:hAnsi="Arial" w:cs="Arial"/>
          <w:color w:val="333333"/>
          <w:sz w:val="28"/>
          <w:szCs w:val="45"/>
        </w:rPr>
      </w:pPr>
      <w:r>
        <w:rPr>
          <w:rFonts w:ascii="Arial" w:eastAsia="Times New Roman" w:hAnsi="Arial" w:cs="Arial"/>
          <w:color w:val="333333"/>
          <w:sz w:val="28"/>
          <w:szCs w:val="45"/>
        </w:rPr>
        <w:t>Jonathan Walton bio</w:t>
      </w:r>
    </w:p>
    <w:p w:rsidR="00F308DA" w:rsidRDefault="00F308DA" w:rsidP="00F308DA">
      <w:pPr>
        <w:shd w:val="clear" w:color="auto" w:fill="FFFFFF"/>
        <w:spacing w:before="300" w:after="150"/>
        <w:outlineLvl w:val="1"/>
        <w:rPr>
          <w:rFonts w:ascii="Arial" w:eastAsia="Times New Roman" w:hAnsi="Arial" w:cs="Arial"/>
          <w:color w:val="333333"/>
          <w:sz w:val="28"/>
          <w:szCs w:val="45"/>
        </w:rPr>
      </w:pPr>
      <w:r>
        <w:rPr>
          <w:rFonts w:ascii="Arial" w:eastAsia="Times New Roman" w:hAnsi="Arial" w:cs="Arial"/>
          <w:color w:val="333333"/>
          <w:sz w:val="28"/>
          <w:szCs w:val="45"/>
        </w:rPr>
        <w:t>Joint appointment: Department of Plant Biology</w:t>
      </w:r>
    </w:p>
    <w:p w:rsidR="00F308DA" w:rsidRDefault="00F308DA" w:rsidP="003465AA">
      <w:pPr>
        <w:shd w:val="clear" w:color="auto" w:fill="FFFFFF"/>
        <w:spacing w:before="300" w:after="150"/>
        <w:outlineLvl w:val="1"/>
        <w:rPr>
          <w:rFonts w:ascii="Arial" w:eastAsia="Times New Roman" w:hAnsi="Arial" w:cs="Arial"/>
          <w:color w:val="333333"/>
          <w:sz w:val="28"/>
          <w:szCs w:val="45"/>
        </w:rPr>
      </w:pPr>
      <w:r>
        <w:rPr>
          <w:rFonts w:ascii="Arial" w:eastAsia="Times New Roman" w:hAnsi="Arial" w:cs="Arial"/>
          <w:color w:val="333333"/>
          <w:sz w:val="28"/>
          <w:szCs w:val="45"/>
        </w:rPr>
        <w:t>Education:</w:t>
      </w:r>
    </w:p>
    <w:p w:rsidR="00F308DA" w:rsidRDefault="00F308DA" w:rsidP="003465AA">
      <w:pPr>
        <w:shd w:val="clear" w:color="auto" w:fill="FFFFFF"/>
        <w:spacing w:before="300" w:after="150"/>
        <w:outlineLvl w:val="1"/>
        <w:rPr>
          <w:rFonts w:ascii="Arial" w:eastAsia="Times New Roman" w:hAnsi="Arial" w:cs="Arial"/>
          <w:color w:val="333333"/>
          <w:sz w:val="28"/>
          <w:szCs w:val="45"/>
        </w:rPr>
      </w:pPr>
      <w:r>
        <w:rPr>
          <w:rFonts w:ascii="Arial" w:eastAsia="Times New Roman" w:hAnsi="Arial" w:cs="Arial"/>
          <w:color w:val="333333"/>
          <w:sz w:val="28"/>
          <w:szCs w:val="45"/>
        </w:rPr>
        <w:t>M.S, Plant Pathology, Cornell University</w:t>
      </w:r>
    </w:p>
    <w:p w:rsidR="00F308DA" w:rsidRDefault="00F308DA" w:rsidP="003465AA">
      <w:pPr>
        <w:shd w:val="clear" w:color="auto" w:fill="FFFFFF"/>
        <w:spacing w:before="300" w:after="150"/>
        <w:outlineLvl w:val="1"/>
        <w:rPr>
          <w:rFonts w:ascii="Arial" w:eastAsia="Times New Roman" w:hAnsi="Arial" w:cs="Arial"/>
          <w:color w:val="333333"/>
          <w:sz w:val="28"/>
          <w:szCs w:val="45"/>
        </w:rPr>
      </w:pPr>
      <w:r>
        <w:rPr>
          <w:rFonts w:ascii="Arial" w:eastAsia="Times New Roman" w:hAnsi="Arial" w:cs="Arial"/>
          <w:color w:val="333333"/>
          <w:sz w:val="28"/>
          <w:szCs w:val="45"/>
        </w:rPr>
        <w:t>Ph.D. Biological Sciences. Stanford University</w:t>
      </w:r>
    </w:p>
    <w:p w:rsidR="003465AA" w:rsidRPr="003465AA" w:rsidRDefault="00F308DA" w:rsidP="003465AA">
      <w:pPr>
        <w:shd w:val="clear" w:color="auto" w:fill="FFFFFF"/>
        <w:spacing w:before="300" w:after="150"/>
        <w:outlineLvl w:val="1"/>
        <w:rPr>
          <w:rFonts w:ascii="Arial" w:eastAsia="Times New Roman" w:hAnsi="Arial" w:cs="Arial"/>
          <w:color w:val="333333"/>
          <w:sz w:val="45"/>
          <w:szCs w:val="45"/>
        </w:rPr>
      </w:pPr>
      <w:r w:rsidRPr="00F308DA">
        <w:rPr>
          <w:rFonts w:ascii="Arial" w:eastAsia="Times New Roman" w:hAnsi="Arial" w:cs="Arial"/>
          <w:color w:val="333333"/>
          <w:sz w:val="28"/>
          <w:szCs w:val="45"/>
        </w:rPr>
        <w:t xml:space="preserve">Research: </w:t>
      </w:r>
      <w:r w:rsidR="003465AA" w:rsidRPr="003465AA">
        <w:rPr>
          <w:rFonts w:ascii="Arial" w:eastAsia="Times New Roman" w:hAnsi="Arial" w:cs="Arial"/>
          <w:color w:val="333333"/>
          <w:sz w:val="28"/>
          <w:szCs w:val="45"/>
        </w:rPr>
        <w:t>Natural Products and Enzymes from Fungi</w:t>
      </w:r>
    </w:p>
    <w:p w:rsidR="003465AA" w:rsidRPr="003465AA" w:rsidRDefault="003465AA" w:rsidP="003465AA">
      <w:pPr>
        <w:shd w:val="clear" w:color="auto" w:fill="FFFFFF"/>
        <w:spacing w:after="150" w:line="343" w:lineRule="atLeast"/>
        <w:rPr>
          <w:rFonts w:ascii="Arial" w:eastAsia="Times New Roman" w:hAnsi="Arial" w:cs="Arial"/>
          <w:color w:val="333333"/>
          <w:szCs w:val="24"/>
        </w:rPr>
      </w:pPr>
      <w:r w:rsidRPr="003465AA">
        <w:rPr>
          <w:rFonts w:ascii="Arial" w:eastAsia="Times New Roman" w:hAnsi="Arial" w:cs="Arial"/>
          <w:color w:val="333333"/>
          <w:szCs w:val="24"/>
        </w:rPr>
        <w:t>Two salient features of the Kingdom Mycota (fungi) are the synthesis of biologically active natural products and the secretion of degradative enzymes. Both have a strong impact on natural ecosystems and on human activities. Our lab studies important ecological and biotechnological aspects of both fungal natural products and fungal degradative enzymes.</w:t>
      </w:r>
    </w:p>
    <w:p w:rsidR="003465AA" w:rsidRPr="003465AA" w:rsidRDefault="003465AA" w:rsidP="003465AA">
      <w:pPr>
        <w:shd w:val="clear" w:color="auto" w:fill="FFFFFF"/>
        <w:spacing w:after="150" w:line="343" w:lineRule="atLeast"/>
        <w:rPr>
          <w:rFonts w:ascii="Arial" w:eastAsia="Times New Roman" w:hAnsi="Arial" w:cs="Arial"/>
          <w:color w:val="333333"/>
          <w:szCs w:val="24"/>
        </w:rPr>
      </w:pPr>
      <w:r w:rsidRPr="003465AA">
        <w:rPr>
          <w:rFonts w:ascii="Arial" w:eastAsia="Times New Roman" w:hAnsi="Arial" w:cs="Arial"/>
          <w:color w:val="333333"/>
          <w:szCs w:val="24"/>
        </w:rPr>
        <w:t xml:space="preserve">Many of our most important pharmaceutical agents are derived from fungi, such as penicillin, cyclosporin, and </w:t>
      </w:r>
      <w:r w:rsidR="00F308DA">
        <w:rPr>
          <w:rFonts w:ascii="Arial" w:eastAsia="Times New Roman" w:hAnsi="Arial" w:cs="Arial"/>
          <w:color w:val="333333"/>
          <w:szCs w:val="24"/>
        </w:rPr>
        <w:t xml:space="preserve">the </w:t>
      </w:r>
      <w:r w:rsidRPr="003465AA">
        <w:rPr>
          <w:rFonts w:ascii="Arial" w:eastAsia="Times New Roman" w:hAnsi="Arial" w:cs="Arial"/>
          <w:color w:val="333333"/>
          <w:szCs w:val="24"/>
        </w:rPr>
        <w:t>statins. Another important group of fungal natural products are the bicyclic peptides (amatoxins and phallotoxins) made by mushrooms in the genus</w:t>
      </w:r>
      <w:r w:rsidRPr="003465AA">
        <w:rPr>
          <w:rFonts w:ascii="Arial" w:eastAsia="Times New Roman" w:hAnsi="Arial" w:cs="Arial"/>
          <w:i/>
          <w:iCs/>
          <w:color w:val="333333"/>
          <w:szCs w:val="24"/>
        </w:rPr>
        <w:t>Amanita</w:t>
      </w:r>
      <w:r w:rsidRPr="003465AA">
        <w:rPr>
          <w:rFonts w:ascii="Arial" w:eastAsia="Times New Roman" w:hAnsi="Arial" w:cs="Arial"/>
          <w:color w:val="333333"/>
          <w:szCs w:val="24"/>
        </w:rPr>
        <w:t>, which account for &gt;90% of fatal mushroom poisonings. In contrast to all other known fungal cyclic peptides, the </w:t>
      </w:r>
      <w:r w:rsidRPr="003465AA">
        <w:rPr>
          <w:rFonts w:ascii="Arial" w:eastAsia="Times New Roman" w:hAnsi="Arial" w:cs="Arial"/>
          <w:i/>
          <w:iCs/>
          <w:color w:val="333333"/>
          <w:szCs w:val="24"/>
        </w:rPr>
        <w:t>Amanita</w:t>
      </w:r>
      <w:r w:rsidRPr="003465AA">
        <w:rPr>
          <w:rFonts w:ascii="Arial" w:eastAsia="Times New Roman" w:hAnsi="Arial" w:cs="Arial"/>
          <w:color w:val="333333"/>
          <w:szCs w:val="24"/>
        </w:rPr>
        <w:t xml:space="preserve"> toxins </w:t>
      </w:r>
      <w:r w:rsidR="00F308DA">
        <w:rPr>
          <w:rFonts w:ascii="Arial" w:eastAsia="Times New Roman" w:hAnsi="Arial" w:cs="Arial"/>
          <w:color w:val="333333"/>
          <w:szCs w:val="24"/>
        </w:rPr>
        <w:t xml:space="preserve">such as α-amanitin and phalloidin </w:t>
      </w:r>
      <w:r w:rsidRPr="003465AA">
        <w:rPr>
          <w:rFonts w:ascii="Arial" w:eastAsia="Times New Roman" w:hAnsi="Arial" w:cs="Arial"/>
          <w:color w:val="333333"/>
          <w:szCs w:val="24"/>
        </w:rPr>
        <w:t>are synthesized on ribosomes instead of by nonribosomal peptide synthetases</w:t>
      </w:r>
      <w:r w:rsidR="00F308DA">
        <w:rPr>
          <w:rFonts w:ascii="Arial" w:eastAsia="Times New Roman" w:hAnsi="Arial" w:cs="Arial"/>
          <w:color w:val="333333"/>
          <w:szCs w:val="24"/>
        </w:rPr>
        <w:t xml:space="preserve"> (Hallen et al., 2007)</w:t>
      </w:r>
      <w:r w:rsidRPr="003465AA">
        <w:rPr>
          <w:rFonts w:ascii="Arial" w:eastAsia="Times New Roman" w:hAnsi="Arial" w:cs="Arial"/>
          <w:color w:val="333333"/>
          <w:szCs w:val="24"/>
        </w:rPr>
        <w:t>. We are currently working on the biosynthetic pathway of the </w:t>
      </w:r>
      <w:r w:rsidRPr="003465AA">
        <w:rPr>
          <w:rFonts w:ascii="Arial" w:eastAsia="Times New Roman" w:hAnsi="Arial" w:cs="Arial"/>
          <w:i/>
          <w:iCs/>
          <w:color w:val="333333"/>
          <w:szCs w:val="24"/>
        </w:rPr>
        <w:t>Amanita</w:t>
      </w:r>
      <w:r w:rsidRPr="003465AA">
        <w:rPr>
          <w:rFonts w:ascii="Arial" w:eastAsia="Times New Roman" w:hAnsi="Arial" w:cs="Arial"/>
          <w:color w:val="333333"/>
          <w:szCs w:val="24"/>
        </w:rPr>
        <w:t> toxins. We recently showed that a dedicated enzyme in the prolyl oligopeptidase family of proteases is responsible for processing the 35-amino acid amanitin propeptide to a cyclic octapeptide</w:t>
      </w:r>
      <w:r w:rsidR="00A3682C">
        <w:rPr>
          <w:rFonts w:ascii="Arial" w:eastAsia="Times New Roman" w:hAnsi="Arial" w:cs="Arial"/>
          <w:color w:val="333333"/>
          <w:szCs w:val="24"/>
        </w:rPr>
        <w:t xml:space="preserve"> (Luo et al., 2009, 2014)</w:t>
      </w:r>
      <w:r w:rsidRPr="003465AA">
        <w:rPr>
          <w:rFonts w:ascii="Arial" w:eastAsia="Times New Roman" w:hAnsi="Arial" w:cs="Arial"/>
          <w:color w:val="333333"/>
          <w:szCs w:val="24"/>
        </w:rPr>
        <w:t>.</w:t>
      </w:r>
      <w:r w:rsidR="00F308DA">
        <w:rPr>
          <w:rFonts w:ascii="Arial" w:eastAsia="Times New Roman" w:hAnsi="Arial" w:cs="Arial"/>
          <w:color w:val="333333"/>
          <w:szCs w:val="24"/>
        </w:rPr>
        <w:t xml:space="preserve"> Two other mushrooms, </w:t>
      </w:r>
      <w:r w:rsidR="00F308DA" w:rsidRPr="00F8534E">
        <w:rPr>
          <w:rFonts w:ascii="Arial" w:eastAsia="Times New Roman" w:hAnsi="Arial" w:cs="Arial"/>
          <w:i/>
          <w:color w:val="333333"/>
          <w:szCs w:val="24"/>
        </w:rPr>
        <w:t>Galerina</w:t>
      </w:r>
      <w:r w:rsidR="00F308DA">
        <w:rPr>
          <w:rFonts w:ascii="Arial" w:eastAsia="Times New Roman" w:hAnsi="Arial" w:cs="Arial"/>
          <w:color w:val="333333"/>
          <w:szCs w:val="24"/>
        </w:rPr>
        <w:t xml:space="preserve"> and </w:t>
      </w:r>
      <w:r w:rsidR="00F308DA" w:rsidRPr="00F8534E">
        <w:rPr>
          <w:rFonts w:ascii="Arial" w:eastAsia="Times New Roman" w:hAnsi="Arial" w:cs="Arial"/>
          <w:i/>
          <w:color w:val="333333"/>
          <w:szCs w:val="24"/>
        </w:rPr>
        <w:t>Lepiota</w:t>
      </w:r>
      <w:r w:rsidR="00F308DA">
        <w:rPr>
          <w:rFonts w:ascii="Arial" w:eastAsia="Times New Roman" w:hAnsi="Arial" w:cs="Arial"/>
          <w:color w:val="333333"/>
          <w:szCs w:val="24"/>
        </w:rPr>
        <w:t>, also synthesize α-amanitin on ribosomes as 35-amino acid propeptides.</w:t>
      </w:r>
      <w:r w:rsidRPr="003465AA">
        <w:rPr>
          <w:rFonts w:ascii="Arial" w:eastAsia="Times New Roman" w:hAnsi="Arial" w:cs="Arial"/>
          <w:color w:val="333333"/>
          <w:szCs w:val="24"/>
        </w:rPr>
        <w:br/>
      </w:r>
      <w:r>
        <w:rPr>
          <w:rFonts w:ascii="Arial" w:eastAsia="Times New Roman" w:hAnsi="Arial" w:cs="Arial"/>
          <w:noProof/>
          <w:color w:val="333333"/>
          <w:szCs w:val="24"/>
        </w:rPr>
        <w:drawing>
          <wp:inline distT="0" distB="0" distL="0" distR="0">
            <wp:extent cx="2857500" cy="3497580"/>
            <wp:effectExtent l="0" t="0" r="0" b="7620"/>
            <wp:docPr id="2" name="Picture 2" descr="https://prl.natsci.msu.edu/_prl/assets/File/Faculty/Walton/Walton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l.natsci.msu.edu/_prl/assets/File/Faculty/Walton/WaltonFi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497580"/>
                    </a:xfrm>
                    <a:prstGeom prst="rect">
                      <a:avLst/>
                    </a:prstGeom>
                    <a:noFill/>
                    <a:ln>
                      <a:noFill/>
                    </a:ln>
                  </pic:spPr>
                </pic:pic>
              </a:graphicData>
            </a:graphic>
          </wp:inline>
        </w:drawing>
      </w:r>
    </w:p>
    <w:p w:rsidR="003465AA" w:rsidRPr="003465AA" w:rsidRDefault="003465AA" w:rsidP="003465AA">
      <w:pPr>
        <w:shd w:val="clear" w:color="auto" w:fill="FFFFFF"/>
        <w:spacing w:after="150" w:line="343" w:lineRule="atLeast"/>
        <w:rPr>
          <w:rFonts w:ascii="Arial" w:eastAsia="Times New Roman" w:hAnsi="Arial" w:cs="Arial"/>
          <w:color w:val="333333"/>
          <w:szCs w:val="24"/>
        </w:rPr>
      </w:pPr>
      <w:r w:rsidRPr="003465AA">
        <w:rPr>
          <w:rFonts w:ascii="Arial" w:eastAsia="Times New Roman" w:hAnsi="Arial" w:cs="Arial"/>
          <w:b/>
          <w:bCs/>
          <w:color w:val="333333"/>
          <w:szCs w:val="24"/>
        </w:rPr>
        <w:t>Figure 1.</w:t>
      </w:r>
      <w:r w:rsidRPr="003465AA">
        <w:rPr>
          <w:rFonts w:ascii="Arial" w:eastAsia="Times New Roman" w:hAnsi="Arial" w:cs="Arial"/>
          <w:color w:val="333333"/>
          <w:szCs w:val="24"/>
        </w:rPr>
        <w:t> </w:t>
      </w:r>
      <w:r w:rsidRPr="003465AA">
        <w:rPr>
          <w:rFonts w:ascii="Arial" w:eastAsia="Times New Roman" w:hAnsi="Arial" w:cs="Arial"/>
          <w:i/>
          <w:iCs/>
          <w:color w:val="333333"/>
          <w:szCs w:val="24"/>
        </w:rPr>
        <w:t>Conocybe albipes</w:t>
      </w:r>
      <w:r w:rsidRPr="003465AA">
        <w:rPr>
          <w:rFonts w:ascii="Arial" w:eastAsia="Times New Roman" w:hAnsi="Arial" w:cs="Arial"/>
          <w:color w:val="333333"/>
          <w:szCs w:val="24"/>
        </w:rPr>
        <w:t> growing in a lawn at</w:t>
      </w:r>
      <w:r w:rsidR="00F308DA">
        <w:rPr>
          <w:rFonts w:ascii="Arial" w:eastAsia="Times New Roman" w:hAnsi="Arial" w:cs="Arial"/>
          <w:color w:val="333333"/>
          <w:szCs w:val="24"/>
        </w:rPr>
        <w:t xml:space="preserve"> </w:t>
      </w:r>
      <w:r w:rsidRPr="003465AA">
        <w:rPr>
          <w:rFonts w:ascii="Arial" w:eastAsia="Times New Roman" w:hAnsi="Arial" w:cs="Arial"/>
          <w:color w:val="333333"/>
          <w:szCs w:val="24"/>
        </w:rPr>
        <w:t xml:space="preserve">MSU. This mushroom makes the bicyclic peptide phalloidin (inset structure) and was used as the source to purify and identify </w:t>
      </w:r>
      <w:r w:rsidR="00F308DA">
        <w:rPr>
          <w:rFonts w:ascii="Arial" w:eastAsia="Times New Roman" w:hAnsi="Arial" w:cs="Arial"/>
          <w:color w:val="333333"/>
          <w:szCs w:val="24"/>
        </w:rPr>
        <w:t>an enzyme that</w:t>
      </w:r>
      <w:r w:rsidRPr="003465AA">
        <w:rPr>
          <w:rFonts w:ascii="Arial" w:eastAsia="Times New Roman" w:hAnsi="Arial" w:cs="Arial"/>
          <w:color w:val="333333"/>
          <w:szCs w:val="24"/>
        </w:rPr>
        <w:t xml:space="preserve"> processes the phalloidin precursor protein to release the linear heptapeptide of mature phalloidin (see Luo et al., 2009</w:t>
      </w:r>
      <w:r w:rsidR="00F308DA">
        <w:rPr>
          <w:rFonts w:ascii="Arial" w:eastAsia="Times New Roman" w:hAnsi="Arial" w:cs="Arial"/>
          <w:color w:val="333333"/>
          <w:szCs w:val="24"/>
        </w:rPr>
        <w:t>, 2014</w:t>
      </w:r>
      <w:r w:rsidRPr="003465AA">
        <w:rPr>
          <w:rFonts w:ascii="Arial" w:eastAsia="Times New Roman" w:hAnsi="Arial" w:cs="Arial"/>
          <w:color w:val="333333"/>
          <w:szCs w:val="24"/>
        </w:rPr>
        <w:t>).</w:t>
      </w:r>
    </w:p>
    <w:p w:rsidR="003465AA" w:rsidRPr="003465AA" w:rsidRDefault="003465AA" w:rsidP="003465AA">
      <w:pPr>
        <w:shd w:val="clear" w:color="auto" w:fill="FFFFFF"/>
        <w:spacing w:after="150" w:line="343" w:lineRule="atLeast"/>
        <w:rPr>
          <w:rFonts w:ascii="Arial" w:eastAsia="Times New Roman" w:hAnsi="Arial" w:cs="Arial"/>
          <w:color w:val="333333"/>
          <w:szCs w:val="24"/>
        </w:rPr>
      </w:pPr>
      <w:r w:rsidRPr="003465AA">
        <w:rPr>
          <w:rFonts w:ascii="Arial" w:eastAsia="Times New Roman" w:hAnsi="Arial" w:cs="Arial"/>
          <w:color w:val="333333"/>
          <w:szCs w:val="24"/>
        </w:rPr>
        <w:t>Secreted enzymes are the means by which fungi have become the dominant recyclers of carbon in all terrestial ecosystems. Building on our years of work on the role in plant pathogenesis of secreted cell-wall-degrading enzymes, such as pectinase, xylanase, and cellulase, we are now studying their biotechnological applications for biomass conversion. The focus of this work, under the auspices of the Great Lakes Bioenergy Research Center, is to identify the key enzymes for deconstruction of plant cell walls to fermentable sugars with the long-term goal of producing more efficient enzyme cocktails. Our principal strategy is to construct optimized synthetic mixtures using individual pure enzymes, statistical experimental design, and robotic liquid handling. Mixtures containing more than 18 components have been developed and shown to equal or exceed commercial “cellulase” preparations.</w:t>
      </w:r>
      <w:r w:rsidRPr="003465AA">
        <w:rPr>
          <w:rFonts w:ascii="Arial" w:eastAsia="Times New Roman" w:hAnsi="Arial" w:cs="Arial"/>
          <w:color w:val="333333"/>
          <w:szCs w:val="24"/>
        </w:rPr>
        <w:br/>
      </w:r>
      <w:r w:rsidRPr="003465AA">
        <w:rPr>
          <w:rFonts w:ascii="Arial" w:eastAsia="Times New Roman" w:hAnsi="Arial" w:cs="Arial"/>
          <w:color w:val="333333"/>
          <w:szCs w:val="24"/>
        </w:rPr>
        <w:br/>
      </w:r>
      <w:r w:rsidRPr="003465AA">
        <w:rPr>
          <w:rFonts w:ascii="Arial" w:eastAsia="Times New Roman" w:hAnsi="Arial" w:cs="Arial"/>
          <w:color w:val="333333"/>
          <w:szCs w:val="24"/>
        </w:rPr>
        <w:br/>
      </w:r>
      <w:r>
        <w:rPr>
          <w:rFonts w:ascii="Arial" w:eastAsia="Times New Roman" w:hAnsi="Arial" w:cs="Arial"/>
          <w:noProof/>
          <w:color w:val="333333"/>
          <w:szCs w:val="24"/>
        </w:rPr>
        <w:drawing>
          <wp:inline distT="0" distB="0" distL="0" distR="0">
            <wp:extent cx="2857500" cy="3581400"/>
            <wp:effectExtent l="0" t="0" r="0" b="0"/>
            <wp:docPr id="1" name="Picture 1" descr="https://prl.natsci.msu.edu/_prl/assets/File/Faculty/Walton/Walton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l.natsci.msu.edu/_prl/assets/File/Faculty/Walton/WaltonFi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581400"/>
                    </a:xfrm>
                    <a:prstGeom prst="rect">
                      <a:avLst/>
                    </a:prstGeom>
                    <a:noFill/>
                    <a:ln>
                      <a:noFill/>
                    </a:ln>
                  </pic:spPr>
                </pic:pic>
              </a:graphicData>
            </a:graphic>
          </wp:inline>
        </w:drawing>
      </w:r>
    </w:p>
    <w:p w:rsidR="003465AA" w:rsidRDefault="003465AA" w:rsidP="003465AA">
      <w:pPr>
        <w:shd w:val="clear" w:color="auto" w:fill="FFFFFF"/>
        <w:spacing w:after="150" w:line="343" w:lineRule="atLeast"/>
        <w:rPr>
          <w:rFonts w:ascii="Arial" w:hAnsi="Arial" w:cs="Arial"/>
          <w:color w:val="333333"/>
          <w:shd w:val="clear" w:color="auto" w:fill="FFFFFF"/>
        </w:rPr>
      </w:pPr>
      <w:r w:rsidRPr="003465AA">
        <w:rPr>
          <w:rFonts w:ascii="Arial" w:eastAsia="Times New Roman" w:hAnsi="Arial" w:cs="Arial"/>
          <w:b/>
          <w:bCs/>
          <w:color w:val="333333"/>
          <w:szCs w:val="24"/>
        </w:rPr>
        <w:t>Figure 2.</w:t>
      </w:r>
      <w:r w:rsidRPr="003465AA">
        <w:rPr>
          <w:rFonts w:ascii="Arial" w:eastAsia="Times New Roman" w:hAnsi="Arial" w:cs="Arial"/>
          <w:color w:val="333333"/>
          <w:szCs w:val="24"/>
        </w:rPr>
        <w:t>Optimized mixtures of eleven enzymes for release of Glc or Xyl from pretreated corn stover (</w:t>
      </w:r>
      <w:r>
        <w:rPr>
          <w:rFonts w:ascii="Arial" w:hAnsi="Arial" w:cs="Arial"/>
          <w:color w:val="333333"/>
          <w:shd w:val="clear" w:color="auto" w:fill="FFFFFF"/>
        </w:rPr>
        <w:t>Banerjee et al., 2010).</w:t>
      </w:r>
    </w:p>
    <w:p w:rsidR="00F308DA" w:rsidRDefault="00F308DA" w:rsidP="003465AA">
      <w:pPr>
        <w:shd w:val="clear" w:color="auto" w:fill="FFFFFF"/>
        <w:spacing w:after="150" w:line="343" w:lineRule="atLeast"/>
        <w:rPr>
          <w:rFonts w:ascii="Arial" w:hAnsi="Arial" w:cs="Arial"/>
          <w:color w:val="333333"/>
          <w:shd w:val="clear" w:color="auto" w:fill="FFFFFF"/>
        </w:rPr>
      </w:pPr>
    </w:p>
    <w:p w:rsidR="00F308DA" w:rsidRDefault="00F308DA" w:rsidP="003465AA">
      <w:pPr>
        <w:shd w:val="clear" w:color="auto" w:fill="FFFFFF"/>
        <w:spacing w:after="150" w:line="343" w:lineRule="atLeast"/>
        <w:rPr>
          <w:rFonts w:ascii="Arial" w:hAnsi="Arial" w:cs="Arial"/>
          <w:color w:val="333333"/>
          <w:shd w:val="clear" w:color="auto" w:fill="FFFFFF"/>
        </w:rPr>
      </w:pPr>
      <w:r>
        <w:rPr>
          <w:rFonts w:ascii="Arial" w:hAnsi="Arial" w:cs="Arial"/>
          <w:color w:val="333333"/>
          <w:shd w:val="clear" w:color="auto" w:fill="FFFFFF"/>
        </w:rPr>
        <w:t>References:</w:t>
      </w:r>
    </w:p>
    <w:p w:rsidR="00F308DA" w:rsidRDefault="00F308DA" w:rsidP="003465AA">
      <w:pPr>
        <w:shd w:val="clear" w:color="auto" w:fill="FFFFFF"/>
        <w:spacing w:after="150" w:line="343" w:lineRule="atLeast"/>
        <w:rPr>
          <w:rFonts w:ascii="Arial" w:hAnsi="Arial" w:cs="Arial"/>
          <w:color w:val="333333"/>
          <w:shd w:val="clear" w:color="auto" w:fill="FFFFFF"/>
        </w:rPr>
      </w:pPr>
    </w:p>
    <w:p w:rsidR="00F308DA" w:rsidRPr="00322819" w:rsidRDefault="00F308DA" w:rsidP="00F308DA">
      <w:pPr>
        <w:numPr>
          <w:ilvl w:val="0"/>
          <w:numId w:val="1"/>
        </w:numPr>
        <w:ind w:left="720" w:hanging="720"/>
        <w:rPr>
          <w:color w:val="000000" w:themeColor="text1"/>
        </w:rPr>
      </w:pPr>
      <w:r w:rsidRPr="00322819">
        <w:rPr>
          <w:bCs/>
          <w:color w:val="000000" w:themeColor="text1"/>
          <w:szCs w:val="24"/>
        </w:rPr>
        <w:t xml:space="preserve">Banerjee, G., S. Car, </w:t>
      </w:r>
      <w:r>
        <w:rPr>
          <w:bCs/>
          <w:color w:val="000000" w:themeColor="text1"/>
          <w:szCs w:val="24"/>
        </w:rPr>
        <w:t>J.S.</w:t>
      </w:r>
      <w:r w:rsidRPr="00322819">
        <w:rPr>
          <w:bCs/>
          <w:color w:val="000000" w:themeColor="text1"/>
          <w:szCs w:val="24"/>
        </w:rPr>
        <w:t xml:space="preserve"> Scott-Craig, M.S. Borrusch, and </w:t>
      </w:r>
      <w:r>
        <w:rPr>
          <w:bCs/>
          <w:color w:val="000000" w:themeColor="text1"/>
          <w:szCs w:val="24"/>
        </w:rPr>
        <w:t>J.D.</w:t>
      </w:r>
      <w:r w:rsidRPr="00322819">
        <w:rPr>
          <w:bCs/>
          <w:color w:val="000000" w:themeColor="text1"/>
          <w:szCs w:val="24"/>
        </w:rPr>
        <w:t xml:space="preserve"> Walton (2010) Rapid optimization of enzyme mixtures for deconstruction of diverse pretreatm</w:t>
      </w:r>
      <w:r w:rsidRPr="00322819">
        <w:rPr>
          <w:bCs/>
          <w:iCs/>
          <w:color w:val="000000" w:themeColor="text1"/>
          <w:szCs w:val="24"/>
        </w:rPr>
        <w:t>ent/biom</w:t>
      </w:r>
      <w:r w:rsidRPr="00322819">
        <w:rPr>
          <w:bCs/>
          <w:color w:val="000000" w:themeColor="text1"/>
          <w:szCs w:val="24"/>
        </w:rPr>
        <w:t>ass feedstock combinations. Biotechnol. Biofuels 3:22.</w:t>
      </w:r>
    </w:p>
    <w:p w:rsidR="00F308DA" w:rsidRDefault="00F308DA" w:rsidP="00F308DA">
      <w:pPr>
        <w:numPr>
          <w:ilvl w:val="0"/>
          <w:numId w:val="1"/>
        </w:numPr>
        <w:shd w:val="clear" w:color="auto" w:fill="FFFFFF"/>
        <w:autoSpaceDE w:val="0"/>
        <w:autoSpaceDN w:val="0"/>
        <w:adjustRightInd w:val="0"/>
        <w:spacing w:line="168" w:lineRule="atLeast"/>
        <w:ind w:left="720" w:hanging="720"/>
        <w:rPr>
          <w:bCs/>
          <w:color w:val="000000" w:themeColor="text1"/>
          <w:szCs w:val="24"/>
        </w:rPr>
      </w:pPr>
      <w:r w:rsidRPr="00322819">
        <w:rPr>
          <w:bCs/>
          <w:color w:val="000000" w:themeColor="text1"/>
          <w:szCs w:val="24"/>
        </w:rPr>
        <w:t>Luo, H., S.Y. Hong, R.M. Sgambelluri, E. Angelos, X. Li, and J.D. Walton (2014) Peptide macrocyclization catalyzed by a prolyl oligopeptidase involved in α-amanitin biosynthesis. Chem Biol. 21:1610-1617. PMID: 25484237.</w:t>
      </w:r>
    </w:p>
    <w:p w:rsidR="00F308DA" w:rsidRPr="00322819" w:rsidRDefault="00F308DA" w:rsidP="00F308DA">
      <w:pPr>
        <w:numPr>
          <w:ilvl w:val="0"/>
          <w:numId w:val="1"/>
        </w:numPr>
        <w:ind w:left="720" w:hanging="720"/>
        <w:rPr>
          <w:color w:val="000000" w:themeColor="text1"/>
        </w:rPr>
      </w:pPr>
      <w:r w:rsidRPr="00322819">
        <w:rPr>
          <w:color w:val="000000" w:themeColor="text1"/>
        </w:rPr>
        <w:t xml:space="preserve">Hallen, H.E., H. Luo, J.S. Scott-Craig, and J.D. Walton (2007) A gene family encoding the major toxins of lethal </w:t>
      </w:r>
      <w:r w:rsidRPr="00322819">
        <w:rPr>
          <w:i/>
          <w:color w:val="000000" w:themeColor="text1"/>
        </w:rPr>
        <w:t>Amanita</w:t>
      </w:r>
      <w:r w:rsidRPr="00322819">
        <w:rPr>
          <w:color w:val="000000" w:themeColor="text1"/>
        </w:rPr>
        <w:t xml:space="preserve"> mushrooms. Proc. Natl. Acad. Sci. U.S.A. 104:19097-19101.</w:t>
      </w:r>
    </w:p>
    <w:p w:rsidR="00F308DA" w:rsidRDefault="00F308DA" w:rsidP="00F308DA">
      <w:pPr>
        <w:numPr>
          <w:ilvl w:val="0"/>
          <w:numId w:val="1"/>
        </w:numPr>
        <w:shd w:val="clear" w:color="auto" w:fill="FFFFFF"/>
        <w:autoSpaceDE w:val="0"/>
        <w:autoSpaceDN w:val="0"/>
        <w:adjustRightInd w:val="0"/>
        <w:spacing w:line="168" w:lineRule="atLeast"/>
        <w:ind w:left="720" w:hanging="720"/>
        <w:rPr>
          <w:bCs/>
          <w:color w:val="000000" w:themeColor="text1"/>
          <w:szCs w:val="24"/>
        </w:rPr>
      </w:pPr>
      <w:r w:rsidRPr="00322819">
        <w:rPr>
          <w:bCs/>
          <w:color w:val="000000" w:themeColor="text1"/>
          <w:szCs w:val="24"/>
        </w:rPr>
        <w:t>.</w:t>
      </w:r>
    </w:p>
    <w:p w:rsidR="00F308DA" w:rsidRPr="003465AA" w:rsidRDefault="00F308DA" w:rsidP="003465AA">
      <w:pPr>
        <w:shd w:val="clear" w:color="auto" w:fill="FFFFFF"/>
        <w:spacing w:after="150" w:line="343" w:lineRule="atLeast"/>
        <w:rPr>
          <w:rFonts w:ascii="Arial" w:eastAsia="Times New Roman" w:hAnsi="Arial" w:cs="Arial"/>
          <w:color w:val="333333"/>
          <w:szCs w:val="24"/>
        </w:rPr>
      </w:pPr>
    </w:p>
    <w:p w:rsidR="00AF42A0" w:rsidRDefault="00AF42A0"/>
    <w:sectPr w:rsidR="00AF4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86E4F"/>
    <w:multiLevelType w:val="singleLevel"/>
    <w:tmpl w:val="236EA3A4"/>
    <w:lvl w:ilvl="0">
      <w:start w:val="1"/>
      <w:numFmt w:val="decimal"/>
      <w:lvlText w:val="(%1)"/>
      <w:legacy w:legacy="1" w:legacySpace="0" w:legacyIndent="576"/>
      <w:lvlJc w:val="left"/>
      <w:pPr>
        <w:ind w:left="576" w:hanging="576"/>
      </w:pPr>
    </w:lvl>
  </w:abstractNum>
  <w:num w:numId="1">
    <w:abstractNumId w:val="0"/>
    <w:lvlOverride w:ilvl="0">
      <w:lvl w:ilvl="0">
        <w:start w:val="55"/>
        <w:numFmt w:val="decimal"/>
        <w:lvlText w:val="(%1)"/>
        <w:legacy w:legacy="1" w:legacySpace="0" w:legacyIndent="576"/>
        <w:lvlJc w:val="left"/>
        <w:pPr>
          <w:ind w:left="576" w:hanging="576"/>
        </w:pPr>
        <w:rPr>
          <w:rFonts w:ascii="Times New Roman" w:hAnsi="Times New Roman" w:cs="Times New Roman" w:hint="default"/>
          <w:sz w:val="24"/>
          <w:szCs w:val="24"/>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5AA"/>
    <w:rsid w:val="001745DE"/>
    <w:rsid w:val="00333A09"/>
    <w:rsid w:val="003465AA"/>
    <w:rsid w:val="0058357E"/>
    <w:rsid w:val="006F0E88"/>
    <w:rsid w:val="009F4356"/>
    <w:rsid w:val="00A3682C"/>
    <w:rsid w:val="00AF42A0"/>
    <w:rsid w:val="00F308DA"/>
    <w:rsid w:val="00F8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65AA"/>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5AA"/>
    <w:rPr>
      <w:rFonts w:eastAsia="Times New Roman"/>
      <w:b/>
      <w:bCs/>
      <w:sz w:val="36"/>
      <w:szCs w:val="36"/>
    </w:rPr>
  </w:style>
  <w:style w:type="paragraph" w:styleId="NormalWeb">
    <w:name w:val="Normal (Web)"/>
    <w:basedOn w:val="Normal"/>
    <w:uiPriority w:val="99"/>
    <w:semiHidden/>
    <w:unhideWhenUsed/>
    <w:rsid w:val="003465AA"/>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3465AA"/>
  </w:style>
  <w:style w:type="character" w:styleId="Emphasis">
    <w:name w:val="Emphasis"/>
    <w:basedOn w:val="DefaultParagraphFont"/>
    <w:uiPriority w:val="20"/>
    <w:qFormat/>
    <w:rsid w:val="003465AA"/>
    <w:rPr>
      <w:i/>
      <w:iCs/>
    </w:rPr>
  </w:style>
  <w:style w:type="character" w:styleId="Strong">
    <w:name w:val="Strong"/>
    <w:basedOn w:val="DefaultParagraphFont"/>
    <w:uiPriority w:val="22"/>
    <w:qFormat/>
    <w:rsid w:val="003465AA"/>
    <w:rPr>
      <w:b/>
      <w:bCs/>
    </w:rPr>
  </w:style>
  <w:style w:type="paragraph" w:styleId="BalloonText">
    <w:name w:val="Balloon Text"/>
    <w:basedOn w:val="Normal"/>
    <w:link w:val="BalloonTextChar"/>
    <w:uiPriority w:val="99"/>
    <w:semiHidden/>
    <w:unhideWhenUsed/>
    <w:rsid w:val="003465AA"/>
    <w:rPr>
      <w:rFonts w:ascii="Tahoma" w:hAnsi="Tahoma" w:cs="Tahoma"/>
      <w:sz w:val="16"/>
      <w:szCs w:val="16"/>
    </w:rPr>
  </w:style>
  <w:style w:type="character" w:customStyle="1" w:styleId="BalloonTextChar">
    <w:name w:val="Balloon Text Char"/>
    <w:basedOn w:val="DefaultParagraphFont"/>
    <w:link w:val="BalloonText"/>
    <w:uiPriority w:val="99"/>
    <w:semiHidden/>
    <w:rsid w:val="003465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65AA"/>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5AA"/>
    <w:rPr>
      <w:rFonts w:eastAsia="Times New Roman"/>
      <w:b/>
      <w:bCs/>
      <w:sz w:val="36"/>
      <w:szCs w:val="36"/>
    </w:rPr>
  </w:style>
  <w:style w:type="paragraph" w:styleId="NormalWeb">
    <w:name w:val="Normal (Web)"/>
    <w:basedOn w:val="Normal"/>
    <w:uiPriority w:val="99"/>
    <w:semiHidden/>
    <w:unhideWhenUsed/>
    <w:rsid w:val="003465AA"/>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3465AA"/>
  </w:style>
  <w:style w:type="character" w:styleId="Emphasis">
    <w:name w:val="Emphasis"/>
    <w:basedOn w:val="DefaultParagraphFont"/>
    <w:uiPriority w:val="20"/>
    <w:qFormat/>
    <w:rsid w:val="003465AA"/>
    <w:rPr>
      <w:i/>
      <w:iCs/>
    </w:rPr>
  </w:style>
  <w:style w:type="character" w:styleId="Strong">
    <w:name w:val="Strong"/>
    <w:basedOn w:val="DefaultParagraphFont"/>
    <w:uiPriority w:val="22"/>
    <w:qFormat/>
    <w:rsid w:val="003465AA"/>
    <w:rPr>
      <w:b/>
      <w:bCs/>
    </w:rPr>
  </w:style>
  <w:style w:type="paragraph" w:styleId="BalloonText">
    <w:name w:val="Balloon Text"/>
    <w:basedOn w:val="Normal"/>
    <w:link w:val="BalloonTextChar"/>
    <w:uiPriority w:val="99"/>
    <w:semiHidden/>
    <w:unhideWhenUsed/>
    <w:rsid w:val="003465AA"/>
    <w:rPr>
      <w:rFonts w:ascii="Tahoma" w:hAnsi="Tahoma" w:cs="Tahoma"/>
      <w:sz w:val="16"/>
      <w:szCs w:val="16"/>
    </w:rPr>
  </w:style>
  <w:style w:type="character" w:customStyle="1" w:styleId="BalloonTextChar">
    <w:name w:val="Balloon Text Char"/>
    <w:basedOn w:val="DefaultParagraphFont"/>
    <w:link w:val="BalloonText"/>
    <w:uiPriority w:val="99"/>
    <w:semiHidden/>
    <w:rsid w:val="003465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23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518</Words>
  <Characters>2954</Characters>
  <Application>Microsoft Office Word</Application>
  <DocSecurity>0</DocSecurity>
  <Lines>24</Lines>
  <Paragraphs>6</Paragraphs>
  <ScaleCrop>false</ScaleCrop>
  <Company>College of Natural Science</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Walton</dc:creator>
  <cp:lastModifiedBy>Jonathan Walton</cp:lastModifiedBy>
  <cp:revision>5</cp:revision>
  <dcterms:created xsi:type="dcterms:W3CDTF">2016-07-05T18:09:00Z</dcterms:created>
  <dcterms:modified xsi:type="dcterms:W3CDTF">2016-07-05T18:20:00Z</dcterms:modified>
</cp:coreProperties>
</file>