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Coronary</w:t>
      </w:r>
      <w:r>
        <w:t xml:space="preserve"> </w:t>
      </w:r>
      <w:r>
        <w:t xml:space="preserve">Artery</w:t>
      </w:r>
      <w:r>
        <w:t xml:space="preserve"> </w:t>
      </w:r>
      <w:r>
        <w:t xml:space="preserve">Disease</w:t>
      </w:r>
      <w:r>
        <w:t xml:space="preserve"> </w:t>
      </w:r>
      <w:r>
        <w:t xml:space="preserve">Prevalence: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Nutrition</w:t>
      </w:r>
      <w:r>
        <w:t xml:space="preserve"> </w:t>
      </w:r>
      <w:r>
        <w:t xml:space="preserve">Examination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M. Talha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racial and ethnic disparities in coronary artery disease (CAD) prevalence and outcomes among young to middle-aged adults in the United States.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Health and Nutrition Examination Survey (NHANES) from 2005 to 2018.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Population</w:t>
      </w:r>
      <w:r>
        <w:t xml:space="preserve">: Adults aged 20-64 years with self-reported coronary artery disease.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Non-Hispanic White (NH White)</w:t>
      </w:r>
    </w:p>
    <w:p>
      <w:pPr>
        <w:numPr>
          <w:ilvl w:val="1"/>
          <w:numId w:val="1003"/>
        </w:numPr>
      </w:pPr>
      <w:r>
        <w:t xml:space="preserve">Non-Hispanic Black (NH Black)</w:t>
      </w:r>
    </w:p>
    <w:p>
      <w:pPr>
        <w:numPr>
          <w:ilvl w:val="1"/>
          <w:numId w:val="1003"/>
        </w:numPr>
      </w:pPr>
      <w:r>
        <w:t xml:space="preserve">Hispanic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Prevalence of Coronary Artery Disease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regression was used to assess the independent association of race/ethnicity with coronary artery disease (CAD) prevalence adjusted for:</w:t>
      </w:r>
    </w:p>
    <w:p>
      <w:pPr>
        <w:numPr>
          <w:ilvl w:val="1"/>
          <w:numId w:val="1005"/>
        </w:numPr>
      </w:pPr>
      <w:r>
        <w:t xml:space="preserve">Demographics: Age, sex, race/ethnicity, insurance coverage, and waist circumference.</w:t>
      </w:r>
    </w:p>
    <w:p>
      <w:pPr>
        <w:numPr>
          <w:ilvl w:val="1"/>
          <w:numId w:val="1005"/>
        </w:numPr>
      </w:pPr>
      <w:r>
        <w:t xml:space="preserve">Medical History: Hypertension, diabetes mellitus, hyperlipidemia, cancer, stroke, heart failure, chronic obstructive pulmonary disease (COPD), and arthritis.</w:t>
      </w:r>
    </w:p>
    <w:p>
      <w:pPr>
        <w:numPr>
          <w:ilvl w:val="1"/>
          <w:numId w:val="1005"/>
        </w:numPr>
      </w:pPr>
      <w:r>
        <w:t xml:space="preserve">Lifestyle Factors: Smoking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conducted using R Version 4.4.1, incorporating sampling weights, primary sampling units, and strata to ensure the accuracy and generalizability of the results.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3,873,857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745,783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647,973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5,267,612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Unweighted Sample, 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914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9th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9-11th grade (Includes 12th grade with no diploma)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graduate/GED or equivalent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 or AA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 or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 with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482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828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18.5–24.9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⩾30.0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651 (72%)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373 (36%)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(%); Mean (SE)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comorbidities-table"/>
    <w:p>
      <w:pPr>
        <w:pStyle w:val="Heading2"/>
      </w:pPr>
      <w:r>
        <w:t xml:space="preserve">Comorbidities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3,873,857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745,783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647,973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5,267,612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316/468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233/273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184/270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733/1011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systolic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diastolic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142/454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100/259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102/263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344/976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291/445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171/256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166/241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628/942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75/467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26/273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21/269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122/1009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87/468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57/272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32/267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176/1007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111/466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92/272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72/262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275/1000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153/468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63/271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40/268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256/1007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273/468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153/273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127/270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553/1011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246/446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148/255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133/258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527/959 (56%)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(unweighted)/N (unweighted) (%); Mean (SE)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prevalence-of-cad"/>
    <w:p>
      <w:pPr>
        <w:pStyle w:val="Heading3"/>
      </w:pPr>
      <w:r>
        <w:t xml:space="preserve">Prevalence of CAD:</w:t>
      </w:r>
    </w:p>
    <w:bookmarkStart w:id="24" w:name="unadjusted-ors"/>
    <w:p>
      <w:pPr>
        <w:pStyle w:val="Heading4"/>
      </w:pPr>
      <w:r>
        <w:t xml:space="preserve">Unadjusted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(0.85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(0.55 to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adjusted-ors"/>
    <w:p>
      <w:pPr>
        <w:pStyle w:val="Heading4"/>
      </w:pPr>
      <w:r>
        <w:t xml:space="preserve">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(0.59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(0.77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(1.04 to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(0.42 to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(0.75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(0.73 to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 (1.21 to 2.24)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 (1.86 to 3.22)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 (1.73 to 2.82)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 (1.31 to 2.48)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 (1.61 to 2.73)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(0.68 to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 (3.46 to 8.98)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 (12.8 to 29.0)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2.33 (1.71 to 3.17)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 (1.28 to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(0.84 to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urnals.sagepub.com/doi/10.1177/175394472412398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sagepub.com/doi/10.1177/175394472412398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Coronary Artery Disease Prevalence: insights from the National Health and Nutrition Examination Survey</dc:title>
  <dc:creator>Muhammad Saad</dc:creator>
  <cp:keywords/>
  <dcterms:created xsi:type="dcterms:W3CDTF">2024-09-28T13:53:03Z</dcterms:created>
  <dcterms:modified xsi:type="dcterms:W3CDTF">2024-09-28T13:53:03Z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