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Racial</w:t>
      </w:r>
      <w:r>
        <w:t xml:space="preserve"> </w:t>
      </w:r>
      <w:r>
        <w:t xml:space="preserve">Disparities</w:t>
      </w:r>
      <w:r>
        <w:t xml:space="preserve"> </w:t>
      </w:r>
      <w:r>
        <w:t xml:space="preserve">in</w:t>
      </w:r>
      <w:r>
        <w:t xml:space="preserve"> </w:t>
      </w:r>
      <w:r>
        <w:t xml:space="preserve">Stroke</w:t>
      </w:r>
      <w:r>
        <w:t xml:space="preserve"> </w:t>
      </w:r>
      <w:r>
        <w:t xml:space="preserve">Prevalence: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t xml:space="preserve">Nutrition</w:t>
      </w:r>
      <w:r>
        <w:t xml:space="preserve"> </w:t>
      </w:r>
      <w:r>
        <w:t xml:space="preserve">Examination</w:t>
      </w:r>
      <w:r>
        <w:t xml:space="preserve"> </w:t>
      </w:r>
      <w:r>
        <w:t xml:space="preserve">Survey</w:t>
      </w:r>
    </w:p>
    <w:p>
      <w:pPr>
        <w:pStyle w:val="Author"/>
      </w:pPr>
      <w:r>
        <w:t xml:space="preserve">Muhammad</w:t>
      </w:r>
      <w:r>
        <w:t xml:space="preserve"> </w:t>
      </w:r>
      <w:r>
        <w:t xml:space="preserve">Saad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Papers: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M. Talha et al. 2024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</w:t>
      </w:r>
      <w:r>
        <w:t xml:space="preserve">: To examine racial and ethnic disparities in stroke prevalence and outcomes among young to middle-aged adults in the United States.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</w:t>
      </w:r>
      <w:r>
        <w:t xml:space="preserve">: Cross-sectional analysis of the National Health and Nutrition Examination Survey (NHANES) from 2005 to 2018.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Population</w:t>
      </w:r>
      <w:r>
        <w:t xml:space="preserve">: Adults aged 20-64 years with self-reported cases of stroke.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Race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Non-Hispanic White (NH White)</w:t>
      </w:r>
    </w:p>
    <w:p>
      <w:pPr>
        <w:numPr>
          <w:ilvl w:val="1"/>
          <w:numId w:val="1003"/>
        </w:numPr>
      </w:pPr>
      <w:r>
        <w:t xml:space="preserve">Non-Hispanic Black (NH Black)</w:t>
      </w:r>
    </w:p>
    <w:p>
      <w:pPr>
        <w:numPr>
          <w:ilvl w:val="1"/>
          <w:numId w:val="1003"/>
        </w:numPr>
      </w:pPr>
      <w:r>
        <w:t xml:space="preserve">Hispanic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</w:t>
      </w:r>
      <w:r>
        <w:t xml:space="preserve">:</w:t>
      </w:r>
    </w:p>
    <w:p>
      <w:pPr>
        <w:pStyle w:val="Compact"/>
        <w:numPr>
          <w:ilvl w:val="1"/>
          <w:numId w:val="1004"/>
        </w:numPr>
      </w:pPr>
      <w:r>
        <w:t xml:space="preserve">Prevalence of Stroke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Analysis</w:t>
      </w:r>
      <w:r>
        <w:t xml:space="preserve">: Multiple logistic regression was used to assess the independent association of race/ethnicity with stroke prevalence adjusted for:</w:t>
      </w:r>
    </w:p>
    <w:p>
      <w:pPr>
        <w:numPr>
          <w:ilvl w:val="1"/>
          <w:numId w:val="1005"/>
        </w:numPr>
      </w:pPr>
      <w:r>
        <w:t xml:space="preserve">Demographics: Age, sex, race/ethnicity, insurance coverage, and waist circumference.</w:t>
      </w:r>
    </w:p>
    <w:p>
      <w:pPr>
        <w:numPr>
          <w:ilvl w:val="1"/>
          <w:numId w:val="1005"/>
        </w:numPr>
      </w:pPr>
      <w:r>
        <w:t xml:space="preserve">Medical History: Hypertension, diabetes mellitus, hyperlipidemia, cancer, coronary artery disease, heart failure, chronic obstructive pulmonary disease (COPD), and arthritis.</w:t>
      </w:r>
    </w:p>
    <w:p>
      <w:pPr>
        <w:numPr>
          <w:ilvl w:val="1"/>
          <w:numId w:val="1005"/>
        </w:numPr>
      </w:pPr>
      <w:r>
        <w:t xml:space="preserve">Lifestyle Factors: Smoking status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statistical analyses were conducted using R Version 4.4.1, incorporating sampling weights, primary sampling units, and strata to ensure the accuracy and generalizability of the results.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1,668,028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610,671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317,584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2,596,283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Unweighted Sample, 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225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570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(47 –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(48 –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(43 – 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(47 – 60)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groups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199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517 (89%)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(41%)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128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319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 level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Less than 9th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9-11th grade (Includes 12th grade with no diploma)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 graduate/GED or equivalent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 or AA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graduate or 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Living with 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(7.1%)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244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 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(8.5%)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(7.5%)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(7.0%)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458 (83%)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&lt;18.5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18.5–24.9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(18%)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25–29.9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⩾30.0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368 (73%)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(21%)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(42%)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 (%); Median (Q1 – Q3)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3" w:name="comorbidities-table"/>
    <w:p>
      <w:pPr>
        <w:pStyle w:val="Heading2"/>
      </w:pPr>
      <w:r>
        <w:t xml:space="preserve">Comorbidities Table: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White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1,668,028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Non-Hispanic Black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610,671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Hispanic adults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317,584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2,596,283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146/225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172/225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88/119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406/569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systolic blood pressure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(110 – 134)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(116 – 144)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(112 – 139)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 (111 – 137)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 diastolic blood pressure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(67 – 81)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(67 – 85)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(66 –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(67 – 81)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61/219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71/215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44/115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176/549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114/207 (53%)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115/208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61/105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290/520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42/225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28/225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15/120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85/570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disease, n/N (weighted 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87/224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57/224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32/118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176/566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37/224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28/223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14/119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79/566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77/225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37/224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12/120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126/569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131/225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112/225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57/120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300/570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109/208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119/215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59/109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287/532 (52%)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(unweighted)/N (unweighted) (%); Median (Q1 – Q3)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27" w:name="multivariable-logistic-regression"/>
    <w:p>
      <w:pPr>
        <w:pStyle w:val="Heading2"/>
      </w:pPr>
      <w:r>
        <w:t xml:space="preserve">Multivariable Logistic Regression:</w:t>
      </w:r>
    </w:p>
    <w:bookmarkStart w:id="26" w:name="prevalence-of-stroke"/>
    <w:p>
      <w:pPr>
        <w:pStyle w:val="Heading3"/>
      </w:pPr>
      <w:r>
        <w:t xml:space="preserve">Prevalence of Stroke:</w:t>
      </w:r>
    </w:p>
    <w:bookmarkStart w:id="24" w:name="unadjusted-ors"/>
    <w:p>
      <w:pPr>
        <w:pStyle w:val="Heading4"/>
      </w:pPr>
      <w:r>
        <w:t xml:space="preserve">Unadjusted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1.96 (1.62 to 2.37)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0.77 (0.59 to 1.01)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0.058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4"/>
    <w:bookmarkStart w:id="25" w:name="adjusted-ors"/>
    <w:p>
      <w:pPr>
        <w:pStyle w:val="Heading4"/>
      </w:pPr>
      <w:r>
        <w:t xml:space="preserve">Adjusted ORs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rFonts w:ascii="Calibri" w:hAnsi="Calibri"/>
                <w:sz w:val="20"/>
              </w:rPr>
              <w:t xml:space="preserve"> </w:t>
            </w:r>
            <w:r>
              <w:rPr>
                <w:b w:val="true"/>
                <w:rFonts w:ascii="Calibri" w:hAnsi="Calibri"/>
                <w:sz w:val="20"/>
              </w:rPr>
              <w:t xml:space="preserve">(95% CI)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Race/Ethnicity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White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Non-Hispanic Black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1.99 (1.56 to 2.53)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 adults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 (0.90 to 1.84)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 (1.02 to 1.05)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Women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1.44 (1.09 to 1.91)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 (0.65 to 1.14)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Waist Circumference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 (0.66 to 1.46)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 (0.66 to 1.33)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Current daily/nondaily smoker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2.04 (1.51 to 2.77)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2.45 (1.75 to 3.43)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 Mellitus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1.50 (1.07 to 2.12)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 (0.74 to 1.35)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1.55 (1.09 to 2.20)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Coronary Artery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5.41 (3.36 to 8.72)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1.94 (1.21 to 3.12)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COPD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 (1.10 to 2.25)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Arthritis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1.48 (1.07 to 2.05)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1.04 (0.72 to 1.52)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0.82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</w:tbl>
    <w:bookmarkEnd w:id="25"/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ournals.sagepub.com/doi/10.1177/175394472412398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ournals.sagepub.com/doi/10.1177/175394472412398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Racial Disparities in Stroke Prevalence: insights from the National Health and Nutrition Examination Survey</dc:title>
  <dc:creator>Muhammad Saad</dc:creator>
  <cp:keywords/>
  <dcterms:created xsi:type="dcterms:W3CDTF">2024-09-25T12:41:05Z</dcterms:created>
  <dcterms:modified xsi:type="dcterms:W3CDTF">2024-09-25T12:41:05Z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