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In-Hospital Outcomes and Complications of Leadless Versus Traditional Transvenous Pacemaker Implantation in Patients with Chronic Kidney Disease</w:t>
      </w:r>
    </w:p>
    <w:p>
      <w:pPr>
        <w:pStyle w:val="Subtitle"/>
      </w:pPr>
      <w:r>
        <w:t xml:space="preserve">Analysis for RCOP NIS Cardio5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Aymen Ahmed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Alhuarrat et al. 2023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Khan et al. 2024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compare in-hospital outcomes and complications between Leadless Pacemakers and Traditional Transvenous (TV-VVI) Pacemakers among patients with Chronic Kidney Disease (CKD) undergoing pacemaker implantation in U.S. hospitals from 2018 to 2020, adjusting for demographic, socioeconomic, clinical (including CKD stage), and hospital-related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patients 18 years or older with a diagnosis of Chronic Kidney Disease (CKD), identified using ICD-10 diagnosis codes. From this cohort, patients who underwent implantation of either a Leadless Pacemaker or a Traditional Transvenous (TV-VVI) Pacemaker, identified using ICD-10-PCS procedure codes, were included. Patients were then categorized into two groups based on the type of pacemaker received: Leadless Pacemaker or Traditional Transvenous Pacemaker.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In-hospital Mortality</w:t>
      </w:r>
    </w:p>
    <w:p>
      <w:pPr>
        <w:numPr>
          <w:ilvl w:val="1"/>
          <w:numId w:val="1003"/>
        </w:numPr>
      </w:pPr>
      <w:r>
        <w:t xml:space="preserve">Length of Stay (days)</w:t>
      </w:r>
    </w:p>
    <w:p>
      <w:pPr>
        <w:numPr>
          <w:ilvl w:val="1"/>
          <w:numId w:val="1003"/>
        </w:numPr>
      </w:pPr>
      <w:r>
        <w:t xml:space="preserve">Inflation-adjusted Total Charge ($) [adjusted to 2020 dollars, using CPI data by the U.S. Bureau of Labor Statistics]</w:t>
      </w:r>
    </w:p>
    <w:p>
      <w:pPr>
        <w:numPr>
          <w:ilvl w:val="1"/>
          <w:numId w:val="1003"/>
        </w:numPr>
      </w:pPr>
      <w:r>
        <w:t xml:space="preserve">Acute Kidney Injury (AKI)</w:t>
      </w:r>
    </w:p>
    <w:p>
      <w:pPr>
        <w:numPr>
          <w:ilvl w:val="1"/>
          <w:numId w:val="1003"/>
        </w:numPr>
      </w:pPr>
      <w:r>
        <w:t xml:space="preserve">Any Complication (including vascular, pericardial, pneumothorax, infectious, or device-related complications)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evaluate the association between pacemaker type (Leadless vs. Traditional Transvenous) and inpatient outcomes within the CKD patient cohort: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Continuous variables: Design-based Kruskal-Wallis test.</w:t>
      </w:r>
    </w:p>
    <w:p>
      <w:pPr>
        <w:numPr>
          <w:ilvl w:val="2"/>
          <w:numId w:val="1005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Logistic regression for binary outcomes (e.g., in-hospital mortality, AKI).</w:t>
      </w:r>
    </w:p>
    <w:p>
      <w:pPr>
        <w:numPr>
          <w:ilvl w:val="2"/>
          <w:numId w:val="1006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Demographics and Socioeconomic Factors</w:t>
      </w:r>
      <w:r>
        <w:t xml:space="preserve">: Age, Sex, Race, Residential income, Expected primary payer.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Charlson comorbidity index, Admission Type, Chronic Kidney Disease Stage, Hypertension, Diabetes Mellitus, Obesity, Chronic Pulmonary Disease, Liver Disease, Peripheral Vascular Disease, Congestive Heart Failure, Myocardial Infarction.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Hospital bedsize, Hospital location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3"/>
    <w:bookmarkStart w:id="24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126,015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TV-VVI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115,520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Leadless Pacemaker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10,495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54,970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50,695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71,040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64,825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6,215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92,175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85,060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9,960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9,005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33,165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31,775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26,900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24,640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10,140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108,720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99,645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20,375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46,020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42,095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70,740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63,815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32,780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98,130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89,145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8,985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 (1.64)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4.65 (1.63)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4.95 (1.69)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109,170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100,000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9,170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6,170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63,745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59,820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14,720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13,620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119,280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109,440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9,840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65,895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60,295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6,085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5,275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75,085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67,900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7,185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26,150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126,015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TV-VVI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115,520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Leadless Pacemaker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10,495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107,480 (67,447, 186,609)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102,977 (65,598, 178,680)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159,100 (105,158, 269,140)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58,990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54,360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4,630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12,390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10,420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Vascular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Pericardial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Pneumothorax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Infectious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Device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7,000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Start w:id="29" w:name="multivariable-logistic-regression"/>
    <w:p>
      <w:pPr>
        <w:pStyle w:val="Heading2"/>
      </w:pPr>
      <w:r>
        <w:t xml:space="preserve">Multivariable Logistic Regression:</w:t>
      </w:r>
    </w:p>
    <w:bookmarkStart w:id="26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TV-VVI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Leadless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181,951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105,445, 313,966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141,280, 251,785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322,192, 605,730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452,828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231,268, 886,650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420,363, 802,996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2.98, 5.12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TV-VVI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Leadless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1.87, 2.27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1.58, 3.66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2.58, 6.04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2.21, 6.13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any-complication"/>
    <w:p>
      <w:pPr>
        <w:pStyle w:val="Heading3"/>
      </w:pPr>
      <w:r>
        <w:t xml:space="preserve">Any Complication: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TV-VVI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Leadless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bookmarkStart w:id="32" w:name="multivariable-linear-regression"/>
    <w:p>
      <w:pPr>
        <w:pStyle w:val="Heading2"/>
      </w:pPr>
      <w:r>
        <w:t xml:space="preserve">Multivariable Linear Regression:</w:t>
      </w:r>
    </w:p>
    <w:bookmarkStart w:id="30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TV-VVI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Leadless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-0.98, 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0"/>
    <w:bookmarkStart w:id="31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TV-VVI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Leadless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44,399, 72,523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-2,802, -1,867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-1,212, 9,190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3,473, 55,333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-3,886, 15,104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17,183, 42,495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-43,751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-79,645, -7,858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32,603, 90,341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-7,102, 8,325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-5,597, 9,887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-2,413, 15,458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-24,343, 25,684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-19,677, 8,215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-22,181, 28,590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20,630, 38,902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24,065, 39,886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52,654, 83,275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-33,618, -16,048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-37,720, -19,240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32,764, 51,872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50,000, 66,695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2,417, 8,683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-81,702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-91,781, -71,624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-46,538, 19,483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-45,781, 22,017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-33,707, 34,724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CKD, Stage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-40,218, 46,526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16,947, 89,542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-40,899, -5,057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-30,342, -13,841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-11,561, 2,461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-10,994, 2,355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36,875, 81,446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-3,120, 12,985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37,086, 49,982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8,490, 24,657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cademic.oup.com/europace/article/25/9/euad269/7274340" TargetMode="External" /><Relationship Type="http://schemas.openxmlformats.org/officeDocument/2006/relationships/hyperlink" Id="rId22" Target="https://doi.org/10.1097/MCA.0000000000001479" TargetMode="External" /><Relationship Type="http://schemas.openxmlformats.org/officeDocument/2006/relationships/hyperlink" Id="rId21" Target="https://www.heartrhythmjournal.com/article/S1547-5271(24)02311-7/fullte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cademic.oup.com/europace/article/25/9/euad269/7274340" TargetMode="External" /><Relationship Type="http://schemas.openxmlformats.org/officeDocument/2006/relationships/hyperlink" Id="rId22" Target="https://doi.org/10.1097/MCA.0000000000001479" TargetMode="External" /><Relationship Type="http://schemas.openxmlformats.org/officeDocument/2006/relationships/hyperlink" Id="rId21" Target="https://www.heartrhythmjournal.com/article/S1547-5271(24)02311-7/fullte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In-Hospital Outcomes and Complications of Leadless Versus Traditional Transvenous Pacemaker Implantation in Patients with Chronic Kidney Disease</dc:title>
  <dc:creator>Muhammad Saad; Aymen Ahmed</dc:creator>
  <cp:keywords/>
  <dcterms:created xsi:type="dcterms:W3CDTF">2025-05-11T13:12:38Z</dcterms:created>
  <dcterms:modified xsi:type="dcterms:W3CDTF">2025-05-11T13:12:38Z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Cardio5</vt:lpwstr>
  </property>
  <property fmtid="{D5CDD505-2E9C-101B-9397-08002B2CF9AE}" pid="12" name="toc-title">
    <vt:lpwstr>Table of contents</vt:lpwstr>
  </property>
</Properties>
</file>