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Chronic Kidney Disease on In-Hospital Outcomes and Resource Utilization Among Patients Hospitalized for AMI</w:t>
      </w:r>
    </w:p>
    <w:p>
      <w:pPr>
        <w:pStyle w:val="Subtitle"/>
      </w:pPr>
      <w:r>
        <w:t xml:space="preserve">Analysis for RCOP NIS Cardio6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Aimen Shafiq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Smilowitz et al. 2017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the association between chronic kidney disease (CKD) and inpatient outcomes for acute myocardial infarction (AMI) in U.S. hospitals from 2018 to 2020, adjusting for demographic, socioeconomic,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AMI, identified using ICD-10 diagnosis codes. Patients were categorized into two groups: those with CKD and those without.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(days)</w:t>
      </w:r>
    </w:p>
    <w:p>
      <w:pPr>
        <w:numPr>
          <w:ilvl w:val="1"/>
          <w:numId w:val="1003"/>
        </w:numPr>
      </w:pPr>
      <w:r>
        <w:t xml:space="preserve">Inflation-adjusted Total Charge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Coronary Artery Bypass Grafting (CABG) Procedure</w:t>
      </w:r>
    </w:p>
    <w:p>
      <w:pPr>
        <w:numPr>
          <w:ilvl w:val="1"/>
          <w:numId w:val="1003"/>
        </w:numPr>
      </w:pPr>
      <w:r>
        <w:t xml:space="preserve">Percutaneous Coronary Intervention (PCI) Procedure</w:t>
      </w:r>
    </w:p>
    <w:p>
      <w:pPr>
        <w:numPr>
          <w:ilvl w:val="1"/>
          <w:numId w:val="1003"/>
        </w:numPr>
      </w:pPr>
      <w:r>
        <w:t xml:space="preserve">Acute Kidney Injury (AKI)</w:t>
      </w:r>
    </w:p>
    <w:p>
      <w:pPr>
        <w:numPr>
          <w:ilvl w:val="1"/>
          <w:numId w:val="1003"/>
        </w:numPr>
      </w:pPr>
      <w:r>
        <w:t xml:space="preserve">Ischemic Stroke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 between race and outcomes: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Continuous variables: Design-based Kruskal-Wallis test.</w:t>
      </w:r>
    </w:p>
    <w:p>
      <w:pPr>
        <w:numPr>
          <w:ilvl w:val="2"/>
          <w:numId w:val="1005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Logistic regression for binary outcomes (e.g., in-hospital mortality, AKI, ischemic stroke).</w:t>
      </w:r>
    </w:p>
    <w:p>
      <w:pPr>
        <w:numPr>
          <w:ilvl w:val="2"/>
          <w:numId w:val="1006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Demographics and Socioeconomic Factors</w:t>
      </w:r>
      <w:r>
        <w:t xml:space="preserve">: Age, Sex, Race, Residential income, Expected primary payer.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Hypertension, Obesity, Diabetes Mellitus, Chronic Pulmonary Disease, Liver Disease, Peripheral Vascular Disease, Hyperlipidemia, Previous Heart Failure, Atrial Fibrillation, Smoking, Previous Stroke/TIA, Previous PCI, Previous CABG.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Hospital bedsize, Hospital location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1,894,160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1,433,035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702,145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176,080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1,191,940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906,910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285,030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1,344,600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1,040,180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304,420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52,155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16,500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210,205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139,850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165,065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121,320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43,745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11,255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44,010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571,040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425,545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145,495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515,875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390,375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125,500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338,645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260,000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182,120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150,500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31,620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1,068,990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718,720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350,270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156,150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20,455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484,075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425,780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423,055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314,560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108,495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321,135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246,235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74,900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785,340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600,715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184,625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364,630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93,105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953,780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721,050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232,730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574,065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435,025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366,315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276,960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89,355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143,995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109,840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34,155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283,550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88,025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1,378,590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1,039,645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338,945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2.36 (1.39)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5.72 (1.56)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205,455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205,455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1,555,090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1,115,635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439,455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404,395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302,975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101,420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780,095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497,495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282,600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410,215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289,505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55,145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23,695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213,740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135,125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1,298,935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968,565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330,370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268,755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160,705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108,050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381,615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379,510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328,740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188,515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118,210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330,160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230,405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182,995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111,870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71,125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1,894,160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1,433,035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55,985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32,305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72,340 (40,656, 126,134)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72,552 (41,977, 123,296)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71,592 (36,558, 136,576)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168,650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129,120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39,530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931,570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764,595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166,975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392,175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181,175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211,000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23,795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16,735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0" w:name="multivariable-logistic-regression"/>
    <w:p>
      <w:pPr>
        <w:pStyle w:val="Heading2"/>
      </w:pPr>
      <w:r>
        <w:t xml:space="preserve">Multivariable Logistic Regression:</w:t>
      </w:r>
    </w:p>
    <w:bookmarkStart w:id="25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5.31, 5.89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cabg"/>
    <w:p>
      <w:pPr>
        <w:pStyle w:val="Heading3"/>
      </w:pPr>
      <w:r>
        <w:t xml:space="preserve">CABG: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3.20, 4.55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pci"/>
    <w:p>
      <w:pPr>
        <w:pStyle w:val="Heading3"/>
      </w:pPr>
      <w:r>
        <w:t xml:space="preserve">PCI: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ischemic-stroke"/>
    <w:p>
      <w:pPr>
        <w:pStyle w:val="Heading3"/>
      </w:pPr>
      <w:r>
        <w:t xml:space="preserve">Ischemic Stroke: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bookmarkStart w:id="33" w:name="multivariable-linear-regression"/>
    <w:p>
      <w:pPr>
        <w:pStyle w:val="Heading2"/>
      </w:pPr>
      <w:r>
        <w:t xml:space="preserve">Multivariable Linear Regression:</w:t>
      </w:r>
    </w:p>
    <w:bookmarkStart w:id="31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Start w:id="32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-16,654, -12,195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-620, -514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14,356, 16,282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11,378, 22,932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-11,831, -7,241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11,385, 18,660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-16,160, -3,070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15,966, 27,138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-2,171, 1,801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-3,487, 1,263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-779, 5,779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-654, 3,733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-1,936, 3,296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-1,966, 2,535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5,334, 14,682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19,288, 25,721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32,601, 42,948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-18,165, -10,147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-32,293, -24,564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30,423, 39,089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43,596, 51,324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8,133, 9,545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160, 3,047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4,403, 7,189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-715, 2,040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-6,107, -3,302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75,203, 86,564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-3,100, 734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-3,375, -645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-12,330, -9,260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28,879, 32,257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-10,151, -7,485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-13,541, -10,850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-16,115, -13,644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-29,629, -26,750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ijcard.2016.11.026" TargetMode="External" /><Relationship Type="http://schemas.openxmlformats.org/officeDocument/2006/relationships/hyperlink" Id="rId21" Target="https://doi.org/10.1097/MCA.00000000000014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ijcard.2016.11.026" TargetMode="External" /><Relationship Type="http://schemas.openxmlformats.org/officeDocument/2006/relationships/hyperlink" Id="rId21" Target="https://doi.org/10.1097/MCA.0000000000001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Chronic Kidney Disease on In-Hospital Outcomes and Resource Utilization Among Patients Hospitalized for AMI</dc:title>
  <dc:creator>Muhammad Saad; Aimen Shafiq</dc:creator>
  <cp:keywords/>
  <dcterms:created xsi:type="dcterms:W3CDTF">2025-05-03T21:14:58Z</dcterms:created>
  <dcterms:modified xsi:type="dcterms:W3CDTF">2025-05-03T21:14:58Z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Cardio6</vt:lpwstr>
  </property>
  <property fmtid="{D5CDD505-2E9C-101B-9397-08002B2CF9AE}" pid="12" name="toc-title">
    <vt:lpwstr>Table of contents</vt:lpwstr>
  </property>
</Properties>
</file>