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 of Chronic Kidney Disease on In-Hospital Outcomes and Resource Utilization Among Patients Hospitalized for AMI</w:t>
      </w:r>
    </w:p>
    <w:p>
      <w:pPr>
        <w:pStyle w:val="Subtitle"/>
      </w:pPr>
      <w:r>
        <w:t xml:space="preserve">Analysis for RCOP NIS Cardio6</w:t>
      </w:r>
    </w:p>
    <w:p>
      <w:pPr>
        <w:pStyle w:val="Author"/>
      </w:pPr>
      <w:r>
        <w:t xml:space="preserve">Muhammad Saad</w:t>
      </w:r>
    </w:p>
    <w:p>
      <w:pPr>
        <w:pStyle w:val="Author"/>
      </w:pPr>
      <w:r>
        <w:t xml:space="preserve">Aimen Shafiq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Smilowitz et al. 2017</w:t>
        </w:r>
      </w:hyperlink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Salman et al. 2025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To examine the association between chronic kidney disease (CKD) and inpatient outcomes for acute myocardial infarction (AMI) in U.S. hospitals from 2018 to 2020, adjusting for demographic, socioeconomic, clinical, and hospital-related factors.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using the National Inpatient Sample (NIS) database from 2018 to 2020, a representative sample of all-payer inpatient hospitalizations in the U.S.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for AMI, identified using ICD-10 diagnosis codes. Patients were categorized into two groups: those with CKD and those without.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3"/>
        </w:numPr>
      </w:pPr>
      <w:r>
        <w:t xml:space="preserve">In-hospital Mortality</w:t>
      </w:r>
    </w:p>
    <w:p>
      <w:pPr>
        <w:numPr>
          <w:ilvl w:val="1"/>
          <w:numId w:val="1003"/>
        </w:numPr>
      </w:pPr>
      <w:r>
        <w:t xml:space="preserve">Length of Stay (days)</w:t>
      </w:r>
    </w:p>
    <w:p>
      <w:pPr>
        <w:numPr>
          <w:ilvl w:val="1"/>
          <w:numId w:val="1003"/>
        </w:numPr>
      </w:pPr>
      <w:r>
        <w:t xml:space="preserve">Inflation-adjusted Total Charge ($) [adjusted to 2020 dollars, using CPI data by the U.S. Bureau of Labor Statistics]</w:t>
      </w:r>
    </w:p>
    <w:p>
      <w:pPr>
        <w:numPr>
          <w:ilvl w:val="1"/>
          <w:numId w:val="1003"/>
        </w:numPr>
      </w:pPr>
      <w:r>
        <w:t xml:space="preserve">Coronary Artery Bypass Grafting (CABG) Procedure</w:t>
      </w:r>
    </w:p>
    <w:p>
      <w:pPr>
        <w:numPr>
          <w:ilvl w:val="1"/>
          <w:numId w:val="1003"/>
        </w:numPr>
      </w:pPr>
      <w:r>
        <w:t xml:space="preserve">Percutaneous Coronary Intervention (PCI) Procedure</w:t>
      </w:r>
    </w:p>
    <w:p>
      <w:pPr>
        <w:numPr>
          <w:ilvl w:val="1"/>
          <w:numId w:val="1003"/>
        </w:numPr>
      </w:pPr>
      <w:r>
        <w:t xml:space="preserve">Acute Kidney Injury (AKI)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Univariable and multivariable analyses were conducted to evaluate the association between race and outcomes: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5"/>
        </w:numPr>
      </w:pPr>
      <w:r>
        <w:t xml:space="preserve">Continuous variables: Design-based Kruskal-Wallis test.</w:t>
      </w:r>
    </w:p>
    <w:p>
      <w:pPr>
        <w:numPr>
          <w:ilvl w:val="2"/>
          <w:numId w:val="1005"/>
        </w:numPr>
      </w:pPr>
      <w:r>
        <w:t xml:space="preserve">Categorical variables: Pearson’s X² test with Rao &amp; Scott adjustment to account for survey design.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6"/>
        </w:numPr>
      </w:pPr>
      <w:r>
        <w:t xml:space="preserve">Logistic regression for binary outcomes (e.g., in-hospital mortality, AKI).</w:t>
      </w:r>
    </w:p>
    <w:p>
      <w:pPr>
        <w:numPr>
          <w:ilvl w:val="2"/>
          <w:numId w:val="1006"/>
        </w:numPr>
      </w:pPr>
      <w:r>
        <w:t xml:space="preserve">Linear regression for continuous outcomes (e.g., length of stay, total charges).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Adjustments:</w:t>
      </w:r>
      <w:r>
        <w:t xml:space="preserve"> </w:t>
      </w:r>
      <w:r>
        <w:t xml:space="preserve">Models controlled for the following covariates: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Demographics and Socioeconomic Factors</w:t>
      </w:r>
      <w:r>
        <w:t xml:space="preserve">: Age, Sex, Race, Residential income, Expected primary payer.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Clinical Factors:</w:t>
      </w:r>
      <w:r>
        <w:t xml:space="preserve"> </w:t>
      </w:r>
      <w:r>
        <w:t xml:space="preserve">Charlson comorbidity index, Hypertension, Obesity, Diabetes Mellitus, Chronic Pulmonary Disease, Liver Disease, Peripheral Vascular Disease, Hyperlipidemia, Previous Heart Failure, Atrial Fibrillation, Smoking, Previous Stroke/TIA, Previous PCI, Previous CABG.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Hospital-Level Factors:</w:t>
      </w:r>
      <w:r>
        <w:t xml:space="preserve"> </w:t>
      </w:r>
      <w:r>
        <w:t xml:space="preserve">Hospital region, Hospital bedsize, Hospital location and teaching status.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2"/>
    <w:bookmarkStart w:id="23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1,894,160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AMI without CKD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1,433,035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AMI with CKD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461,125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702,145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526,065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176,080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1,191,940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906,910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285,030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1,344,600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1,040,180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304,420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52,155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35,655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16,500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210,205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139,850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70,355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165,065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121,320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43,745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11,255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8,225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3,030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56,120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44,010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12,110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571,040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425,545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145,495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515,875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390,375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125,500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435,135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331,000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104,135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338,645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260,000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78,645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182,120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150,500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31,620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1,068,990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718,720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350,270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156,150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135,695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20,455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484,075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425,780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58,295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423,055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314,560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108,495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321,135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246,235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74,900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785,340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600,715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184,625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364,630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271,525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93,105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953,780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721,050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232,730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574,065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435,025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139,040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366,315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276,960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89,355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143,995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109,840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34,155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371,575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283,550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88,025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1,378,590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1,039,645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338,945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3.18 (2.03)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2.36 (1.39)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5.72 (1.56)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 Stage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2,360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2,360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25,125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25,125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205,455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205,455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52,400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52,400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6,325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6,325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ESRD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81,195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81,195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1,555,090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1,115,635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439,455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404,395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302,975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101,420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780,095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497,495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282,600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410,215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289,505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120,710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78,840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55,145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23,695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213,740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135,125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78,615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1,298,935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968,565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330,370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268,755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160,705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108,050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381,615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245,950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135,665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379,510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328,740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50,770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188,515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118,210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70,305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330,160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230,405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99,755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182,995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111,870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71,125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4" w:name="univariable-analysis"/>
    <w:p>
      <w:pPr>
        <w:pStyle w:val="Heading2"/>
      </w:pPr>
      <w:r>
        <w:t xml:space="preserve">Univariable Analysis: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1,894,160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AMI without CKD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1,433,035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AMI with CKD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461,125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88,290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55,985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32,305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(2.0,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72,340 (40,656, 126,134)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72,552 (41,977, 123,296)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71,592 (36,558, 136,576)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168,650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129,120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39,530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931,570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764,595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166,975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392,175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181,175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211,000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Start w:id="29" w:name="multivariable-logistic-regression"/>
    <w:p>
      <w:pPr>
        <w:pStyle w:val="Heading2"/>
      </w:pPr>
      <w:r>
        <w:t xml:space="preserve">Multivariable Logistic Regression:</w:t>
      </w:r>
    </w:p>
    <w:bookmarkStart w:id="25" w:name="in-hospital-mortality"/>
    <w:p>
      <w:pPr>
        <w:pStyle w:val="Heading3"/>
      </w:pPr>
      <w:r>
        <w:t xml:space="preserve">In-hospital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5.31, 5.89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Start w:id="26" w:name="cabg"/>
    <w:p>
      <w:pPr>
        <w:pStyle w:val="Heading3"/>
      </w:pPr>
      <w:r>
        <w:t xml:space="preserve">CABG: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1.72, 1.81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1.70, 2.50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3.20, 4.55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2.59, 2.75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Start w:id="27" w:name="pci"/>
    <w:p>
      <w:pPr>
        <w:pStyle w:val="Heading3"/>
      </w:pPr>
      <w:r>
        <w:t xml:space="preserve">PCI: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Start w:id="28" w:name="acute-kidney-injury"/>
    <w:p>
      <w:pPr>
        <w:pStyle w:val="Heading3"/>
      </w:pPr>
      <w:r>
        <w:t xml:space="preserve">Acute Kidney Injury: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2.91, 3.10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3.01, 3.28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End w:id="29"/>
    <w:bookmarkStart w:id="32" w:name="multivariable-linear-regression"/>
    <w:p>
      <w:pPr>
        <w:pStyle w:val="Heading2"/>
      </w:pPr>
      <w:r>
        <w:t xml:space="preserve">Multivariable Linear Regression:</w:t>
      </w:r>
    </w:p>
    <w:bookmarkStart w:id="30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-0.77, -0.61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-0.05, 0.41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-0.23, 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-0.46, 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-0.54, 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-0.79, -0.65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-0.48, 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-0.47, 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-0.27, 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-0.37, 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-0.31, 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-0.68, 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0"/>
    <w:bookmarkStart w:id="31" w:name="inflation-adjusted-total-charge"/>
    <w:p>
      <w:pPr>
        <w:pStyle w:val="Heading3"/>
      </w:pPr>
      <w:r>
        <w:t xml:space="preserve">Inflation-adjusted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without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AMI with 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-16,654, -12,195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-620, -514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14,356, 16,282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11,378, 22,932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-11,831, -7,241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11,385, 18,660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-16,160, -3,070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15,966, 27,138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-2,171, 1,801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-3,487, 1,263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-779, 5,779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-654, 3,733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-1,936, 3,296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-1,966, 2,535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5,334, 14,682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19,288, 25,721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32,601, 42,948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-18,165, -10,147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-32,293, -24,564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30,423, 39,089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43,596, 51,324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8,133, 9,545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160, 3,047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4,403, 7,189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-715, 2,040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-6,107, -3,302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75,203, 86,564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-3,100, 734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-3,375, -645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-12,330, -9,260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28,879, 32,257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-10,151, -7,485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-13,541, -10,850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-16,115, -13,644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-29,629, -26,750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16/j.ijcard.2016.11.026" TargetMode="External" /><Relationship Type="http://schemas.openxmlformats.org/officeDocument/2006/relationships/hyperlink" Id="rId21" Target="https://doi.org/10.1097/MCA.000000000000147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16/j.ijcard.2016.11.026" TargetMode="External" /><Relationship Type="http://schemas.openxmlformats.org/officeDocument/2006/relationships/hyperlink" Id="rId21" Target="https://doi.org/10.1097/MCA.00000000000014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Chronic Kidney Disease on In-Hospital Outcomes and Resource Utilization Among Patients Hospitalized for AMI</dc:title>
  <dc:creator>Muhammad Saad; Aimen Shafiq</dc:creator>
  <cp:keywords/>
  <dcterms:created xsi:type="dcterms:W3CDTF">2025-05-04T13:56:43Z</dcterms:created>
  <dcterms:modified xsi:type="dcterms:W3CDTF">2025-05-04T13:56:43Z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Cardio6</vt:lpwstr>
  </property>
  <property fmtid="{D5CDD505-2E9C-101B-9397-08002B2CF9AE}" pid="12" name="toc-title">
    <vt:lpwstr>Table of contents</vt:lpwstr>
  </property>
</Properties>
</file>