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Impact of Chronic Kidney Disease on In-Hospital Outcomes and Resource Utilization Among Patients Hospitalized for AMI</w:t>
      </w:r>
    </w:p>
    <w:p>
      <w:pPr>
        <w:pStyle w:val="Subtitle"/>
      </w:pPr>
      <w:r>
        <w:t xml:space="preserve">Analysis for RCOP NIS Cardio6</w:t>
      </w:r>
    </w:p>
    <w:p>
      <w:pPr>
        <w:pStyle w:val="Author"/>
      </w:pPr>
      <w:r>
        <w:t xml:space="preserve">Muhammad Saad</w:t>
      </w:r>
    </w:p>
    <w:p>
      <w:pPr>
        <w:pStyle w:val="Author"/>
      </w:pPr>
      <w:r>
        <w:t xml:space="preserve">Aimen Shafiq</w:t>
      </w:r>
    </w:p>
    <w:bookmarkStart w:id="22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Reference Papers:</w:t>
      </w:r>
    </w:p>
    <w:p>
      <w:pPr>
        <w:pStyle w:val="Compact"/>
        <w:numPr>
          <w:ilvl w:val="1"/>
          <w:numId w:val="1002"/>
        </w:numPr>
      </w:pPr>
      <w:hyperlink r:id="rId20">
        <w:r>
          <w:rPr>
            <w:rStyle w:val="Hyperlink"/>
          </w:rPr>
          <w:t xml:space="preserve">Smilowitz et al. 2017</w:t>
        </w:r>
      </w:hyperlink>
    </w:p>
    <w:p>
      <w:pPr>
        <w:pStyle w:val="Compact"/>
        <w:numPr>
          <w:ilvl w:val="1"/>
          <w:numId w:val="1002"/>
        </w:numPr>
      </w:pPr>
      <w:hyperlink r:id="rId21">
        <w:r>
          <w:rPr>
            <w:rStyle w:val="Hyperlink"/>
          </w:rPr>
          <w:t xml:space="preserve">Salman et al. 2025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Study Objective</w:t>
      </w:r>
      <w:r>
        <w:t xml:space="preserve">: To examine the association between chronic kidney disease (CKD) and inpatient outcomes for acute myocardial infarction (AMI) in U.S. hospitals from 2018 to 2020, adjusting for demographic, socioeconomic, clinical, and hospital-related factors.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</w:t>
      </w:r>
      <w:r>
        <w:t xml:space="preserve">: Cross-sectional analysis using the National Inpatient Sample (NIS) database from 2018 to 2020, a representative sample of all-payer inpatient hospitalizations in the U.S.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Patient Selection</w:t>
      </w:r>
      <w:r>
        <w:t xml:space="preserve">: Included all inpatient admissions for AMI, identified using ICD-10 diagnosis codes. Patients were categorized into two groups: those with CKD and those without.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Outcomes of Interest:</w:t>
      </w:r>
    </w:p>
    <w:p>
      <w:pPr>
        <w:numPr>
          <w:ilvl w:val="1"/>
          <w:numId w:val="1003"/>
        </w:numPr>
      </w:pPr>
      <w:r>
        <w:t xml:space="preserve">In-hospital Mortality</w:t>
      </w:r>
    </w:p>
    <w:p>
      <w:pPr>
        <w:numPr>
          <w:ilvl w:val="1"/>
          <w:numId w:val="1003"/>
        </w:numPr>
      </w:pPr>
      <w:r>
        <w:t xml:space="preserve">Length of Stay (days)</w:t>
      </w:r>
    </w:p>
    <w:p>
      <w:pPr>
        <w:numPr>
          <w:ilvl w:val="1"/>
          <w:numId w:val="1003"/>
        </w:numPr>
      </w:pPr>
      <w:r>
        <w:t xml:space="preserve">Inflation-adjusted Total Charge ($) [adjusted to 2020 dollars, using CPI data by the U.S. Bureau of Labor Statistics]</w:t>
      </w:r>
    </w:p>
    <w:p>
      <w:pPr>
        <w:numPr>
          <w:ilvl w:val="1"/>
          <w:numId w:val="1003"/>
        </w:numPr>
      </w:pPr>
      <w:r>
        <w:t xml:space="preserve">Any Complication of AMI (Includes hemopericardium, atrial septal defect, ventricular septal defect, rupture of cardiac wall, rupture of chordae tendineae, rupture of papillary muscle, thrombosis of atrium/auricular appendage/ventricle, postinfarction angina, other complications, and Dressler’s syndrome)</w:t>
      </w:r>
    </w:p>
    <w:p>
      <w:pPr>
        <w:numPr>
          <w:ilvl w:val="1"/>
          <w:numId w:val="1003"/>
        </w:numPr>
      </w:pPr>
      <w:r>
        <w:t xml:space="preserve">Coronary Artery Bypass Grafting (CABG) Procedure</w:t>
      </w:r>
    </w:p>
    <w:p>
      <w:pPr>
        <w:numPr>
          <w:ilvl w:val="1"/>
          <w:numId w:val="1003"/>
        </w:numPr>
      </w:pPr>
      <w:r>
        <w:t xml:space="preserve">Percutaneous Coronary Intervention (PCI) Procedure</w:t>
      </w:r>
    </w:p>
    <w:p>
      <w:pPr>
        <w:numPr>
          <w:ilvl w:val="1"/>
          <w:numId w:val="1003"/>
        </w:numPr>
      </w:pPr>
      <w:r>
        <w:t xml:space="preserve">Acute Kidney Injury (AKI)</w:t>
      </w:r>
    </w:p>
    <w:p>
      <w:pPr>
        <w:numPr>
          <w:ilvl w:val="1"/>
          <w:numId w:val="1003"/>
        </w:numPr>
      </w:pPr>
      <w:r>
        <w:t xml:space="preserve">Ischemic Stroke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Statistical Analysis</w:t>
      </w:r>
      <w:r>
        <w:t xml:space="preserve">: Univariable and multivariable analyses were conducted to evaluate the association between race and outcomes:</w:t>
      </w:r>
    </w:p>
    <w:p>
      <w:pPr>
        <w:numPr>
          <w:ilvl w:val="1"/>
          <w:numId w:val="1004"/>
        </w:numPr>
      </w:pPr>
      <w:r>
        <w:rPr>
          <w:b/>
          <w:bCs/>
        </w:rPr>
        <w:t xml:space="preserve">Univariable Analysis:</w:t>
      </w:r>
    </w:p>
    <w:p>
      <w:pPr>
        <w:numPr>
          <w:ilvl w:val="2"/>
          <w:numId w:val="1005"/>
        </w:numPr>
      </w:pPr>
      <w:r>
        <w:t xml:space="preserve">Continuous variables: Design-based Kruskal-Wallis test.</w:t>
      </w:r>
    </w:p>
    <w:p>
      <w:pPr>
        <w:numPr>
          <w:ilvl w:val="2"/>
          <w:numId w:val="1005"/>
        </w:numPr>
      </w:pPr>
      <w:r>
        <w:t xml:space="preserve">Categorical variables: Pearson’s X² test with Rao &amp; Scott adjustment to account for survey design.</w:t>
      </w:r>
    </w:p>
    <w:p>
      <w:pPr>
        <w:numPr>
          <w:ilvl w:val="1"/>
          <w:numId w:val="1004"/>
        </w:numPr>
      </w:pPr>
      <w:r>
        <w:rPr>
          <w:b/>
          <w:bCs/>
        </w:rPr>
        <w:t xml:space="preserve">Multivariable Analysis:</w:t>
      </w:r>
    </w:p>
    <w:p>
      <w:pPr>
        <w:numPr>
          <w:ilvl w:val="2"/>
          <w:numId w:val="1006"/>
        </w:numPr>
      </w:pPr>
      <w:r>
        <w:t xml:space="preserve">Logistic regression for binary outcomes (e.g., in-hospital mortality, AKI, ischemic stroke).</w:t>
      </w:r>
    </w:p>
    <w:p>
      <w:pPr>
        <w:numPr>
          <w:ilvl w:val="2"/>
          <w:numId w:val="1006"/>
        </w:numPr>
      </w:pPr>
      <w:r>
        <w:t xml:space="preserve">Linear regression for continuous outcomes (e.g., length of stay, total charges).</w:t>
      </w:r>
    </w:p>
    <w:p>
      <w:pPr>
        <w:numPr>
          <w:ilvl w:val="1"/>
          <w:numId w:val="1004"/>
        </w:numPr>
      </w:pPr>
      <w:r>
        <w:rPr>
          <w:b/>
          <w:bCs/>
        </w:rPr>
        <w:t xml:space="preserve">Adjustments:</w:t>
      </w:r>
      <w:r>
        <w:t xml:space="preserve"> </w:t>
      </w:r>
      <w:r>
        <w:t xml:space="preserve">Models controlled for the following covariates:</w:t>
      </w:r>
    </w:p>
    <w:p>
      <w:pPr>
        <w:numPr>
          <w:ilvl w:val="2"/>
          <w:numId w:val="1007"/>
        </w:numPr>
      </w:pPr>
      <w:r>
        <w:rPr>
          <w:b/>
          <w:bCs/>
        </w:rPr>
        <w:t xml:space="preserve">Demographics and Socioeconomic Factors</w:t>
      </w:r>
      <w:r>
        <w:t xml:space="preserve">: Age, Sex, Race, Residential income, Expected primary payer.</w:t>
      </w:r>
    </w:p>
    <w:p>
      <w:pPr>
        <w:numPr>
          <w:ilvl w:val="2"/>
          <w:numId w:val="1007"/>
        </w:numPr>
      </w:pPr>
      <w:r>
        <w:rPr>
          <w:b/>
          <w:bCs/>
        </w:rPr>
        <w:t xml:space="preserve">Clinical Factors:</w:t>
      </w:r>
      <w:r>
        <w:t xml:space="preserve"> </w:t>
      </w:r>
      <w:r>
        <w:t xml:space="preserve">Charlson comorbidity index, Hypertension, Obesity, Diabetes Mellitus, Chronic Pulmonary Disease, Liver Disease, Peripheral Vascular Disease, Hyperlipidemia, Previous Heart Failure, Atrial Fibrillation, Smoking, Previous Stroke/TIA, Previous PCI, Previous CABG.</w:t>
      </w:r>
    </w:p>
    <w:p>
      <w:pPr>
        <w:numPr>
          <w:ilvl w:val="2"/>
          <w:numId w:val="1007"/>
        </w:numPr>
      </w:pPr>
      <w:r>
        <w:rPr>
          <w:b/>
          <w:bCs/>
        </w:rPr>
        <w:t xml:space="preserve">Hospital-Level Factors:</w:t>
      </w:r>
      <w:r>
        <w:t xml:space="preserve"> </w:t>
      </w:r>
      <w:r>
        <w:t xml:space="preserve">Hospital region, Hospital bedsize, Hospital location and teaching status.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t xml:space="preserve"> </w:t>
      </w:r>
      <w:r>
        <w:t xml:space="preserve">All statistical analyses were performed using R Statistical Language (Version 4.5.0; R Foundation for Statistical Computing, Vienna, Austria), incorporating survey-weighted procedures via the</w:t>
      </w:r>
      <w:r>
        <w:t xml:space="preserve"> </w:t>
      </w:r>
      <w:r>
        <w:rPr>
          <w:i/>
          <w:iCs/>
        </w:rPr>
        <w:t xml:space="preserve">survey</w:t>
      </w:r>
      <w:r>
        <w:t xml:space="preserve"> </w:t>
      </w:r>
      <w:r>
        <w:t xml:space="preserve">package to account for the complex sampling design of NIS.</w:t>
      </w:r>
    </w:p>
    <w:bookmarkEnd w:id="22"/>
    <w:bookmarkStart w:id="23" w:name="baseline-table"/>
    <w:p>
      <w:pPr>
        <w:pStyle w:val="Heading2"/>
      </w:pPr>
      <w:r>
        <w:t xml:space="preserve">Baseline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1,894,160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AMI without CKD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1,433,035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AMI with CKD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461,125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702,145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526,065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176,080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1,191,940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906,910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285,030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52,155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35,655 (2.6%)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16,500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210,205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139,850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70,355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165,065 (9.0%)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121,320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43,745 (9.7%)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11,255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8,225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3,030 (0.7%)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56,120 (3.1%)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44,010 (3.2%)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12,110 (2.7%)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1,344,600 (73%)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1,040,180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304,420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571,040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425,545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145,495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515,875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390,375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125,500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435,135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331,000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104,135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338,645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260,000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78,645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182,120 (9.6%)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150,500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31,620 (6.9%)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1,068,990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718,720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350,270 (76%)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156,150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135,695 (9.5%)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20,455 (4.4%)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484,075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425,780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58,295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423,055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314,560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108,495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321,135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246,235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74,900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785,340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600,715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184,625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364,630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271,525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93,105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953,780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721,050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232,730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574,065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435,025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139,040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366,315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276,960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89,355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143,995 (7.6%)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109,840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34,155 (7.4%)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371,575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283,550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88,025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1,378,590 (73%)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1,039,645 (73%)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338,945 (74%)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3.18 (2.03)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2.36 (1.39)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5.72 (1.56)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 Stage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CKD, Stage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2,360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2,360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CKD, Stage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25,125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25,125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CKD, Stage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205,455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205,455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CKD, Stage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52,400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52,400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CKD, Stage 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6,325 (1.7%)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6,325 (1.7%)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ESRD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81,195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81,195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1,555,090 (82%)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1,115,635 (78%)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439,455 (95%)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404,395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302,975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101,420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780,095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497,495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282,600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410,215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289,505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120,710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78,840 (4.2%)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55,145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23,695 (5.1%)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213,740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135,125 (9.4%)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78,615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1,298,935 (69%)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968,565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330,370 (72%)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268,755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160,705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108,050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381,615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245,950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135,665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379,510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328,740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50,770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Stroke/TIA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188,515 (10.0%)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118,210 (8.2%)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70,305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PCI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330,160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230,405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99,755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CABG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182,995 (9.7%)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111,870 (7.8%)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71,125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Design-based KruskalWallis test; Pearson's X^2: Rao &amp; Scott adjustment</w:t>
            </w:r>
          </w:p>
        </w:tc>
      </w:tr>
    </w:tbl>
    <w:bookmarkEnd w:id="23"/>
    <w:bookmarkStart w:id="24" w:name="univariable-analysis"/>
    <w:p>
      <w:pPr>
        <w:pStyle w:val="Heading2"/>
      </w:pPr>
      <w:r>
        <w:t xml:space="preserve">Univariable Analysis: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1,894,160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AMI without CKD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1,433,035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AMI with CKD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461,125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Died during hospitalization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88,290 (4.7%)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55,985 (3.9%)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32,305 (7.0%)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 (days)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(2.0, 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(2.0, 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 (2.0, 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Inflation-adjusted total charge ($)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72,340 (40,656, 126,134)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72,552 (41,977, 123,296)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71,592 (36,558, 136,576)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Any complication of AMI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15,280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12,355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2,925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CABG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168,650 (8.9%)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129,120 (9.0%)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39,530 (8.6%)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931,570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764,595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166,975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Acute Kidney Injury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392,175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181,175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211,000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Ischemic Stroke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23,795 (1.3%)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16,735 (1.2%)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7,060 (1.5%)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(Q1, Q3)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X^2: Rao &amp; Scott adjustment; Design-based KruskalWallis test</w:t>
            </w:r>
          </w:p>
        </w:tc>
      </w:tr>
    </w:tbl>
    <w:bookmarkEnd w:id="24"/>
    <w:bookmarkStart w:id="31" w:name="multivariable-logistic-regression"/>
    <w:p>
      <w:pPr>
        <w:pStyle w:val="Heading2"/>
      </w:pPr>
      <w:r>
        <w:t xml:space="preserve">Multivariable Logistic Regression:</w:t>
      </w:r>
    </w:p>
    <w:bookmarkStart w:id="25" w:name="in-hospital-mortality"/>
    <w:p>
      <w:pPr>
        <w:pStyle w:val="Heading3"/>
      </w:pPr>
      <w:r>
        <w:t xml:space="preserve">In-hospital Mortality: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AMI without CKD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AMI with CKD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0.75, 0.93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0.73, 0.90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0.75, 1.18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1.08, 1.29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0.75, 0.83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1.03, 1.20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1.22, 1.39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1.13, 1.16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0.60, 0.66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0.73, 0.81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5.31, 5.89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1.03, 1.14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0.47, 0.51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1.29, 1.39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0.75, 0.84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Stroke/TIA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PCI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CABG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5"/>
    <w:bookmarkStart w:id="26" w:name="any-complication-of-ami"/>
    <w:p>
      <w:pPr>
        <w:pStyle w:val="Heading3"/>
      </w:pPr>
      <w:r>
        <w:t xml:space="preserve">Any Complication of AMI: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AMI without CKD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AMI with CKD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0.54, 0.69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1.05, 1.23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0.81, 1.37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0.68, 1.90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0.83, 1.53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0.88, 1.44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0.73, 0.91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0.76, 0.92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0.64, 0.82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1.11, 1.17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0.65, 0.81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1.31, 1.77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0.73, 0.92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1.12, 1.36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Stroke/TIA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PCI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0.74, 0.93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CABG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0.42, 0.60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6"/>
    <w:bookmarkStart w:id="27" w:name="cabg"/>
    <w:p>
      <w:pPr>
        <w:pStyle w:val="Heading3"/>
      </w:pPr>
      <w:r>
        <w:t xml:space="preserve">CABG: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AMI without CKD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AMI with CKD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1.72, 1.81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0.50, 0.60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0.71, 0.86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0.75, 0.94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0.78, 0.92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1.07, 1.18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1.16, 1.33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0.62, 0.70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0.41, 0.48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1.70, 2.50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3.20, 4.55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1.32, 1.44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1.42, 1.51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1.33, 1.42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1.17, 1.28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1.49, 1.61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0.63, 0.68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2.59, 2.75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Stroke/TIA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0.73, 0.80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PCI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0.68, 0.74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CABG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0.15, 0.18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7"/>
    <w:bookmarkStart w:id="28" w:name="pci"/>
    <w:p>
      <w:pPr>
        <w:pStyle w:val="Heading3"/>
      </w:pPr>
      <w:r>
        <w:t xml:space="preserve">PCI: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AMI without CKD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AMI with CKD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1.06, 1.12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1.39, 1.43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0.76, 0.84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1.07, 1.32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1.15, 1.31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1.17, 1.29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1.01, 1.06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1.15, 1.22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1.15, 1.23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1.26, 1.34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0.71, 0.78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0.65, 0.71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1.27, 1.45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1.57, 1.77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1.19, 1.23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1.41, 1.46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0.60, 0.63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1.24, 1.29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Stroke/TIA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PCI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CABG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8"/>
    <w:bookmarkStart w:id="29" w:name="acute-kidney-injury"/>
    <w:p>
      <w:pPr>
        <w:pStyle w:val="Heading3"/>
      </w:pPr>
      <w:r>
        <w:t xml:space="preserve">Acute Kidney Injury: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AMI without CKD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AMI with CKD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2.91, 3.10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1.23, 1.28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1.07, 1.21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0.75, 0.97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0.71, 0.77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1.07, 1.14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1.16, 1.29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1.37, 1.51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1.19, 1.21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1.11, 1.16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3.01, 3.28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1.35, 1.41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Stroke/TIA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PCI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CABG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9"/>
    <w:bookmarkStart w:id="30" w:name="ischemic-stroke"/>
    <w:p>
      <w:pPr>
        <w:pStyle w:val="Heading3"/>
      </w:pPr>
      <w:r>
        <w:t xml:space="preserve">Ischemic Stroke: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AMI without CKD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AMI with CKD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0.21, 0.25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0.73, 0.83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0.60, 0.88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0.62, 0.91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0.26, 0.75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0.73, 1.18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0.61, 0.85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0.71, 0.92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0.65, 0.79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1.07, 1.49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1.33, 1.79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1.78, 1.83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0.77, 0.92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0.52, 0.60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0.37, 0.44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1.01, 1.29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0.60, 0.72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0.74, 0.85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0.76, 0.90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1.45, 1.68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Stroke/TIA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1.45, 1.72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PCI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0.60, 0.73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CABG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0.63, 0.81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30"/>
    <w:bookmarkEnd w:id="31"/>
    <w:bookmarkStart w:id="34" w:name="multivariable-linear-regression"/>
    <w:p>
      <w:pPr>
        <w:pStyle w:val="Heading2"/>
      </w:pPr>
      <w:r>
        <w:t xml:space="preserve">Multivariable Linear Regression:</w:t>
      </w:r>
    </w:p>
    <w:bookmarkStart w:id="32" w:name="length-of-stay"/>
    <w:p>
      <w:pPr>
        <w:pStyle w:val="Heading3"/>
      </w:pPr>
      <w:r>
        <w:t xml:space="preserve">Length of Stay: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AMI without CKD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AMI with CKD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-0.77, -0.61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0.13, 0.20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-0.61, -0.32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-0.42, -0.12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-0.61, -0.07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-0.35, 0.01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-0.66, -0.38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-0.13, 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-0.23, -0.11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-0.30, -0.16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-0.46, -0.29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-0.54, -0.37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-0.59, -0.44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0.29, 0.49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0.23, 0.39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-0.45, -0.28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-0.79, -0.65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-1.3, -1.1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0.71, 0.93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1.5, 1.7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0.02, 0.12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0.24, 0.32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-0.48, -0.38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-0.28, -0.17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2.0, 2.3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-0.41, -0.27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-0.47, -0.37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-0.27, -0.15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1.7, 1.8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-0.37, -0.29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Stroke/TIA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-0.31, -0.20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PCI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-0.68, -0.60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CABG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-1.1, -0.97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Abbreviation: CI = Confidence Interval</w:t>
            </w:r>
          </w:p>
        </w:tc>
      </w:tr>
    </w:tbl>
    <w:bookmarkEnd w:id="32"/>
    <w:bookmarkStart w:id="33" w:name="inflation-adjusted-total-charge"/>
    <w:p>
      <w:pPr>
        <w:pStyle w:val="Heading3"/>
      </w:pPr>
      <w:r>
        <w:t xml:space="preserve">Inflation-adjusted Total Charge: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AMI without CKD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AMI with CKD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-14,424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-16,654, -12,195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-620, -514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14,356, 16,282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-26,690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-32,535, -20,846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-2,132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-8,450, 4,185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-26,770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-35,420, -18,120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-3,167, 11,961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-17,155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-22,932, -11,378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-2,171, 1,801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-3,487, 1,263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-779, 5,779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-654, 3,733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-1,936, 3,296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-1,966, 2,535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5,334, 14,682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22,505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19,288, 25,721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37,775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32,601, 42,948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-14,156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-18,165, -10,147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-28,428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-32,293, -24,564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34,756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30,423, 39,089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47,460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43,596, 51,324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8,839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8,133, 9,545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160, 3,047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5,796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4,403, 7,189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-715, 2,040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-4,704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-6,107, -3,302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80,884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75,203, 86,564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-3,100, 734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-2,010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-3,375, -645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-10,795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-12,330, -9,260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30,568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28,879, 32,257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-8,818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-10,151, -7,485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Stroke/TIA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-12,195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-13,541, -10,850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PCI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-14,880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-16,115, -13,644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CABG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-28,189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-29,629, -26,750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Abbreviation: CI = Confidence Interval</w:t>
            </w:r>
          </w:p>
        </w:tc>
      </w:tr>
    </w:tbl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10.1016/j.ijcard.2016.11.026" TargetMode="External" /><Relationship Type="http://schemas.openxmlformats.org/officeDocument/2006/relationships/hyperlink" Id="rId21" Target="https://doi.org/10.1097/MCA.000000000000147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016/j.ijcard.2016.11.026" TargetMode="External" /><Relationship Type="http://schemas.openxmlformats.org/officeDocument/2006/relationships/hyperlink" Id="rId21" Target="https://doi.org/10.1097/MCA.000000000000147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Impact of Chronic Kidney Disease on In-Hospital Outcomes and Resource Utilization Among Patients Hospitalized for AMI</dc:title>
  <dc:creator>Muhammad Saad; Aimen Shafiq</dc:creator>
  <cp:keywords/>
  <dcterms:created xsi:type="dcterms:W3CDTF">2025-05-01T15:45:45Z</dcterms:created>
  <dcterms:modified xsi:type="dcterms:W3CDTF">2025-05-01T15:45:45Z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Analysis for RCOP NIS Cardio6</vt:lpwstr>
  </property>
  <property fmtid="{D5CDD505-2E9C-101B-9397-08002B2CF9AE}" pid="12" name="toc-title">
    <vt:lpwstr>Table of contents</vt:lpwstr>
  </property>
</Properties>
</file>