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 and Ethnic Differences in Management and Outcomes of Ventricular Arrhythmias Complicating Acute Myocardial Infarction</w:t>
      </w:r>
    </w:p>
    <w:p>
      <w:pPr>
        <w:pStyle w:val="Subtitle"/>
      </w:pPr>
      <w:r>
        <w:t xml:space="preserve">Analysis for RCOP NIS IM17</w:t>
      </w:r>
    </w:p>
    <w:p>
      <w:pPr>
        <w:pStyle w:val="Author"/>
      </w:pPr>
      <w:r>
        <w:t xml:space="preserve">Muhammad Saad</w:t>
      </w:r>
    </w:p>
    <w:p>
      <w:pPr>
        <w:pStyle w:val="Author"/>
      </w:pPr>
      <w:r>
        <w:t xml:space="preserve">Ariba Moin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Markson et al. 2024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Salman et al. 2025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investigate racial and ethnic differences in the management and in-hospital outcomes of ventricular arrhythmias (VA) complicating acute myocardial infarction (AMI) in the United States, adjusting for patient demographics, socioeconomic factors, clinical comorbidities, and hospital characteristics.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using the National Inpatient Sample (NIS) database from 2018 to 2020, a representative sample of all-payer inpatient hospitalizations in the U.S.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The study cohort included adult patients (18 years or older) hospitalized with a primary diagnosis of Acute Myocardial Infarction (AMI) who also had a secondary diagnosis of Ventricular Arrhythmias (VA), specifically Ventricular Tachycardia (VT) or Ventricular Fibrillation/Flutter (VF). Diagnoses were identified using International Classification of Diseases, Tenth Revision, Clinical Modification (ICD-10-CM) codes. We excluded patients who had infiltrative cardiac diseases (amyloidosis, sarcoidosis), Lyme disease, or long QT syndrome, as these conditions could be alternative causes for VA. Patients with missing race/ethnicity information were also excluded. The primary exposure variable was patient-reported Race/Ethnicity, with White patients serving as the reference category.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3"/>
        </w:numPr>
      </w:pPr>
      <w:r>
        <w:t xml:space="preserve">In-hospital Mortality</w:t>
      </w:r>
    </w:p>
    <w:p>
      <w:pPr>
        <w:numPr>
          <w:ilvl w:val="1"/>
          <w:numId w:val="1003"/>
        </w:numPr>
      </w:pPr>
      <w:r>
        <w:t xml:space="preserve">Length of Stay (days)</w:t>
      </w:r>
    </w:p>
    <w:p>
      <w:pPr>
        <w:numPr>
          <w:ilvl w:val="1"/>
          <w:numId w:val="1003"/>
        </w:numPr>
      </w:pPr>
      <w:r>
        <w:t xml:space="preserve">Inflation-adjusted Total Charge ($) [adjusted to 2020 dollars, using CPI data by the U.S. Bureau of Labor Statistics]</w:t>
      </w:r>
    </w:p>
    <w:p>
      <w:pPr>
        <w:numPr>
          <w:ilvl w:val="1"/>
          <w:numId w:val="1003"/>
        </w:numPr>
      </w:pPr>
      <w:r>
        <w:t xml:space="preserve">Acute Kidney Injury</w:t>
      </w:r>
    </w:p>
    <w:p>
      <w:pPr>
        <w:numPr>
          <w:ilvl w:val="1"/>
          <w:numId w:val="1003"/>
        </w:numPr>
      </w:pPr>
      <w:r>
        <w:t xml:space="preserve">Cardiogenic Shock</w:t>
      </w:r>
    </w:p>
    <w:p>
      <w:pPr>
        <w:numPr>
          <w:ilvl w:val="1"/>
          <w:numId w:val="1003"/>
        </w:numPr>
      </w:pPr>
      <w:r>
        <w:t xml:space="preserve">Cardiac Arrest</w:t>
      </w:r>
    </w:p>
    <w:p>
      <w:pPr>
        <w:numPr>
          <w:ilvl w:val="1"/>
          <w:numId w:val="1003"/>
        </w:numPr>
      </w:pPr>
      <w:r>
        <w:t xml:space="preserve">Receipt of Implantable Cardiac Defibrillator Insertion procedure</w:t>
      </w:r>
    </w:p>
    <w:p>
      <w:pPr>
        <w:numPr>
          <w:ilvl w:val="1"/>
          <w:numId w:val="1003"/>
        </w:numPr>
      </w:pPr>
      <w:r>
        <w:t xml:space="preserve">Receipt of Ablation Procedure</w:t>
      </w:r>
    </w:p>
    <w:p>
      <w:pPr>
        <w:numPr>
          <w:ilvl w:val="1"/>
          <w:numId w:val="1003"/>
        </w:numPr>
      </w:pPr>
      <w:r>
        <w:t xml:space="preserve">Favorable discharge (Defined as favorable if disposition was to</w:t>
      </w:r>
      <w:r>
        <w:t xml:space="preserve"> </w:t>
      </w:r>
      <w:r>
        <w:t xml:space="preserve">“Routine discharge to home/self-care”</w:t>
      </w:r>
      <w:r>
        <w:t xml:space="preserve"> </w:t>
      </w:r>
      <w:r>
        <w:t xml:space="preserve">or</w:t>
      </w:r>
      <w:r>
        <w:t xml:space="preserve"> </w:t>
      </w:r>
      <w:r>
        <w:t xml:space="preserve">“Home health care”</w:t>
      </w:r>
      <w:r>
        <w:t xml:space="preserve">. All other dispositions were classified as unfavorable.)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Univariable and multivariable analyses were conducted to evaluate the association between race/ethnicity and management and in-hospital outcomes among patients with ventricular arrhythmias complicating acute myocardial infarction: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Continuous variables: Design-based Kruskal-Wallis test.</w:t>
      </w:r>
    </w:p>
    <w:p>
      <w:pPr>
        <w:numPr>
          <w:ilvl w:val="2"/>
          <w:numId w:val="1005"/>
        </w:numPr>
      </w:pPr>
      <w:r>
        <w:t xml:space="preserve">Categorical variables: Pearson’s X² test with Rao &amp; Scott adjustment to account for survey design.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Logistic regression for binary outcomes (e.g., in-hospital mortality, AKI).</w:t>
      </w:r>
    </w:p>
    <w:p>
      <w:pPr>
        <w:numPr>
          <w:ilvl w:val="2"/>
          <w:numId w:val="1006"/>
        </w:numPr>
      </w:pPr>
      <w:r>
        <w:t xml:space="preserve">Linear regression for continuous outcomes (e.g., length of stay, total charges).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Adjustments:</w:t>
      </w:r>
      <w:r>
        <w:t xml:space="preserve"> </w:t>
      </w:r>
      <w:r>
        <w:t xml:space="preserve">Models controlled for the following covariates: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Demographics and Socioeconomic Factors</w:t>
      </w:r>
      <w:r>
        <w:t xml:space="preserve">: Age, Sex, Residential income, Expected primary payer.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A summary measure of comorbidity (Elixhauser comorbidity index).</w:t>
      </w:r>
    </w:p>
    <w:p>
      <w:pPr>
        <w:numPr>
          <w:ilvl w:val="2"/>
          <w:numId w:val="1007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Hospital bedsize, Hospital location and teaching status.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163,915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124,180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4,335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17,080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11,735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6,585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42,840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5,755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121,055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92,215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11,325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8,965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30,095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8,265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39,545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33,795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26,380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16,165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9,505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82,885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65,500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8,070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5,035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2,535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15,290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10,650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49,365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38,385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38,175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64,690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46,725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9,715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32,235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22,105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1,705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4,455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87,750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66,620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5,935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48,755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5,305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3,795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8,725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7,810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22,275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126,010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94,095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13,900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9,355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5,270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3.12 (1.99)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3.02 (1.94)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 (2.07)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 (2.14)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3.41 (2.09)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2.98 (1.94)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103,635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79,735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10,065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7,200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123,885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92,185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14,575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9,110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54,240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6,875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5,520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32,445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93,390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69,110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10,905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7,125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Coronary Artery Bypass Graft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12,360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9,800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Percutaneous Coronary Intervention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23,770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18,385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Implantable Cardioverter-Defibrillator Insertion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Permanent Pacemaker or Cardiac Resynchronization Therapy Insertion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univariable-analysis"/>
    <w:p>
      <w:pPr>
        <w:pStyle w:val="Heading2"/>
      </w:pPr>
      <w:r>
        <w:t xml:space="preserve">Univariable Analysis: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163,915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White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124,180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Asian or Pacific Islander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4,335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Black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17,080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11,735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6,585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(2.0,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(2.0,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107,267 (63,271, 200,117)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104,272 (62,379, 191,158)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127,704 (74,277, 269,196)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98,508 (55,743, 202,034)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141,225 (78,937, 283,428)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120,428 (73,690, 238,881)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Cardiogenic Shock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38,820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3,585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31,535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51,455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37,015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6,435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4,105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Implantable Cardiac Defibrillator Insertion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4,845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Ablation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106,975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82,215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10,685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7,340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4,115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2" w:name="multivariable-logistic-regression"/>
    <w:p>
      <w:pPr>
        <w:pStyle w:val="Heading2"/>
      </w:pPr>
      <w:r>
        <w:t xml:space="preserve">Multivariable Logistic Regression:</w:t>
      </w:r>
    </w:p>
    <w:bookmarkStart w:id="25" w:name="in-hospital-mortality"/>
    <w:p>
      <w:pPr>
        <w:pStyle w:val="Heading3"/>
      </w:pPr>
      <w:r>
        <w:t xml:space="preserve">In-hospital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cardiogenic-shock"/>
    <w:p>
      <w:pPr>
        <w:pStyle w:val="Heading3"/>
      </w:pPr>
      <w:r>
        <w:t xml:space="preserve">Cardiogenic Shock: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cardiac-arrest"/>
    <w:p>
      <w:pPr>
        <w:pStyle w:val="Heading3"/>
      </w:pPr>
      <w:r>
        <w:t xml:space="preserve">Cardiac Arrest: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icd-insertion"/>
    <w:p>
      <w:pPr>
        <w:pStyle w:val="Heading3"/>
      </w:pPr>
      <w:r>
        <w:t xml:space="preserve">ICD Insertion: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ablation"/>
    <w:p>
      <w:pPr>
        <w:pStyle w:val="Heading3"/>
      </w:pPr>
      <w:r>
        <w:t xml:space="preserve">Ablation: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Start w:id="31" w:name="favorable-discharge"/>
    <w:p>
      <w:pPr>
        <w:pStyle w:val="Heading3"/>
      </w:pPr>
      <w:r>
        <w:t xml:space="preserve">Favorable Discharge: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1"/>
    <w:bookmarkEnd w:id="32"/>
    <w:bookmarkStart w:id="35" w:name="multivariable-linear-regression"/>
    <w:p>
      <w:pPr>
        <w:pStyle w:val="Heading2"/>
      </w:pPr>
      <w:r>
        <w:t xml:space="preserve">Multivariable Linear Regression:</w:t>
      </w:r>
    </w:p>
    <w:bookmarkStart w:id="33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-1.8, -0.87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-1.6, 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-2.2, 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Start w:id="34" w:name="inflation-adjusted-total-charge"/>
    <w:p>
      <w:pPr>
        <w:pStyle w:val="Heading3"/>
      </w:pPr>
      <w:r>
        <w:t xml:space="preserve">Inflation-adjusted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19,703, 70,707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-24,005, -4,406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28,786, 55,699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22,456, 60,992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-1,429, -847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8,990, 20,400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-4,725, 10,501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-5,746, 10,194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4,673, 24,269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-28,269, -5,179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-22,853, 1,990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-14,574, 9,033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32,972, 58,301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27,764, 43,922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55,615, 80,429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-39,098, -20,342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-56,730, -37,898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38,614, 60,603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59,997, 79,612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25,366, 28,769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16/j.jacadv.2024.101042" TargetMode="External" /><Relationship Type="http://schemas.openxmlformats.org/officeDocument/2006/relationships/hyperlink" Id="rId21" Target="https://doi.org/10.1097/MCA.00000000000014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16/j.jacadv.2024.101042" TargetMode="External" /><Relationship Type="http://schemas.openxmlformats.org/officeDocument/2006/relationships/hyperlink" Id="rId21" Target="https://doi.org/10.1097/MCA.00000000000014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and Ethnic Differences in Management and Outcomes of Ventricular Arrhythmias Complicating Acute Myocardial Infarction</dc:title>
  <dc:creator>Muhammad Saad; Ariba Moin</dc:creator>
  <cp:keywords/>
  <dcterms:created xsi:type="dcterms:W3CDTF">2025-05-18T12:36:10Z</dcterms:created>
  <dcterms:modified xsi:type="dcterms:W3CDTF">2025-05-18T12:36:10Z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IM17</vt:lpwstr>
  </property>
  <property fmtid="{D5CDD505-2E9C-101B-9397-08002B2CF9AE}" pid="12" name="toc-title">
    <vt:lpwstr>Table of contents</vt:lpwstr>
  </property>
</Properties>
</file>