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Dementia on In-Hospital Outcomes Among Patients Admitted for Acute Stroke</w:t>
      </w:r>
    </w:p>
    <w:p>
      <w:pPr>
        <w:pStyle w:val="Subtitle"/>
      </w:pPr>
      <w:r>
        <w:t xml:space="preserve">Analysis for RCOP NIS Neuro18</w:t>
      </w:r>
    </w:p>
    <w:p>
      <w:pPr>
        <w:pStyle w:val="Author"/>
      </w:pPr>
      <w:r>
        <w:t xml:space="preserve">Muhammad Saad</w:t>
      </w:r>
    </w:p>
    <w:p>
      <w:pPr>
        <w:pStyle w:val="Author"/>
      </w:pPr>
      <w:r>
        <w:t xml:space="preserve">Shayan Marsia</w:t>
      </w:r>
    </w:p>
    <w:bookmarkStart w:id="22" w:name="preamble"/>
    <w:p>
      <w:pPr>
        <w:pStyle w:val="Heading2"/>
      </w:pPr>
      <w:r>
        <w:t xml:space="preserve">Preamble:</w:t>
      </w:r>
    </w:p>
    <w:p>
      <w:pPr>
        <w:numPr>
          <w:ilvl w:val="0"/>
          <w:numId w:val="1001"/>
        </w:numPr>
      </w:pPr>
      <w:r>
        <w:rPr>
          <w:b/>
          <w:bCs/>
        </w:rPr>
        <w:t xml:space="preserve">Reference Papers:</w:t>
      </w:r>
    </w:p>
    <w:p>
      <w:pPr>
        <w:numPr>
          <w:ilvl w:val="1"/>
          <w:numId w:val="1002"/>
        </w:numPr>
      </w:pPr>
      <w:hyperlink r:id="rId20">
        <w:r>
          <w:rPr>
            <w:rStyle w:val="Hyperlink"/>
          </w:rPr>
          <w:t xml:space="preserve">Sherzai et al. 2018</w:t>
        </w:r>
      </w:hyperlink>
    </w:p>
    <w:p>
      <w:pPr>
        <w:numPr>
          <w:ilvl w:val="1"/>
          <w:numId w:val="1002"/>
        </w:numPr>
      </w:pPr>
      <w:hyperlink r:id="rId21">
        <w:r>
          <w:rPr>
            <w:rStyle w:val="Hyperlink"/>
          </w:rPr>
          <w:t xml:space="preserve">Salman et al. 2025</w:t>
        </w:r>
      </w:hyperlink>
    </w:p>
    <w:p>
      <w:pPr>
        <w:numPr>
          <w:ilvl w:val="0"/>
          <w:numId w:val="1001"/>
        </w:numPr>
      </w:pPr>
      <w:r>
        <w:rPr>
          <w:b/>
          <w:bCs/>
        </w:rPr>
        <w:t xml:space="preserve">Study Objective</w:t>
      </w:r>
      <w:r>
        <w:t xml:space="preserve">: To assess the impact of pre-existing dementia on in-hospital clinical and resource utilization outcomes among adult patients hospitalized for acute stroke in the United States.</w:t>
      </w:r>
    </w:p>
    <w:p>
      <w:pPr>
        <w:numPr>
          <w:ilvl w:val="0"/>
          <w:numId w:val="1001"/>
        </w:numPr>
      </w:pPr>
      <w:r>
        <w:rPr>
          <w:b/>
          <w:bCs/>
        </w:rPr>
        <w:t xml:space="preserve">Data Source</w:t>
      </w:r>
      <w:r>
        <w:t xml:space="preserve">: Cross-sectional analysis using the National Inpatient Sample (NIS) database from 2018 to 2020, a representative sample of all-payer inpatient hospitalizations in the U.S.</w:t>
      </w:r>
    </w:p>
    <w:p>
      <w:pPr>
        <w:numPr>
          <w:ilvl w:val="0"/>
          <w:numId w:val="1001"/>
        </w:numPr>
      </w:pPr>
      <w:r>
        <w:rPr>
          <w:b/>
          <w:bCs/>
        </w:rPr>
        <w:t xml:space="preserve">Patient Selection</w:t>
      </w:r>
      <w:r>
        <w:t xml:space="preserve">: We identified hospitalizations for adult patients (aged 18 years and older) with a principal diagnosis of acute stroke using the National Inpatient Sample (NIS) from 2018 to 2020. Acute stroke was defined based on ICD-10-CM codes and included three major subtypes: ischemic stroke (I63.x), intracerebral hemorrhage (I61.x), and subarachnoid hemorrhage (I60.x). The principal diagnosis field (I10_DX1) was used to ensure that stroke was the primary reason for admission. To define the key exposure, we identified pre-existing dementia based on secondary diagnosis codes using ICD-10-CM classifications. These included codes for Alzheimer’s disease (G30.x), vascular dementia (F01.x), frontotemporal dementia (G31.01), dementia with Lewy bodies (G31.83), and other specified or unspecified dementias (F02.x, F03.x). Dementia was classified as present if any qualifying code appeared in a secondary diagnosis field.</w:t>
      </w:r>
    </w:p>
    <w:p>
      <w:pPr>
        <w:numPr>
          <w:ilvl w:val="0"/>
          <w:numId w:val="1001"/>
        </w:numPr>
      </w:pPr>
      <w:r>
        <w:rPr>
          <w:b/>
          <w:bCs/>
        </w:rPr>
        <w:t xml:space="preserve">Outcomes of Interest</w:t>
      </w:r>
      <w:r>
        <w:t xml:space="preserve">:</w:t>
      </w:r>
    </w:p>
    <w:p>
      <w:pPr>
        <w:numPr>
          <w:ilvl w:val="1"/>
          <w:numId w:val="1003"/>
        </w:numPr>
      </w:pPr>
      <w:r>
        <w:t xml:space="preserve">In-hospital Mortality</w:t>
      </w:r>
    </w:p>
    <w:p>
      <w:pPr>
        <w:numPr>
          <w:ilvl w:val="1"/>
          <w:numId w:val="1003"/>
        </w:numPr>
      </w:pPr>
      <w:r>
        <w:t xml:space="preserve">Length of Stay (LOS) in days</w:t>
      </w:r>
    </w:p>
    <w:p>
      <w:pPr>
        <w:numPr>
          <w:ilvl w:val="1"/>
          <w:numId w:val="1003"/>
        </w:numPr>
      </w:pPr>
      <w:r>
        <w:t xml:space="preserve">Inflation-adjusted Total Charges (converted to 2020 U.S. dollars using Consumer Price Index data)</w:t>
      </w:r>
    </w:p>
    <w:p>
      <w:pPr>
        <w:numPr>
          <w:ilvl w:val="1"/>
          <w:numId w:val="1003"/>
        </w:numPr>
      </w:pPr>
      <w:r>
        <w:t xml:space="preserve">Non-Home Discharge, defined as any discharge destination other than routine discharge to home or self-care</w:t>
      </w:r>
    </w:p>
    <w:p>
      <w:pPr>
        <w:numPr>
          <w:ilvl w:val="0"/>
          <w:numId w:val="1001"/>
        </w:numPr>
      </w:pPr>
      <w:r>
        <w:rPr>
          <w:b/>
          <w:bCs/>
        </w:rPr>
        <w:t xml:space="preserve">Statistical Analysis</w:t>
      </w:r>
      <w:r>
        <w:t xml:space="preserve">: Univariable and multivariable analyses were conducted to assess the association between pre-existing dementia and the outcomes of interest:</w:t>
      </w:r>
    </w:p>
    <w:p>
      <w:pPr>
        <w:numPr>
          <w:ilvl w:val="1"/>
          <w:numId w:val="1004"/>
        </w:numPr>
      </w:pPr>
      <w:r>
        <w:rPr>
          <w:b/>
          <w:bCs/>
        </w:rPr>
        <w:t xml:space="preserve">Univariable Analysis:</w:t>
      </w:r>
    </w:p>
    <w:p>
      <w:pPr>
        <w:numPr>
          <w:ilvl w:val="2"/>
          <w:numId w:val="1005"/>
        </w:numPr>
      </w:pPr>
      <w:r>
        <w:t xml:space="preserve">Continuous variables: Design-based Kruskal-Wallis test.</w:t>
      </w:r>
    </w:p>
    <w:p>
      <w:pPr>
        <w:numPr>
          <w:ilvl w:val="2"/>
          <w:numId w:val="1005"/>
        </w:numPr>
      </w:pPr>
      <w:r>
        <w:t xml:space="preserve">Categorical variables: Pearson’s X² test with Rao &amp; Scott adjustment to account for survey design.</w:t>
      </w:r>
    </w:p>
    <w:p>
      <w:pPr>
        <w:numPr>
          <w:ilvl w:val="1"/>
          <w:numId w:val="1004"/>
        </w:numPr>
      </w:pPr>
      <w:r>
        <w:rPr>
          <w:b/>
          <w:bCs/>
        </w:rPr>
        <w:t xml:space="preserve">Multivariable Analysis:</w:t>
      </w:r>
    </w:p>
    <w:p>
      <w:pPr>
        <w:numPr>
          <w:ilvl w:val="2"/>
          <w:numId w:val="1006"/>
        </w:numPr>
      </w:pPr>
      <w:r>
        <w:t xml:space="preserve">Logistic regression for binary outcomes (e.g., mortality, non-home discharge).</w:t>
      </w:r>
    </w:p>
    <w:p>
      <w:pPr>
        <w:numPr>
          <w:ilvl w:val="2"/>
          <w:numId w:val="1006"/>
        </w:numPr>
      </w:pPr>
      <w:r>
        <w:t xml:space="preserve">Linear regression for continuous outcomes (e.g., length of stay, total charges).</w:t>
      </w:r>
    </w:p>
    <w:p>
      <w:pPr>
        <w:numPr>
          <w:ilvl w:val="1"/>
          <w:numId w:val="1004"/>
        </w:numPr>
      </w:pPr>
      <w:r>
        <w:rPr>
          <w:b/>
          <w:bCs/>
        </w:rPr>
        <w:t xml:space="preserve">Adjustments:</w:t>
      </w:r>
      <w:r>
        <w:t xml:space="preserve"> </w:t>
      </w:r>
      <w:r>
        <w:t xml:space="preserve">Models controlled for the following covariates:</w:t>
      </w:r>
    </w:p>
    <w:p>
      <w:pPr>
        <w:numPr>
          <w:ilvl w:val="2"/>
          <w:numId w:val="1007"/>
        </w:numPr>
      </w:pPr>
      <w:r>
        <w:rPr>
          <w:b/>
          <w:bCs/>
        </w:rPr>
        <w:t xml:space="preserve">Demographics and Socioeconomic Factors</w:t>
      </w:r>
      <w:r>
        <w:t xml:space="preserve">: Age, Sex, Race, Residential income, Expected primary payer.</w:t>
      </w:r>
    </w:p>
    <w:p>
      <w:pPr>
        <w:numPr>
          <w:ilvl w:val="2"/>
          <w:numId w:val="1007"/>
        </w:numPr>
      </w:pPr>
      <w:r>
        <w:rPr>
          <w:b/>
          <w:bCs/>
        </w:rPr>
        <w:t xml:space="preserve">Clinical Factors:</w:t>
      </w:r>
      <w:r>
        <w:t xml:space="preserve"> </w:t>
      </w:r>
      <w:r>
        <w:t xml:space="preserve">A summary measure of comorbidity (Elixhauser comorbidity index) and Stroke Subtype</w:t>
      </w:r>
    </w:p>
    <w:p>
      <w:pPr>
        <w:numPr>
          <w:ilvl w:val="2"/>
          <w:numId w:val="1007"/>
        </w:numPr>
      </w:pPr>
      <w:r>
        <w:rPr>
          <w:b/>
          <w:bCs/>
        </w:rPr>
        <w:t xml:space="preserve">Hospital-Level Factors:</w:t>
      </w:r>
      <w:r>
        <w:t xml:space="preserve"> </w:t>
      </w:r>
      <w:r>
        <w:t xml:space="preserve">Hospital Region, Hospital Bed Size, and Hospital Location/Teaching Status</w:t>
      </w:r>
    </w:p>
    <w:p>
      <w:pPr>
        <w:numPr>
          <w:ilvl w:val="0"/>
          <w:numId w:val="1001"/>
        </w:numPr>
      </w:pPr>
      <w:r>
        <w:rPr>
          <w:b/>
          <w:bCs/>
        </w:rPr>
        <w:t xml:space="preserve">Software:</w:t>
      </w:r>
      <w:r>
        <w:t xml:space="preserve"> </w:t>
      </w:r>
      <w:r>
        <w:t xml:space="preserve">All statistical analyses were performed using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1,899,015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Stroke without Dementia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1,678,440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Stroke with Dementia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220,575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938,735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806,070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132,665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960,190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872,295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87,895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1,231,495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1,080,065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151,430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57,575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325,130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291,880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165,510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148,425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17,085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61,280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54,940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570,300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496,630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440,270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441,780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389,110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359,405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311,360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376,115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362,040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14,075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192,820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186,295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6,525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1,190,585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996,075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194,510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136,785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131,470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404,425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356,175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325,890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286,995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799,160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708,305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326,965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1,043,150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930,775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112,375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533,835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322,030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279,615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121,390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313,480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272,130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1,464,145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1,302,070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162,075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225,045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1,599,690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1,408,135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70,390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186,150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163,785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22,365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1,597,645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1,404,280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193,365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711,705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631,460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80,245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344,435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296,065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350,130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296,170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450,135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373,840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76,295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1,094,485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963,330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131,155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221,540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185,750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35,790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univariable-analysis"/>
    <w:p>
      <w:pPr>
        <w:pStyle w:val="Heading2"/>
      </w:pPr>
      <w:r>
        <w:t xml:space="preserve">Univariable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1,899,015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Stroke without Dementia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1,678,440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Stroke with Dementia</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220,575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123,240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108,715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48,102 (27,498, 92,250)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48,643 (27,629, 94,340)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44,652 (26,531, 78,877)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966,275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817,075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149,200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7" w:name="multivariable-logistic-regression"/>
    <w:p>
      <w:pPr>
        <w:pStyle w:val="Heading2"/>
      </w:pPr>
      <w:r>
        <w:t xml:space="preserve">Multivariable Logistic Regression:</w:t>
      </w:r>
    </w:p>
    <w:bookmarkStart w:id="25"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without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non-home-discharge"/>
    <w:p>
      <w:pPr>
        <w:pStyle w:val="Heading3"/>
      </w:pPr>
      <w:r>
        <w:t xml:space="preserve">Non-Home Discharge: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without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End w:id="27"/>
    <w:bookmarkStart w:id="30" w:name="multivariable-linear-regression"/>
    <w:p>
      <w:pPr>
        <w:pStyle w:val="Heading2"/>
      </w:pPr>
      <w:r>
        <w:t xml:space="preserve">Multivariable Linear Regression:</w:t>
      </w:r>
    </w:p>
    <w:bookmarkStart w:id="2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without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8"/>
    <w:bookmarkStart w:id="29" w:name="inflation-adjusted-total-charge"/>
    <w:p>
      <w:pPr>
        <w:pStyle w:val="Heading3"/>
      </w:pPr>
      <w:r>
        <w:t xml:space="preserve">Inflation-adjusted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without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Stroke with 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-6,992, -4,751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of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-51,476, -46,224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 Hemorrhage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144,966, 159,287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 -794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2,180, 3,874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12,580, 23,264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4,716, 9,225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20,547, 28,194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18,464, 27,204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ZIP Code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-1,364, 1,988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-1,681, 2,587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3,533, 9,863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13,150, 18,311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-3,214,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-4,928,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25,068, 35,365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12,110, 17,759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33,059, 42,420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-15,670, -8,631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-24,849, -17,337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21,854, 28,779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34,961, 39,100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Elixhauser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10,549, 11,561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jstrokecerebrovasdis.2017.12.029" TargetMode="External" /><Relationship Type="http://schemas.openxmlformats.org/officeDocument/2006/relationships/hyperlink" Id="rId21" Target="https://doi.org/10.1097/MCA.0000000000001479"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jstrokecerebrovasdis.2017.12.029" TargetMode="External" /><Relationship Type="http://schemas.openxmlformats.org/officeDocument/2006/relationships/hyperlink" Id="rId21" Target="https://doi.org/10.1097/MCA.0000000000001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Dementia on In-Hospital Outcomes Among Patients Admitted for Acute Stroke</dc:title>
  <dc:creator>Muhammad Saad; Shayan Marsia</dc:creator>
  <cp:keywords/>
  <dcterms:created xsi:type="dcterms:W3CDTF">2025-06-09T02:24:27Z</dcterms:created>
  <dcterms:modified xsi:type="dcterms:W3CDTF">2025-06-09T02:24:27Z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Neuro18</vt:lpwstr>
  </property>
  <property fmtid="{D5CDD505-2E9C-101B-9397-08002B2CF9AE}" pid="12" name="toc-title">
    <vt:lpwstr>Table of contents</vt:lpwstr>
  </property>
</Properties>
</file>