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 Disparities in Utilization and Outcomes of Robotic-Assisted Colectomy Among Patients with Colon Cancer</w:t>
      </w:r>
    </w:p>
    <w:p>
      <w:pPr>
        <w:pStyle w:val="Subtitle"/>
      </w:pPr>
      <w:r>
        <w:t xml:space="preserve">Analysis for RCOP NIS Surgery21</w:t>
      </w:r>
    </w:p>
    <w:p>
      <w:pPr>
        <w:pStyle w:val="Author"/>
      </w:pPr>
      <w:r>
        <w:t xml:space="preserve">Muhammad Saad</w:t>
      </w:r>
    </w:p>
    <w:p>
      <w:pPr>
        <w:pStyle w:val="Author"/>
      </w:pPr>
      <w:r>
        <w:t xml:space="preserve">Aimen Shafiq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Sheetz et al. 2019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Salman et al. 2025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examine the association between patient race and the utilization of robotic-assisted colectomy (RAC) versus non-robotic approaches (laparoscopic or open) among adults undergoing elective colectomy for colon cancer in the United States, and to assess postoperative outcomes specifically among those who underwent robotic-assisted colectomy.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database from 2018 to 2020, a representative sample of all-payer inpatient hospitalizations in the U.S.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The study population included adult patients (aged 18 years or older) who were hospitalized with a diagnosis of colon cancer and underwent colectomy during an elective admission. Colon cancer was identified using ICD-10-CM codes (C18.0–C18.9), and colectomy procedures were identified using ICD-10-PCS codes. Surgical approach was classified as robotic-assisted, laparoscopic, or open, based on procedure codes. Patients with missing race/ethnicity information were excluded.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</w:t>
      </w:r>
      <w:r>
        <w:t xml:space="preserve">: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Among all elective colectomy patients</w:t>
      </w:r>
      <w:r>
        <w:t xml:space="preserve">:</w:t>
      </w:r>
    </w:p>
    <w:p>
      <w:pPr>
        <w:pStyle w:val="Compact"/>
        <w:numPr>
          <w:ilvl w:val="2"/>
          <w:numId w:val="1004"/>
        </w:numPr>
      </w:pPr>
      <w:r>
        <w:t xml:space="preserve">Utilization of Robotic-Assisted Colectomy (vs non-robotic approach)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Among robotic-assisted colectomy patients only</w:t>
      </w:r>
      <w:r>
        <w:t xml:space="preserve">:</w:t>
      </w:r>
    </w:p>
    <w:p>
      <w:pPr>
        <w:numPr>
          <w:ilvl w:val="2"/>
          <w:numId w:val="1005"/>
        </w:numPr>
      </w:pPr>
      <w:r>
        <w:t xml:space="preserve">Length of Stay (LOS) in days</w:t>
      </w:r>
    </w:p>
    <w:p>
      <w:pPr>
        <w:numPr>
          <w:ilvl w:val="2"/>
          <w:numId w:val="1005"/>
        </w:numPr>
      </w:pPr>
      <w:r>
        <w:t xml:space="preserve">Inflation-adjusted Total Charges (converted to 2020 U.S. dollars using Consumer Price Index data)</w:t>
      </w:r>
    </w:p>
    <w:p>
      <w:pPr>
        <w:numPr>
          <w:ilvl w:val="2"/>
          <w:numId w:val="1005"/>
        </w:numPr>
      </w:pPr>
      <w:r>
        <w:t xml:space="preserve">Favorable Discharge (defined as discharge to home or with home health care)</w:t>
      </w:r>
    </w:p>
    <w:p>
      <w:pPr>
        <w:numPr>
          <w:ilvl w:val="2"/>
          <w:numId w:val="1005"/>
        </w:numPr>
      </w:pPr>
      <w:r>
        <w:t xml:space="preserve">Any Postoperative Complication — defined as the presence of one or more of the following:</w:t>
      </w:r>
    </w:p>
    <w:p>
      <w:pPr>
        <w:pStyle w:val="Compact"/>
        <w:numPr>
          <w:ilvl w:val="3"/>
          <w:numId w:val="1006"/>
        </w:numPr>
      </w:pPr>
      <w:r>
        <w:t xml:space="preserve">Postoperative infection</w:t>
      </w:r>
      <w:r>
        <w:br/>
      </w:r>
    </w:p>
    <w:p>
      <w:pPr>
        <w:pStyle w:val="Compact"/>
        <w:numPr>
          <w:ilvl w:val="3"/>
          <w:numId w:val="1006"/>
        </w:numPr>
      </w:pPr>
      <w:r>
        <w:t xml:space="preserve">Postoperative wound complications</w:t>
      </w:r>
      <w:r>
        <w:br/>
      </w:r>
    </w:p>
    <w:p>
      <w:pPr>
        <w:pStyle w:val="Compact"/>
        <w:numPr>
          <w:ilvl w:val="3"/>
          <w:numId w:val="1006"/>
        </w:numPr>
      </w:pPr>
      <w:r>
        <w:t xml:space="preserve">Postoperative bleeding</w:t>
      </w:r>
      <w:r>
        <w:br/>
      </w:r>
    </w:p>
    <w:p>
      <w:pPr>
        <w:pStyle w:val="Compact"/>
        <w:numPr>
          <w:ilvl w:val="3"/>
          <w:numId w:val="1006"/>
        </w:numPr>
      </w:pPr>
      <w:r>
        <w:t xml:space="preserve">Acute kidney injury</w:t>
      </w:r>
      <w:r>
        <w:br/>
      </w:r>
    </w:p>
    <w:p>
      <w:pPr>
        <w:pStyle w:val="Compact"/>
        <w:numPr>
          <w:ilvl w:val="3"/>
          <w:numId w:val="1006"/>
        </w:numPr>
      </w:pPr>
      <w:r>
        <w:t xml:space="preserve">Postoperative ileus</w:t>
      </w:r>
      <w:r>
        <w:br/>
      </w:r>
    </w:p>
    <w:p>
      <w:pPr>
        <w:pStyle w:val="Compact"/>
        <w:numPr>
          <w:ilvl w:val="3"/>
          <w:numId w:val="1006"/>
        </w:numPr>
      </w:pPr>
      <w:r>
        <w:t xml:space="preserve">Venous thromboembolism</w:t>
      </w:r>
      <w:r>
        <w:br/>
      </w:r>
    </w:p>
    <w:p>
      <w:pPr>
        <w:pStyle w:val="Compact"/>
        <w:numPr>
          <w:ilvl w:val="3"/>
          <w:numId w:val="1006"/>
        </w:numPr>
      </w:pPr>
      <w:r>
        <w:t xml:space="preserve">Acute myocardial infarction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Univariable and multivariable analyses were conducted to assess the association between race and the outcomes of interest: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8"/>
        </w:numPr>
      </w:pPr>
      <w:r>
        <w:t xml:space="preserve">Continuous variables: Design-based Kruskal-Wallis test.</w:t>
      </w:r>
    </w:p>
    <w:p>
      <w:pPr>
        <w:numPr>
          <w:ilvl w:val="2"/>
          <w:numId w:val="1008"/>
        </w:numPr>
      </w:pPr>
      <w:r>
        <w:t xml:space="preserve">Categorical variables: Pearson’s X² test with Rao &amp; Scott adjustment to account for survey design.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9"/>
        </w:numPr>
      </w:pPr>
      <w:r>
        <w:t xml:space="preserve">Logistic regression for binary outcomes (e.g., robotic utilization, complications).</w:t>
      </w:r>
    </w:p>
    <w:p>
      <w:pPr>
        <w:numPr>
          <w:ilvl w:val="2"/>
          <w:numId w:val="1009"/>
        </w:numPr>
      </w:pPr>
      <w:r>
        <w:t xml:space="preserve">Linear regression for continuous outcomes (e.g., length of stay, total charges).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Adjustments:</w:t>
      </w:r>
      <w:r>
        <w:t xml:space="preserve"> </w:t>
      </w:r>
      <w:r>
        <w:t xml:space="preserve">Models controlled for the following covariates:</w:t>
      </w:r>
    </w:p>
    <w:p>
      <w:pPr>
        <w:numPr>
          <w:ilvl w:val="2"/>
          <w:numId w:val="1010"/>
        </w:numPr>
      </w:pPr>
      <w:r>
        <w:rPr>
          <w:b/>
          <w:bCs/>
        </w:rPr>
        <w:t xml:space="preserve">Demographics and Socioeconomic Factors</w:t>
      </w:r>
      <w:r>
        <w:t xml:space="preserve">: Age, Sex, Race, Residential income, Expected primary payer.</w:t>
      </w:r>
    </w:p>
    <w:p>
      <w:pPr>
        <w:numPr>
          <w:ilvl w:val="2"/>
          <w:numId w:val="1010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A summary measure of comorbidity (Elixhauser comorbidity index).</w:t>
      </w:r>
    </w:p>
    <w:p>
      <w:pPr>
        <w:numPr>
          <w:ilvl w:val="2"/>
          <w:numId w:val="1010"/>
        </w:numPr>
      </w:pPr>
      <w:r>
        <w:rPr>
          <w:b/>
          <w:bCs/>
        </w:rPr>
        <w:t xml:space="preserve">Hospital-Level Factors:</w:t>
      </w:r>
      <w:r>
        <w:t xml:space="preserve"> </w:t>
      </w:r>
      <w:r>
        <w:t xml:space="preserve">Hospital region, Hospital bedsize, Hospital location and teaching status.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2"/>
    <w:bookmarkStart w:id="23" w:name="X23463587a8d3d81039bc2bfefbfea12bdf9c890"/>
    <w:p>
      <w:pPr>
        <w:pStyle w:val="Heading2"/>
      </w:pPr>
      <w:r>
        <w:t xml:space="preserve">Baseline Characteristics: All Elective Colectomy Patients with Colon Cancer: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138,955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105,320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4,525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14,615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10,440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4,055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69,410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52,450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2,100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7,700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5,110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2,050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69,540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52,870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2,425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6,915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5,325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33,735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6,755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3,195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36,450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29,030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2,715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34,495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27,045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32,440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47,200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34,515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3,935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8,310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4,390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78,745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63,555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6,995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4,445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1,855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4,605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670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27,320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25,370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19,855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54,760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39,300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8,670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4,255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27,405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4,000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73,195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55,105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2,520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7,845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5,485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39,475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29,725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4,260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3,045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26,285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12,040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10,655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18,310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103,605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76,355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3,755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11,925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8,390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3,180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3.89 (2.11)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3.88 (2.11)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3.90 (2.11)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4.05 (2.17)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3.76 (2.06)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3.79 (2.06)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31,170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23,185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3,545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34,295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24,430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4,480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11,080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9,030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21,415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17,445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10,885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3,875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27,205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20,415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3,555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82,510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61,880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10,285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5,790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6,860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5,015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Deficiency 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11,130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8,300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22,695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2,565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7,175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5,770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6" w:name="univariable-analysis"/>
    <w:p>
      <w:pPr>
        <w:pStyle w:val="Heading2"/>
      </w:pPr>
      <w:r>
        <w:t xml:space="preserve">Univariable Analysis:</w:t>
      </w:r>
    </w:p>
    <w:bookmarkStart w:id="24" w:name="Xb5a089345d16ab1a98be803cbaf35cda0adfcc5"/>
    <w:p>
      <w:pPr>
        <w:pStyle w:val="Heading3"/>
      </w:pPr>
      <w:r>
        <w:t xml:space="preserve">Outcomes Among All Elective Colectomy Patients: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138,955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105,320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4,525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14,615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10,440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4,055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Route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44,980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33,620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4,680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64,085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49,180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6,920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4,475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29,890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22,520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2,365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4"/>
    <w:bookmarkStart w:id="25" w:name="Xf5f6fbcd28b2b38f4bbb874bdaa97239f8b9c8f"/>
    <w:p>
      <w:pPr>
        <w:pStyle w:val="Heading3"/>
      </w:pPr>
      <w:r>
        <w:t xml:space="preserve">Outcomes Among Robotic-Assisted Colectomy Patients Only: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29,890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22,520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1,035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3,015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2,365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 (2.00, 4.00)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 (2.00, 4.00)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 (2.00, 4.00)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 (2.00, 5.00)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 (2.00, 4.00)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 (2.00, 5.00)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80,777 (55,921, 122,360)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78,828 (55,217, 116,965)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80,966 (54,653, 129,704)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78,536 (56,480, 128,010)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103,408 (71,180, 144,613)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90,512 (57,730, 141,844)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28,285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21,175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2,875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2,310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Postoperative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2,520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Wound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Bleeding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1,315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Ileus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Venous Thromboembolism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5"/>
    <w:bookmarkEnd w:id="26"/>
    <w:bookmarkStart w:id="30" w:name="multivariable-logistic-regression"/>
    <w:p>
      <w:pPr>
        <w:pStyle w:val="Heading2"/>
      </w:pPr>
      <w:r>
        <w:t xml:space="preserve">Multivariable Logistic Regression:</w:t>
      </w:r>
    </w:p>
    <w:bookmarkStart w:id="27" w:name="X4f7be4d603ea93672a198ec5b63d15020097e9f"/>
    <w:p>
      <w:pPr>
        <w:pStyle w:val="Heading3"/>
      </w:pPr>
      <w:r>
        <w:t xml:space="preserve">Likelihood of Robotic Use (All Elective Colectomy Patients):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1.90, 3.22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2.24, 3.68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Start w:id="28" w:name="X1cbaad4297693057cb3ef30864efa5d06a6b96c"/>
    <w:p>
      <w:pPr>
        <w:pStyle w:val="Heading3"/>
      </w:pPr>
      <w:r>
        <w:t xml:space="preserve">Favorable Discharge (Robotic-Assisted Patients):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0.73, 6.87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Start w:id="29" w:name="Xd20a33611fb3b3debd0566dbe5adcbb80f79834"/>
    <w:p>
      <w:pPr>
        <w:pStyle w:val="Heading3"/>
      </w:pPr>
      <w:r>
        <w:t xml:space="preserve">Any Postoperative Complication (Robotic-Assisted Patients):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9"/>
    <w:bookmarkEnd w:id="30"/>
    <w:bookmarkStart w:id="33" w:name="multivariable-linear-regression"/>
    <w:p>
      <w:pPr>
        <w:pStyle w:val="Heading2"/>
      </w:pPr>
      <w:r>
        <w:t xml:space="preserve">Multivariable Linear Regression:</w:t>
      </w:r>
    </w:p>
    <w:bookmarkStart w:id="31" w:name="length-of-stay-robotic-assisted-patients"/>
    <w:p>
      <w:pPr>
        <w:pStyle w:val="Heading3"/>
      </w:pPr>
      <w:r>
        <w:t xml:space="preserve">Length of Stay (Robotic-Assisted Patients):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-0.65, 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1"/>
    <w:bookmarkStart w:id="32" w:name="Xd0b83e13140f36f8825fcd3a9e7a31d3736f405"/>
    <w:p>
      <w:pPr>
        <w:pStyle w:val="Heading3"/>
      </w:pPr>
      <w:r>
        <w:t xml:space="preserve">Inflation-adjusted Total Charge (Robotic-Assisted Patients):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-15,473, 6,617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-727, 19,207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3,847, 21,077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883, 28,960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-284, 220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3,105, 11,248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-8,183, 5,856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-13,477, 268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-8,386, 7,964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1,503, 29,280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-1,421, 10,756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-13,496, 8,644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1,380, 19,745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15,416, 29,650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42,148, 59,711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-10,992, 3,097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-15,858, -350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28,051, 54,647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17,826, 40,251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6,339, 9,179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7/MCA.0000000000001479" TargetMode="External" /><Relationship Type="http://schemas.openxmlformats.org/officeDocument/2006/relationships/hyperlink" Id="rId20" Target="https://jamanetwork.com/journals/jamasurgery/fullarticle/275256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7/MCA.0000000000001479" TargetMode="External" /><Relationship Type="http://schemas.openxmlformats.org/officeDocument/2006/relationships/hyperlink" Id="rId20" Target="https://jamanetwork.com/journals/jamasurgery/fullarticle/27525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Disparities in Utilization and Outcomes of Robotic-Assisted Colectomy Among Patients with Colon Cancer</dc:title>
  <dc:creator>Muhammad Saad; Aimen Shafiq</dc:creator>
  <cp:keywords/>
  <dcterms:created xsi:type="dcterms:W3CDTF">2025-05-19T22:37:22Z</dcterms:created>
  <dcterms:modified xsi:type="dcterms:W3CDTF">2025-05-19T22:37:22Z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Surgery21</vt:lpwstr>
  </property>
  <property fmtid="{D5CDD505-2E9C-101B-9397-08002B2CF9AE}" pid="12" name="toc-title">
    <vt:lpwstr>Table of contents</vt:lpwstr>
  </property>
</Properties>
</file>