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7.png" ContentType="image/png"/>
  <Override PartName="/word/media/rId2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cohort represented</w:t>
            </w:r>
            <w:r>
              <w:t xml:space="preserve"> </w:t>
            </w:r>
            <w:r>
              <w:rPr>
                <w:b/>
                <w:bCs/>
              </w:rPr>
              <w:t xml:space="preserve">249,570</w:t>
            </w:r>
            <w:r>
              <w:t xml:space="preserve"> </w:t>
            </w:r>
            <w:r>
              <w:t xml:space="preserve">hospitalizations nationally;</w:t>
            </w:r>
            <w:r>
              <w:t xml:space="preserve"> </w:t>
            </w:r>
            <w:r>
              <w:rPr>
                <w:b/>
                <w:bCs/>
              </w:rPr>
              <w:t xml:space="preserve">58,270</w:t>
            </w:r>
            <w:r>
              <w:t xml:space="preserve"> </w:t>
            </w:r>
            <w:r>
              <w:t xml:space="preserve">(</w:t>
            </w:r>
            <w:r>
              <w:rPr>
                <w:b/>
                <w:bCs/>
              </w:rPr>
              <w:t xml:space="preserve">23.3%</w:t>
            </w:r>
            <w:r>
              <w:t xml:space="preserve">) 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2"/>
    <w:bookmarkStart w:id="16" w:name="methods"/>
    <w:p>
      <w:pPr>
        <w:pStyle w:val="Heading2"/>
      </w:pPr>
      <w:r>
        <w:t xml:space="preserve">Methods</w:t>
      </w:r>
    </w:p>
    <w:bookmarkStart w:id="13" w:name="data-and-cohort"/>
    <w:p>
      <w:pPr>
        <w:pStyle w:val="Heading3"/>
      </w:pPr>
      <w:r>
        <w:t xml:space="preserve">Data and cohort</w:t>
      </w:r>
    </w:p>
    <w:p>
      <w:pPr>
        <w:pStyle w:val="FirstParagraph"/>
      </w:pPr>
      <w:r>
        <w:t xml:space="preserve">We analyzed the Healthcare Cost and Utilization Project (HCUP) National Inpatient Sample (NIS) for</w:t>
      </w:r>
      <w:r>
        <w:t xml:space="preserve"> </w:t>
      </w:r>
      <w:r>
        <w:rPr>
          <w:b/>
          <w:bCs/>
        </w:rPr>
        <w:t xml:space="preserve">2017–2022</w:t>
      </w:r>
      <w:r>
        <w:t xml:space="preserve">. The cohort included adult hospitalizations for acute traumatic brain injury (TBI) with documented alcohol use disorder. Each record represents a hospitalization, not a unique person. Survey weights were used to estimate national patterns.</w:t>
      </w:r>
    </w:p>
    <w:bookmarkEnd w:id="13"/>
    <w:bookmarkStart w:id="14" w:name="exposure-outcomes-and-covariates"/>
    <w:p>
      <w:pPr>
        <w:pStyle w:val="Heading3"/>
      </w:pPr>
      <w:r>
        <w:t xml:space="preserve">Exposure, outcomes, and covariates</w:t>
      </w:r>
    </w:p>
    <w:p>
      <w:pPr>
        <w:pStyle w:val="FirstParagraph"/>
      </w:pPr>
      <w:r>
        <w:t xml:space="preserve">The exposure was a diagnosis code for AWS during the hospitalization. Outcomes were in-hospital death, invasive mechanical ventilation, pneumonia or aspiration, discharge to an institution, discharge against medical advice, length of stay (LOS), and hospital cost. Adjusted models accounted for patient demographics, hospital characteristics, injury features, and chronic conditions.</w:t>
      </w:r>
    </w:p>
    <w:bookmarkEnd w:id="14"/>
    <w:bookmarkStart w:id="15" w:name="statistical-analysis"/>
    <w:p>
      <w:pPr>
        <w:pStyle w:val="Heading3"/>
      </w:pPr>
      <w:r>
        <w:t xml:space="preserve">Statistical analysis</w:t>
      </w:r>
    </w:p>
    <w:p>
      <w:pPr>
        <w:pStyle w:val="FirstParagraph"/>
      </w:pPr>
      <w:r>
        <w:t xml:space="preserve">We compared hospitalizations with and without coded AWS using survey-weighted regression. Binary outcomes are reported as weighted n (%) and analyzed with survey-weighted logistic regression; LOS and cost are summarized as weighted median (IQR) and modeled with survey-weighted log-link generalized linear models (quasipoisson for LOS and gamma for cost), which handle right-skewed data without transforming the outcome and estimate mean differences as predictive margins. Adjusted odds ratios summarize associations for binary outcomes after accounting for the listed covariates; values above 1 indicate higher odds and values below 1 indicate lower odds. Results describe associations and do not establish cause and effect. All counts and percentages are survey-weighted national estimates, reported as weighted n (weighted %). The analysis included 49,914 sampled hospitalizations, representing 249,570 hospitalizations nationally. Cells based on 10 or fewer sampled hospitalizations are suppressed (≤10) per the HCUP data use agreement.</w:t>
      </w:r>
    </w:p>
    <w:bookmarkEnd w:id="15"/>
    <w:bookmarkEnd w:id="16"/>
    <w:bookmarkStart w:id="21" w:name="cohort-flow"/>
    <w:p>
      <w:pPr>
        <w:pStyle w:val="Heading2"/>
      </w:pPr>
      <w:r>
        <w:t xml:space="preserve">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20" w:name="fig-cohort-flow"/>
          <w:p>
            <w:pPr>
              <w:pStyle w:val="Compact"/>
              <w:jc w:val="center"/>
            </w:pPr>
            <w:r>
              <w:drawing>
                <wp:inline>
                  <wp:extent cx="4800600" cy="3840480"/>
                  <wp:effectExtent b="0" l="0" r="0" t="0"/>
                  <wp:docPr descr="" title="" id="18" name="Picture"/>
                  <a:graphic>
                    <a:graphicData uri="http://schemas.openxmlformats.org/drawingml/2006/picture">
                      <pic:pic>
                        <pic:nvPicPr>
                          <pic:cNvPr descr="../output/public/cohort_flow.png" id="19" name="Picture"/>
                          <pic:cNvPicPr>
                            <a:picLocks noChangeArrowheads="1" noChangeAspect="1"/>
                          </pic:cNvPicPr>
                        </pic:nvPicPr>
                        <pic:blipFill>
                          <a:blip r:embed="rId17"/>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Cohort flow for adult TBI hospitalizations with alcohol use disorder, NIS 2017–2022.</w:t>
            </w:r>
          </w:p>
          <w:bookmarkEnd w:id="20"/>
        </w:tc>
      </w:tr>
    </w:tbl>
    <w:bookmarkEnd w:id="21"/>
    <w:bookmarkStart w:id="23" w:name="baseline-characteristics"/>
    <w:p>
      <w:pPr>
        <w:pStyle w:val="Heading2"/>
      </w:pPr>
      <w:r>
        <w:t xml:space="preserve">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2" w:name="tbl-baseline"/>
          <w:p>
            <w:pPr>
              <w:jc w:val="center"/>
            </w:pPr>
            <w:pPr>
              <w:jc w:val="left"/>
              <w:spacing w:before="200"/>
              <w:pStyle w:val="ImageCaption"/>
            </w:pPr>
            <w:r>
              <w:t xml:space="preserve">Table 1: Baseline characteristics of adult TBI hospitalizations by AWS status.</w:t>
            </w:r>
          </w:p>
          <w:tbl>
            <w:tblPr>
              <w:tblStyle w:val="Table"/>
              <w:tblW w:type="pct" w:w="5000"/>
              <w:tblLayout w:type="fixed"/>
              <w:tblLook w:firstRow="1" w:lastRow="0" w:firstColumn="0" w:lastColumn="0" w:noHBand="0" w:noVBand="0" w:val="0020"/>
            </w:tblPr>
            <w:tblGrid>
              <w:gridCol w:w="3593"/>
              <w:gridCol w:w="1397"/>
              <w:gridCol w:w="1331"/>
              <w:gridCol w:w="1064"/>
              <w:gridCol w:w="532"/>
            </w:tblGrid>
            <w:tr>
              <w:trPr>
                <w:tblHeader w:val="on"/>
              </w:trPr>
              <w:tc>
                <w:tcPr/>
                <w:p>
                  <w:pPr>
                    <w:pStyle w:val="Compact"/>
                    <w:jc w:val="left"/>
                    <w:jc w:val="center"/>
                  </w:pPr>
                  <w:r>
                    <w:t xml:space="preserve">Characteristic</w:t>
                  </w:r>
                </w:p>
              </w:tc>
              <w:tc>
                <w:tcPr/>
                <w:p>
                  <w:pPr>
                    <w:pStyle w:val="Compact"/>
                    <w:jc w:val="left"/>
                    <w:jc w:val="center"/>
                  </w:pPr>
                  <w:r>
                    <w:t xml:space="preserve">Overall, N = 249,570</w:t>
                  </w:r>
                </w:p>
              </w:tc>
              <w:tc>
                <w:tcPr/>
                <w:p>
                  <w:pPr>
                    <w:pStyle w:val="Compact"/>
                    <w:jc w:val="left"/>
                    <w:jc w:val="center"/>
                  </w:pPr>
                  <w:r>
                    <w:t xml:space="preserve">No AWS, N = 191,300</w:t>
                  </w:r>
                </w:p>
              </w:tc>
              <w:tc>
                <w:tcPr/>
                <w:p>
                  <w:pPr>
                    <w:pStyle w:val="Compact"/>
                    <w:jc w:val="left"/>
                    <w:jc w:val="center"/>
                  </w:pPr>
                  <w:r>
                    <w:t xml:space="preserve">AWS, N = 58,270</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Female, n (%)</w:t>
                  </w:r>
                </w:p>
              </w:tc>
              <w:tc>
                <w:tcPr/>
                <w:p>
                  <w:pPr>
                    <w:pStyle w:val="Compact"/>
                    <w:jc w:val="left"/>
                    <w:jc w:val="center"/>
                  </w:pPr>
                  <w:r>
                    <w:t xml:space="preserve">55,260 (22.2%)</w:t>
                  </w:r>
                </w:p>
              </w:tc>
              <w:tc>
                <w:tcPr/>
                <w:p>
                  <w:pPr>
                    <w:pStyle w:val="Compact"/>
                    <w:jc w:val="left"/>
                    <w:jc w:val="center"/>
                  </w:pPr>
                  <w:r>
                    <w:t xml:space="preserve">44,425 (23.2%)</w:t>
                  </w:r>
                </w:p>
              </w:tc>
              <w:tc>
                <w:tcPr/>
                <w:p>
                  <w:pPr>
                    <w:pStyle w:val="Compact"/>
                    <w:jc w:val="left"/>
                    <w:jc w:val="center"/>
                  </w:pPr>
                  <w:r>
                    <w:t xml:space="preserve">10,835 (18.6%)</w:t>
                  </w:r>
                </w:p>
              </w:tc>
              <w:tc>
                <w:tcPr/>
                <w:p>
                  <w:pPr>
                    <w:pStyle w:val="Compact"/>
                    <w:jc w:val="left"/>
                    <w:jc w:val="center"/>
                  </w:pPr>
                  <w:r>
                    <w:t xml:space="preserve">&lt;0.001</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155,975 (62.5%)</w:t>
                  </w:r>
                </w:p>
              </w:tc>
              <w:tc>
                <w:tcPr/>
                <w:p>
                  <w:pPr>
                    <w:pStyle w:val="Compact"/>
                    <w:jc w:val="left"/>
                    <w:jc w:val="center"/>
                  </w:pPr>
                  <w:r>
                    <w:t xml:space="preserve">116,220 (60.8%)</w:t>
                  </w:r>
                </w:p>
              </w:tc>
              <w:tc>
                <w:tcPr/>
                <w:p>
                  <w:pPr>
                    <w:pStyle w:val="Compact"/>
                    <w:jc w:val="left"/>
                    <w:jc w:val="center"/>
                  </w:pPr>
                  <w:r>
                    <w:t xml:space="preserve">39,755 (68.2%)</w:t>
                  </w:r>
                </w:p>
              </w:tc>
              <w:tc>
                <w:tcPr/>
                <w:p>
                  <w:pPr>
                    <w:pStyle w:val="Compact"/>
                  </w:pPr>
                </w:p>
              </w:tc>
            </w:tr>
            <w:tr>
              <w:tc>
                <w:tcPr/>
                <w:p>
                  <w:pPr>
                    <w:pStyle w:val="Compact"/>
                    <w:jc w:val="left"/>
                    <w:jc w:val="center"/>
                  </w:pPr>
                  <w:r>
                    <w:t xml:space="preserve">Black</w:t>
                  </w:r>
                </w:p>
              </w:tc>
              <w:tc>
                <w:tcPr/>
                <w:p>
                  <w:pPr>
                    <w:pStyle w:val="Compact"/>
                    <w:jc w:val="left"/>
                    <w:jc w:val="center"/>
                  </w:pPr>
                  <w:r>
                    <w:t xml:space="preserve">31,640 (12.7%)</w:t>
                  </w:r>
                </w:p>
              </w:tc>
              <w:tc>
                <w:tcPr/>
                <w:p>
                  <w:pPr>
                    <w:pStyle w:val="Compact"/>
                    <w:jc w:val="left"/>
                    <w:jc w:val="center"/>
                  </w:pPr>
                  <w:r>
                    <w:t xml:space="preserve">26,040 (13.6%)</w:t>
                  </w:r>
                </w:p>
              </w:tc>
              <w:tc>
                <w:tcPr/>
                <w:p>
                  <w:pPr>
                    <w:pStyle w:val="Compact"/>
                    <w:jc w:val="left"/>
                    <w:jc w:val="center"/>
                  </w:pPr>
                  <w:r>
                    <w:t xml:space="preserve">5,600 (9.6%)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34,230 (13.7%)</w:t>
                  </w:r>
                </w:p>
              </w:tc>
              <w:tc>
                <w:tcPr/>
                <w:p>
                  <w:pPr>
                    <w:pStyle w:val="Compact"/>
                    <w:jc w:val="left"/>
                    <w:jc w:val="center"/>
                  </w:pPr>
                  <w:r>
                    <w:t xml:space="preserve">27,185 (14.2%)</w:t>
                  </w:r>
                </w:p>
              </w:tc>
              <w:tc>
                <w:tcPr/>
                <w:p>
                  <w:pPr>
                    <w:pStyle w:val="Compact"/>
                    <w:jc w:val="left"/>
                    <w:jc w:val="center"/>
                  </w:pPr>
                  <w:r>
                    <w:t xml:space="preserve">7,045 (12.1%)</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3,400 (1.4%)</w:t>
                  </w:r>
                </w:p>
              </w:tc>
              <w:tc>
                <w:tcPr/>
                <w:p>
                  <w:pPr>
                    <w:pStyle w:val="Compact"/>
                    <w:jc w:val="left"/>
                    <w:jc w:val="center"/>
                  </w:pPr>
                  <w:r>
                    <w:t xml:space="preserve">2,765 (1.4%)</w:t>
                  </w:r>
                </w:p>
              </w:tc>
              <w:tc>
                <w:tcPr/>
                <w:p>
                  <w:pPr>
                    <w:pStyle w:val="Compact"/>
                    <w:jc w:val="left"/>
                    <w:jc w:val="center"/>
                  </w:pPr>
                  <w:r>
                    <w:t xml:space="preserve">635 (1.1%)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5,510 (2.2%)</w:t>
                  </w:r>
                </w:p>
              </w:tc>
              <w:tc>
                <w:tcPr/>
                <w:p>
                  <w:pPr>
                    <w:pStyle w:val="Compact"/>
                    <w:jc w:val="left"/>
                    <w:jc w:val="center"/>
                  </w:pPr>
                  <w:r>
                    <w:t xml:space="preserve">4,105 (2.1%)</w:t>
                  </w:r>
                </w:p>
              </w:tc>
              <w:tc>
                <w:tcPr/>
                <w:p>
                  <w:pPr>
                    <w:pStyle w:val="Compact"/>
                    <w:jc w:val="left"/>
                    <w:jc w:val="center"/>
                  </w:pPr>
                  <w:r>
                    <w:t xml:space="preserve">1,405 (2.4%)</w:t>
                  </w:r>
                </w:p>
              </w:tc>
              <w:tc>
                <w:tcPr/>
                <w:p>
                  <w:pPr>
                    <w:pStyle w:val="Compact"/>
                  </w:pPr>
                </w:p>
              </w:tc>
            </w:tr>
            <w:tr>
              <w:tc>
                <w:tcPr/>
                <w:p>
                  <w:pPr>
                    <w:pStyle w:val="Compact"/>
                    <w:jc w:val="left"/>
                    <w:jc w:val="center"/>
                  </w:pPr>
                  <w:r>
                    <w:t xml:space="preserve">Other</w:t>
                  </w:r>
                </w:p>
              </w:tc>
              <w:tc>
                <w:tcPr/>
                <w:p>
                  <w:pPr>
                    <w:pStyle w:val="Compact"/>
                    <w:jc w:val="left"/>
                    <w:jc w:val="center"/>
                  </w:pPr>
                  <w:r>
                    <w:t xml:space="preserve">9,305 (3.7%)</w:t>
                  </w:r>
                </w:p>
              </w:tc>
              <w:tc>
                <w:tcPr/>
                <w:p>
                  <w:pPr>
                    <w:pStyle w:val="Compact"/>
                    <w:jc w:val="left"/>
                    <w:jc w:val="center"/>
                  </w:pPr>
                  <w:r>
                    <w:t xml:space="preserve">7,420 (3.9%)</w:t>
                  </w:r>
                </w:p>
              </w:tc>
              <w:tc>
                <w:tcPr/>
                <w:p>
                  <w:pPr>
                    <w:pStyle w:val="Compact"/>
                    <w:jc w:val="left"/>
                    <w:jc w:val="center"/>
                  </w:pPr>
                  <w:r>
                    <w:t xml:space="preserve">1,885 (3.2%)</w:t>
                  </w:r>
                </w:p>
              </w:tc>
              <w:tc>
                <w:tcPr/>
                <w:p>
                  <w:pPr>
                    <w:pStyle w:val="Compact"/>
                  </w:pPr>
                </w:p>
              </w:tc>
            </w:tr>
            <w:tr>
              <w:tc>
                <w:tcPr/>
                <w:p>
                  <w:pPr>
                    <w:pStyle w:val="Compact"/>
                    <w:jc w:val="left"/>
                    <w:jc w:val="center"/>
                  </w:pPr>
                  <w:r>
                    <w:t xml:space="preserve">Unknown</w:t>
                  </w:r>
                </w:p>
              </w:tc>
              <w:tc>
                <w:tcPr/>
                <w:p>
                  <w:pPr>
                    <w:pStyle w:val="Compact"/>
                    <w:jc w:val="left"/>
                    <w:jc w:val="center"/>
                  </w:pPr>
                  <w:r>
                    <w:t xml:space="preserve">9,510 (3.8%)</w:t>
                  </w:r>
                </w:p>
              </w:tc>
              <w:tc>
                <w:tcPr/>
                <w:p>
                  <w:pPr>
                    <w:pStyle w:val="Compact"/>
                    <w:jc w:val="left"/>
                    <w:jc w:val="center"/>
                  </w:pPr>
                  <w:r>
                    <w:t xml:space="preserve">7,565 (4.0%)</w:t>
                  </w:r>
                </w:p>
              </w:tc>
              <w:tc>
                <w:tcPr/>
                <w:p>
                  <w:pPr>
                    <w:pStyle w:val="Compact"/>
                    <w:jc w:val="left"/>
                    <w:jc w:val="center"/>
                  </w:pPr>
                  <w:r>
                    <w:t xml:space="preserve">1,945 (3.3%)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62,235 (24.9%)</w:t>
                  </w:r>
                </w:p>
              </w:tc>
              <w:tc>
                <w:tcPr/>
                <w:p>
                  <w:pPr>
                    <w:pStyle w:val="Compact"/>
                    <w:jc w:val="left"/>
                    <w:jc w:val="center"/>
                  </w:pPr>
                  <w:r>
                    <w:t xml:space="preserve">46,655 (24.4%)</w:t>
                  </w:r>
                </w:p>
              </w:tc>
              <w:tc>
                <w:tcPr/>
                <w:p>
                  <w:pPr>
                    <w:pStyle w:val="Compact"/>
                    <w:jc w:val="left"/>
                    <w:jc w:val="center"/>
                  </w:pPr>
                  <w:r>
                    <w:t xml:space="preserve">15,580 (26.7%)</w:t>
                  </w:r>
                </w:p>
              </w:tc>
              <w:tc>
                <w:tcPr/>
                <w:p>
                  <w:pPr>
                    <w:pStyle w:val="Compact"/>
                  </w:pPr>
                </w:p>
              </w:tc>
            </w:tr>
            <w:tr>
              <w:tc>
                <w:tcPr/>
                <w:p>
                  <w:pPr>
                    <w:pStyle w:val="Compact"/>
                    <w:jc w:val="left"/>
                    <w:jc w:val="center"/>
                  </w:pPr>
                  <w:r>
                    <w:t xml:space="preserve">Medicaid</w:t>
                  </w:r>
                </w:p>
              </w:tc>
              <w:tc>
                <w:tcPr/>
                <w:p>
                  <w:pPr>
                    <w:pStyle w:val="Compact"/>
                    <w:jc w:val="left"/>
                    <w:jc w:val="center"/>
                  </w:pPr>
                  <w:r>
                    <w:t xml:space="preserve">72,170 (28.9%)</w:t>
                  </w:r>
                </w:p>
              </w:tc>
              <w:tc>
                <w:tcPr/>
                <w:p>
                  <w:pPr>
                    <w:pStyle w:val="Compact"/>
                    <w:jc w:val="left"/>
                    <w:jc w:val="center"/>
                  </w:pPr>
                  <w:r>
                    <w:t xml:space="preserve">52,335 (27.4%)</w:t>
                  </w:r>
                </w:p>
              </w:tc>
              <w:tc>
                <w:tcPr/>
                <w:p>
                  <w:pPr>
                    <w:pStyle w:val="Compact"/>
                    <w:jc w:val="left"/>
                    <w:jc w:val="center"/>
                  </w:pPr>
                  <w:r>
                    <w:t xml:space="preserve">19,835 (34.0%)</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70,490 (28.2%)</w:t>
                  </w:r>
                </w:p>
              </w:tc>
              <w:tc>
                <w:tcPr/>
                <w:p>
                  <w:pPr>
                    <w:pStyle w:val="Compact"/>
                    <w:jc w:val="left"/>
                    <w:jc w:val="center"/>
                  </w:pPr>
                  <w:r>
                    <w:t xml:space="preserve">56,710 (29.6%)</w:t>
                  </w:r>
                </w:p>
              </w:tc>
              <w:tc>
                <w:tcPr/>
                <w:p>
                  <w:pPr>
                    <w:pStyle w:val="Compact"/>
                    <w:jc w:val="left"/>
                    <w:jc w:val="center"/>
                  </w:pPr>
                  <w:r>
                    <w:t xml:space="preserve">13,780 (23.6%)</w:t>
                  </w:r>
                </w:p>
              </w:tc>
              <w:tc>
                <w:tcPr/>
                <w:p>
                  <w:pPr>
                    <w:pStyle w:val="Compact"/>
                  </w:pPr>
                </w:p>
              </w:tc>
            </w:tr>
            <w:tr>
              <w:tc>
                <w:tcPr/>
                <w:p>
                  <w:pPr>
                    <w:pStyle w:val="Compact"/>
                    <w:jc w:val="left"/>
                    <w:jc w:val="center"/>
                  </w:pPr>
                  <w:r>
                    <w:t xml:space="preserve">Self-pay</w:t>
                  </w:r>
                </w:p>
              </w:tc>
              <w:tc>
                <w:tcPr/>
                <w:p>
                  <w:pPr>
                    <w:pStyle w:val="Compact"/>
                    <w:jc w:val="left"/>
                    <w:jc w:val="center"/>
                  </w:pPr>
                  <w:r>
                    <w:t xml:space="preserve">29,185 (11.7%)</w:t>
                  </w:r>
                </w:p>
              </w:tc>
              <w:tc>
                <w:tcPr/>
                <w:p>
                  <w:pPr>
                    <w:pStyle w:val="Compact"/>
                    <w:jc w:val="left"/>
                    <w:jc w:val="center"/>
                  </w:pPr>
                  <w:r>
                    <w:t xml:space="preserve">23,665 (12.4%)</w:t>
                  </w:r>
                </w:p>
              </w:tc>
              <w:tc>
                <w:tcPr/>
                <w:p>
                  <w:pPr>
                    <w:pStyle w:val="Compact"/>
                    <w:jc w:val="left"/>
                    <w:jc w:val="center"/>
                  </w:pPr>
                  <w:r>
                    <w:t xml:space="preserve">5,520 (9.5%)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2,720 (1.1%)</w:t>
                  </w:r>
                </w:p>
              </w:tc>
              <w:tc>
                <w:tcPr/>
                <w:p>
                  <w:pPr>
                    <w:pStyle w:val="Compact"/>
                    <w:jc w:val="left"/>
                    <w:jc w:val="center"/>
                  </w:pPr>
                  <w:r>
                    <w:t xml:space="preserve">2,160 (1.1%)</w:t>
                  </w:r>
                </w:p>
              </w:tc>
              <w:tc>
                <w:tcPr/>
                <w:p>
                  <w:pPr>
                    <w:pStyle w:val="Compact"/>
                    <w:jc w:val="left"/>
                    <w:jc w:val="center"/>
                  </w:pPr>
                  <w:r>
                    <w:t xml:space="preserve">560 (1.0%)</w:t>
                  </w:r>
                </w:p>
              </w:tc>
              <w:tc>
                <w:tcPr/>
                <w:p>
                  <w:pPr>
                    <w:pStyle w:val="Compact"/>
                  </w:pPr>
                </w:p>
              </w:tc>
            </w:tr>
            <w:tr>
              <w:tc>
                <w:tcPr/>
                <w:p>
                  <w:pPr>
                    <w:pStyle w:val="Compact"/>
                    <w:jc w:val="left"/>
                    <w:jc w:val="center"/>
                  </w:pPr>
                  <w:r>
                    <w:t xml:space="preserve">Other</w:t>
                  </w:r>
                </w:p>
              </w:tc>
              <w:tc>
                <w:tcPr/>
                <w:p>
                  <w:pPr>
                    <w:pStyle w:val="Compact"/>
                    <w:jc w:val="left"/>
                    <w:jc w:val="center"/>
                  </w:pPr>
                  <w:r>
                    <w:t xml:space="preserve">12,000 (4.8%)</w:t>
                  </w:r>
                </w:p>
              </w:tc>
              <w:tc>
                <w:tcPr/>
                <w:p>
                  <w:pPr>
                    <w:pStyle w:val="Compact"/>
                    <w:jc w:val="left"/>
                    <w:jc w:val="center"/>
                  </w:pPr>
                  <w:r>
                    <w:t xml:space="preserve">9,150 (4.8%)</w:t>
                  </w:r>
                </w:p>
              </w:tc>
              <w:tc>
                <w:tcPr/>
                <w:p>
                  <w:pPr>
                    <w:pStyle w:val="Compact"/>
                    <w:jc w:val="left"/>
                    <w:jc w:val="center"/>
                  </w:pPr>
                  <w:r>
                    <w:t xml:space="preserve">2,850 (4.9%)</w:t>
                  </w:r>
                </w:p>
              </w:tc>
              <w:tc>
                <w:tcPr/>
                <w:p>
                  <w:pPr>
                    <w:pStyle w:val="Compact"/>
                  </w:pPr>
                </w:p>
              </w:tc>
            </w:tr>
            <w:tr>
              <w:tc>
                <w:tcPr/>
                <w:p>
                  <w:pPr>
                    <w:pStyle w:val="Compact"/>
                    <w:jc w:val="left"/>
                    <w:jc w:val="center"/>
                  </w:pPr>
                  <w:r>
                    <w:t xml:space="preserve">Unknown</w:t>
                  </w:r>
                </w:p>
              </w:tc>
              <w:tc>
                <w:tcPr/>
                <w:p>
                  <w:pPr>
                    <w:pStyle w:val="Compact"/>
                    <w:jc w:val="left"/>
                    <w:jc w:val="center"/>
                  </w:pPr>
                  <w:r>
                    <w:t xml:space="preserve">770 (0.3%)</w:t>
                  </w:r>
                </w:p>
              </w:tc>
              <w:tc>
                <w:tcPr/>
                <w:p>
                  <w:pPr>
                    <w:pStyle w:val="Compact"/>
                    <w:jc w:val="left"/>
                    <w:jc w:val="center"/>
                  </w:pPr>
                  <w:r>
                    <w:t xml:space="preserve">625 (0.3%)</w:t>
                  </w:r>
                </w:p>
              </w:tc>
              <w:tc>
                <w:tcPr/>
                <w:p>
                  <w:pPr>
                    <w:pStyle w:val="Compact"/>
                    <w:jc w:val="left"/>
                    <w:jc w:val="center"/>
                  </w:pPr>
                  <w:r>
                    <w:t xml:space="preserve">145 (0.2%)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75,235 (30.1%)</w:t>
                  </w:r>
                </w:p>
              </w:tc>
              <w:tc>
                <w:tcPr/>
                <w:p>
                  <w:pPr>
                    <w:pStyle w:val="Compact"/>
                    <w:jc w:val="left"/>
                    <w:jc w:val="center"/>
                  </w:pPr>
                  <w:r>
                    <w:t xml:space="preserve">59,195 (30.9%)</w:t>
                  </w:r>
                </w:p>
              </w:tc>
              <w:tc>
                <w:tcPr/>
                <w:p>
                  <w:pPr>
                    <w:pStyle w:val="Compact"/>
                    <w:jc w:val="left"/>
                    <w:jc w:val="center"/>
                  </w:pPr>
                  <w:r>
                    <w:t xml:space="preserve">16,040 (27.5%)</w:t>
                  </w:r>
                </w:p>
              </w:tc>
              <w:tc>
                <w:tcPr/>
                <w:p>
                  <w:pPr>
                    <w:pStyle w:val="Compact"/>
                  </w:pPr>
                </w:p>
              </w:tc>
            </w:tr>
            <w:tr>
              <w:tc>
                <w:tcPr/>
                <w:p>
                  <w:pPr>
                    <w:pStyle w:val="Compact"/>
                    <w:jc w:val="left"/>
                    <w:jc w:val="center"/>
                  </w:pPr>
                  <w:r>
                    <w:t xml:space="preserve">Q2</w:t>
                  </w:r>
                </w:p>
              </w:tc>
              <w:tc>
                <w:tcPr/>
                <w:p>
                  <w:pPr>
                    <w:pStyle w:val="Compact"/>
                    <w:jc w:val="left"/>
                    <w:jc w:val="center"/>
                  </w:pPr>
                  <w:r>
                    <w:t xml:space="preserve">59,755 (23.9%)</w:t>
                  </w:r>
                </w:p>
              </w:tc>
              <w:tc>
                <w:tcPr/>
                <w:p>
                  <w:pPr>
                    <w:pStyle w:val="Compact"/>
                    <w:jc w:val="left"/>
                    <w:jc w:val="center"/>
                  </w:pPr>
                  <w:r>
                    <w:t xml:space="preserve">46,300 (24.2%)</w:t>
                  </w:r>
                </w:p>
              </w:tc>
              <w:tc>
                <w:tcPr/>
                <w:p>
                  <w:pPr>
                    <w:pStyle w:val="Compact"/>
                    <w:jc w:val="left"/>
                    <w:jc w:val="center"/>
                  </w:pPr>
                  <w:r>
                    <w:t xml:space="preserve">13,455 (23.1%)</w:t>
                  </w:r>
                </w:p>
              </w:tc>
              <w:tc>
                <w:tcPr/>
                <w:p>
                  <w:pPr>
                    <w:pStyle w:val="Compact"/>
                  </w:pPr>
                </w:p>
              </w:tc>
            </w:tr>
            <w:tr>
              <w:tc>
                <w:tcPr/>
                <w:p>
                  <w:pPr>
                    <w:pStyle w:val="Compact"/>
                    <w:jc w:val="left"/>
                    <w:jc w:val="center"/>
                  </w:pPr>
                  <w:r>
                    <w:t xml:space="preserve">Q3</w:t>
                  </w:r>
                </w:p>
              </w:tc>
              <w:tc>
                <w:tcPr/>
                <w:p>
                  <w:pPr>
                    <w:pStyle w:val="Compact"/>
                    <w:jc w:val="left"/>
                    <w:jc w:val="center"/>
                  </w:pPr>
                  <w:r>
                    <w:t xml:space="preserve">57,325 (23.0%)</w:t>
                  </w:r>
                </w:p>
              </w:tc>
              <w:tc>
                <w:tcPr/>
                <w:p>
                  <w:pPr>
                    <w:pStyle w:val="Compact"/>
                    <w:jc w:val="left"/>
                    <w:jc w:val="center"/>
                  </w:pPr>
                  <w:r>
                    <w:t xml:space="preserve">43,500 (22.7%)</w:t>
                  </w:r>
                </w:p>
              </w:tc>
              <w:tc>
                <w:tcPr/>
                <w:p>
                  <w:pPr>
                    <w:pStyle w:val="Compact"/>
                    <w:jc w:val="left"/>
                    <w:jc w:val="center"/>
                  </w:pPr>
                  <w:r>
                    <w:t xml:space="preserve">13,825 (23.7%)</w:t>
                  </w:r>
                </w:p>
              </w:tc>
              <w:tc>
                <w:tcPr/>
                <w:p>
                  <w:pPr>
                    <w:pStyle w:val="Compact"/>
                  </w:pPr>
                </w:p>
              </w:tc>
            </w:tr>
            <w:tr>
              <w:tc>
                <w:tcPr/>
                <w:p>
                  <w:pPr>
                    <w:pStyle w:val="Compact"/>
                    <w:jc w:val="left"/>
                    <w:jc w:val="center"/>
                  </w:pPr>
                  <w:r>
                    <w:t xml:space="preserve">Q4</w:t>
                  </w:r>
                </w:p>
              </w:tc>
              <w:tc>
                <w:tcPr/>
                <w:p>
                  <w:pPr>
                    <w:pStyle w:val="Compact"/>
                    <w:jc w:val="left"/>
                    <w:jc w:val="center"/>
                  </w:pPr>
                  <w:r>
                    <w:t xml:space="preserve">47,240 (18.9%)</w:t>
                  </w:r>
                </w:p>
              </w:tc>
              <w:tc>
                <w:tcPr/>
                <w:p>
                  <w:pPr>
                    <w:pStyle w:val="Compact"/>
                    <w:jc w:val="left"/>
                    <w:jc w:val="center"/>
                  </w:pPr>
                  <w:r>
                    <w:t xml:space="preserve">35,295 (18.5%)</w:t>
                  </w:r>
                </w:p>
              </w:tc>
              <w:tc>
                <w:tcPr/>
                <w:p>
                  <w:pPr>
                    <w:pStyle w:val="Compact"/>
                    <w:jc w:val="left"/>
                    <w:jc w:val="center"/>
                  </w:pPr>
                  <w:r>
                    <w:t xml:space="preserve">11,945 (20.5%)</w:t>
                  </w:r>
                </w:p>
              </w:tc>
              <w:tc>
                <w:tcPr/>
                <w:p>
                  <w:pPr>
                    <w:pStyle w:val="Compact"/>
                  </w:pPr>
                </w:p>
              </w:tc>
            </w:tr>
            <w:tr>
              <w:tc>
                <w:tcPr/>
                <w:p>
                  <w:pPr>
                    <w:pStyle w:val="Compact"/>
                    <w:jc w:val="left"/>
                    <w:jc w:val="center"/>
                  </w:pPr>
                  <w:r>
                    <w:t xml:space="preserve">Unknown</w:t>
                  </w:r>
                </w:p>
              </w:tc>
              <w:tc>
                <w:tcPr/>
                <w:p>
                  <w:pPr>
                    <w:pStyle w:val="Compact"/>
                    <w:jc w:val="left"/>
                    <w:jc w:val="center"/>
                  </w:pPr>
                  <w:r>
                    <w:t xml:space="preserve">10,015 (4.0%)</w:t>
                  </w:r>
                </w:p>
              </w:tc>
              <w:tc>
                <w:tcPr/>
                <w:p>
                  <w:pPr>
                    <w:pStyle w:val="Compact"/>
                    <w:jc w:val="left"/>
                    <w:jc w:val="center"/>
                  </w:pPr>
                  <w:r>
                    <w:t xml:space="preserve">7,010 (3.7%)</w:t>
                  </w:r>
                </w:p>
              </w:tc>
              <w:tc>
                <w:tcPr/>
                <w:p>
                  <w:pPr>
                    <w:pStyle w:val="Compact"/>
                    <w:jc w:val="left"/>
                    <w:jc w:val="center"/>
                  </w:pPr>
                  <w:r>
                    <w:t xml:space="preserve">3,005 (5.2%)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2017–2019</w:t>
                  </w:r>
                </w:p>
              </w:tc>
              <w:tc>
                <w:tcPr/>
                <w:p>
                  <w:pPr>
                    <w:pStyle w:val="Compact"/>
                    <w:jc w:val="left"/>
                    <w:jc w:val="center"/>
                  </w:pPr>
                  <w:r>
                    <w:t xml:space="preserve">123,830 (49.6%)</w:t>
                  </w:r>
                </w:p>
              </w:tc>
              <w:tc>
                <w:tcPr/>
                <w:p>
                  <w:pPr>
                    <w:pStyle w:val="Compact"/>
                    <w:jc w:val="left"/>
                    <w:jc w:val="center"/>
                  </w:pPr>
                  <w:r>
                    <w:t xml:space="preserve">97,035 (50.7%)</w:t>
                  </w:r>
                </w:p>
              </w:tc>
              <w:tc>
                <w:tcPr/>
                <w:p>
                  <w:pPr>
                    <w:pStyle w:val="Compact"/>
                    <w:jc w:val="left"/>
                    <w:jc w:val="center"/>
                  </w:pPr>
                  <w:r>
                    <w:t xml:space="preserve">26,795 (46.0%)</w:t>
                  </w:r>
                </w:p>
              </w:tc>
              <w:tc>
                <w:tcPr/>
                <w:p>
                  <w:pPr>
                    <w:pStyle w:val="Compact"/>
                  </w:pPr>
                </w:p>
              </w:tc>
            </w:tr>
            <w:tr>
              <w:tc>
                <w:tcPr/>
                <w:p>
                  <w:pPr>
                    <w:pStyle w:val="Compact"/>
                    <w:jc w:val="left"/>
                    <w:jc w:val="center"/>
                  </w:pPr>
                  <w:r>
                    <w:t xml:space="preserve">2020</w:t>
                  </w:r>
                </w:p>
              </w:tc>
              <w:tc>
                <w:tcPr/>
                <w:p>
                  <w:pPr>
                    <w:pStyle w:val="Compact"/>
                    <w:jc w:val="left"/>
                    <w:jc w:val="center"/>
                  </w:pPr>
                  <w:r>
                    <w:t xml:space="preserve">43,375 (17.4%)</w:t>
                  </w:r>
                </w:p>
              </w:tc>
              <w:tc>
                <w:tcPr/>
                <w:p>
                  <w:pPr>
                    <w:pStyle w:val="Compact"/>
                    <w:jc w:val="left"/>
                    <w:jc w:val="center"/>
                  </w:pPr>
                  <w:r>
                    <w:t xml:space="preserve">32,850 (17.2%)</w:t>
                  </w:r>
                </w:p>
              </w:tc>
              <w:tc>
                <w:tcPr/>
                <w:p>
                  <w:pPr>
                    <w:pStyle w:val="Compact"/>
                    <w:jc w:val="left"/>
                    <w:jc w:val="center"/>
                  </w:pPr>
                  <w:r>
                    <w:t xml:space="preserve">10,525 (18.1%)</w:t>
                  </w:r>
                </w:p>
              </w:tc>
              <w:tc>
                <w:tcPr/>
                <w:p>
                  <w:pPr>
                    <w:pStyle w:val="Compact"/>
                  </w:pPr>
                </w:p>
              </w:tc>
            </w:tr>
            <w:tr>
              <w:tc>
                <w:tcPr/>
                <w:p>
                  <w:pPr>
                    <w:pStyle w:val="Compact"/>
                    <w:jc w:val="left"/>
                    <w:jc w:val="center"/>
                  </w:pPr>
                  <w:r>
                    <w:t xml:space="preserve">2021–2022</w:t>
                  </w:r>
                </w:p>
              </w:tc>
              <w:tc>
                <w:tcPr/>
                <w:p>
                  <w:pPr>
                    <w:pStyle w:val="Compact"/>
                    <w:jc w:val="left"/>
                    <w:jc w:val="center"/>
                  </w:pPr>
                  <w:r>
                    <w:t xml:space="preserve">82,365 (33.0%)</w:t>
                  </w:r>
                </w:p>
              </w:tc>
              <w:tc>
                <w:tcPr/>
                <w:p>
                  <w:pPr>
                    <w:pStyle w:val="Compact"/>
                    <w:jc w:val="left"/>
                    <w:jc w:val="center"/>
                  </w:pPr>
                  <w:r>
                    <w:t xml:space="preserve">61,415 (32.1%)</w:t>
                  </w:r>
                </w:p>
              </w:tc>
              <w:tc>
                <w:tcPr/>
                <w:p>
                  <w:pPr>
                    <w:pStyle w:val="Compact"/>
                    <w:jc w:val="left"/>
                    <w:jc w:val="center"/>
                  </w:pPr>
                  <w:r>
                    <w:t xml:space="preserve">20,950 (36.0%)</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Northeast</w:t>
                  </w:r>
                </w:p>
              </w:tc>
              <w:tc>
                <w:tcPr/>
                <w:p>
                  <w:pPr>
                    <w:pStyle w:val="Compact"/>
                    <w:jc w:val="left"/>
                    <w:jc w:val="center"/>
                  </w:pPr>
                  <w:r>
                    <w:t xml:space="preserve">42,520 (17.0%)</w:t>
                  </w:r>
                </w:p>
              </w:tc>
              <w:tc>
                <w:tcPr/>
                <w:p>
                  <w:pPr>
                    <w:pStyle w:val="Compact"/>
                    <w:jc w:val="left"/>
                    <w:jc w:val="center"/>
                  </w:pPr>
                  <w:r>
                    <w:t xml:space="preserve">31,325 (16.4%)</w:t>
                  </w:r>
                </w:p>
              </w:tc>
              <w:tc>
                <w:tcPr/>
                <w:p>
                  <w:pPr>
                    <w:pStyle w:val="Compact"/>
                    <w:jc w:val="left"/>
                    <w:jc w:val="center"/>
                  </w:pPr>
                  <w:r>
                    <w:t xml:space="preserve">11,195 (19.2%)</w:t>
                  </w:r>
                </w:p>
              </w:tc>
              <w:tc>
                <w:tcPr/>
                <w:p>
                  <w:pPr>
                    <w:pStyle w:val="Compact"/>
                  </w:pPr>
                </w:p>
              </w:tc>
            </w:tr>
            <w:tr>
              <w:tc>
                <w:tcPr/>
                <w:p>
                  <w:pPr>
                    <w:pStyle w:val="Compact"/>
                    <w:jc w:val="left"/>
                    <w:jc w:val="center"/>
                  </w:pPr>
                  <w:r>
                    <w:t xml:space="preserve">Midwest</w:t>
                  </w:r>
                </w:p>
              </w:tc>
              <w:tc>
                <w:tcPr/>
                <w:p>
                  <w:pPr>
                    <w:pStyle w:val="Compact"/>
                    <w:jc w:val="left"/>
                    <w:jc w:val="center"/>
                  </w:pPr>
                  <w:r>
                    <w:t xml:space="preserve">57,745 (23.1%)</w:t>
                  </w:r>
                </w:p>
              </w:tc>
              <w:tc>
                <w:tcPr/>
                <w:p>
                  <w:pPr>
                    <w:pStyle w:val="Compact"/>
                    <w:jc w:val="left"/>
                    <w:jc w:val="center"/>
                  </w:pPr>
                  <w:r>
                    <w:t xml:space="preserve">45,160 (23.6%)</w:t>
                  </w:r>
                </w:p>
              </w:tc>
              <w:tc>
                <w:tcPr/>
                <w:p>
                  <w:pPr>
                    <w:pStyle w:val="Compact"/>
                    <w:jc w:val="left"/>
                    <w:jc w:val="center"/>
                  </w:pPr>
                  <w:r>
                    <w:t xml:space="preserve">12,585 (21.6%)</w:t>
                  </w:r>
                </w:p>
              </w:tc>
              <w:tc>
                <w:tcPr/>
                <w:p>
                  <w:pPr>
                    <w:pStyle w:val="Compact"/>
                  </w:pPr>
                </w:p>
              </w:tc>
            </w:tr>
            <w:tr>
              <w:tc>
                <w:tcPr/>
                <w:p>
                  <w:pPr>
                    <w:pStyle w:val="Compact"/>
                    <w:jc w:val="left"/>
                    <w:jc w:val="center"/>
                  </w:pPr>
                  <w:r>
                    <w:t xml:space="preserve">South</w:t>
                  </w:r>
                </w:p>
              </w:tc>
              <w:tc>
                <w:tcPr/>
                <w:p>
                  <w:pPr>
                    <w:pStyle w:val="Compact"/>
                    <w:jc w:val="left"/>
                    <w:jc w:val="center"/>
                  </w:pPr>
                  <w:r>
                    <w:t xml:space="preserve">81,475 (32.6%)</w:t>
                  </w:r>
                </w:p>
              </w:tc>
              <w:tc>
                <w:tcPr/>
                <w:p>
                  <w:pPr>
                    <w:pStyle w:val="Compact"/>
                    <w:jc w:val="left"/>
                    <w:jc w:val="center"/>
                  </w:pPr>
                  <w:r>
                    <w:t xml:space="preserve">63,950 (33.4%)</w:t>
                  </w:r>
                </w:p>
              </w:tc>
              <w:tc>
                <w:tcPr/>
                <w:p>
                  <w:pPr>
                    <w:pStyle w:val="Compact"/>
                    <w:jc w:val="left"/>
                    <w:jc w:val="center"/>
                  </w:pPr>
                  <w:r>
                    <w:t xml:space="preserve">17,525 (30.1%)</w:t>
                  </w:r>
                </w:p>
              </w:tc>
              <w:tc>
                <w:tcPr/>
                <w:p>
                  <w:pPr>
                    <w:pStyle w:val="Compact"/>
                  </w:pPr>
                </w:p>
              </w:tc>
            </w:tr>
            <w:tr>
              <w:tc>
                <w:tcPr/>
                <w:p>
                  <w:pPr>
                    <w:pStyle w:val="Compact"/>
                    <w:jc w:val="left"/>
                    <w:jc w:val="center"/>
                  </w:pPr>
                  <w:r>
                    <w:t xml:space="preserve">West</w:t>
                  </w:r>
                </w:p>
              </w:tc>
              <w:tc>
                <w:tcPr/>
                <w:p>
                  <w:pPr>
                    <w:pStyle w:val="Compact"/>
                    <w:jc w:val="left"/>
                    <w:jc w:val="center"/>
                  </w:pPr>
                  <w:r>
                    <w:t xml:space="preserve">67,830 (27.2%)</w:t>
                  </w:r>
                </w:p>
              </w:tc>
              <w:tc>
                <w:tcPr/>
                <w:p>
                  <w:pPr>
                    <w:pStyle w:val="Compact"/>
                    <w:jc w:val="left"/>
                    <w:jc w:val="center"/>
                  </w:pPr>
                  <w:r>
                    <w:t xml:space="preserve">50,865 (26.6%)</w:t>
                  </w:r>
                </w:p>
              </w:tc>
              <w:tc>
                <w:tcPr/>
                <w:p>
                  <w:pPr>
                    <w:pStyle w:val="Compact"/>
                    <w:jc w:val="left"/>
                    <w:jc w:val="center"/>
                  </w:pPr>
                  <w:r>
                    <w:t xml:space="preserve">16,965 (29.1%)</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jc w:val="left"/>
                    <w:jc w:val="center"/>
                  </w:pPr>
                  <w:r>
                    <w:t xml:space="preserve">0.001</w:t>
                  </w:r>
                </w:p>
              </w:tc>
            </w:tr>
            <w:tr>
              <w:tc>
                <w:tcPr/>
                <w:p>
                  <w:pPr>
                    <w:pStyle w:val="Compact"/>
                    <w:jc w:val="left"/>
                    <w:jc w:val="center"/>
                  </w:pPr>
                  <w:r>
                    <w:t xml:space="preserve">Small</w:t>
                  </w:r>
                </w:p>
              </w:tc>
              <w:tc>
                <w:tcPr/>
                <w:p>
                  <w:pPr>
                    <w:pStyle w:val="Compact"/>
                    <w:jc w:val="left"/>
                    <w:jc w:val="center"/>
                  </w:pPr>
                  <w:r>
                    <w:t xml:space="preserve">25,450 (10.2%)</w:t>
                  </w:r>
                </w:p>
              </w:tc>
              <w:tc>
                <w:tcPr/>
                <w:p>
                  <w:pPr>
                    <w:pStyle w:val="Compact"/>
                    <w:jc w:val="left"/>
                    <w:jc w:val="center"/>
                  </w:pPr>
                  <w:r>
                    <w:t xml:space="preserve">18,955 (9.9%)</w:t>
                  </w:r>
                </w:p>
              </w:tc>
              <w:tc>
                <w:tcPr/>
                <w:p>
                  <w:pPr>
                    <w:pStyle w:val="Compact"/>
                    <w:jc w:val="left"/>
                    <w:jc w:val="center"/>
                  </w:pPr>
                  <w:r>
                    <w:t xml:space="preserve">6,495 (11.1%)</w:t>
                  </w:r>
                </w:p>
              </w:tc>
              <w:tc>
                <w:tcPr/>
                <w:p>
                  <w:pPr>
                    <w:pStyle w:val="Compact"/>
                  </w:pPr>
                </w:p>
              </w:tc>
            </w:tr>
            <w:tr>
              <w:tc>
                <w:tcPr/>
                <w:p>
                  <w:pPr>
                    <w:pStyle w:val="Compact"/>
                    <w:jc w:val="left"/>
                    <w:jc w:val="center"/>
                  </w:pPr>
                  <w:r>
                    <w:t xml:space="preserve">Medium</w:t>
                  </w:r>
                </w:p>
              </w:tc>
              <w:tc>
                <w:tcPr/>
                <w:p>
                  <w:pPr>
                    <w:pStyle w:val="Compact"/>
                    <w:jc w:val="left"/>
                    <w:jc w:val="center"/>
                  </w:pPr>
                  <w:r>
                    <w:t xml:space="preserve">65,185 (26.1%)</w:t>
                  </w:r>
                </w:p>
              </w:tc>
              <w:tc>
                <w:tcPr/>
                <w:p>
                  <w:pPr>
                    <w:pStyle w:val="Compact"/>
                    <w:jc w:val="left"/>
                    <w:jc w:val="center"/>
                  </w:pPr>
                  <w:r>
                    <w:t xml:space="preserve">49,750 (26.0%)</w:t>
                  </w:r>
                </w:p>
              </w:tc>
              <w:tc>
                <w:tcPr/>
                <w:p>
                  <w:pPr>
                    <w:pStyle w:val="Compact"/>
                    <w:jc w:val="left"/>
                    <w:jc w:val="center"/>
                  </w:pPr>
                  <w:r>
                    <w:t xml:space="preserve">15,435 (26.5%)</w:t>
                  </w:r>
                </w:p>
              </w:tc>
              <w:tc>
                <w:tcPr/>
                <w:p>
                  <w:pPr>
                    <w:pStyle w:val="Compact"/>
                  </w:pPr>
                </w:p>
              </w:tc>
            </w:tr>
            <w:tr>
              <w:tc>
                <w:tcPr/>
                <w:p>
                  <w:pPr>
                    <w:pStyle w:val="Compact"/>
                    <w:jc w:val="left"/>
                    <w:jc w:val="center"/>
                  </w:pPr>
                  <w:r>
                    <w:t xml:space="preserve">Large</w:t>
                  </w:r>
                </w:p>
              </w:tc>
              <w:tc>
                <w:tcPr/>
                <w:p>
                  <w:pPr>
                    <w:pStyle w:val="Compact"/>
                    <w:jc w:val="left"/>
                    <w:jc w:val="center"/>
                  </w:pPr>
                  <w:r>
                    <w:t xml:space="preserve">158,935 (63.7%)</w:t>
                  </w:r>
                </w:p>
              </w:tc>
              <w:tc>
                <w:tcPr/>
                <w:p>
                  <w:pPr>
                    <w:pStyle w:val="Compact"/>
                    <w:jc w:val="left"/>
                    <w:jc w:val="center"/>
                  </w:pPr>
                  <w:r>
                    <w:t xml:space="preserve">122,595 (64.1%)</w:t>
                  </w:r>
                </w:p>
              </w:tc>
              <w:tc>
                <w:tcPr/>
                <w:p>
                  <w:pPr>
                    <w:pStyle w:val="Compact"/>
                    <w:jc w:val="left"/>
                    <w:jc w:val="center"/>
                  </w:pPr>
                  <w:r>
                    <w:t xml:space="preserve">36,340 (62.4%)</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Rural</w:t>
                  </w:r>
                </w:p>
              </w:tc>
              <w:tc>
                <w:tcPr/>
                <w:p>
                  <w:pPr>
                    <w:pStyle w:val="Compact"/>
                    <w:jc w:val="left"/>
                    <w:jc w:val="center"/>
                  </w:pPr>
                  <w:r>
                    <w:t xml:space="preserve">5,605 (2.2%)</w:t>
                  </w:r>
                </w:p>
              </w:tc>
              <w:tc>
                <w:tcPr/>
                <w:p>
                  <w:pPr>
                    <w:pStyle w:val="Compact"/>
                    <w:jc w:val="left"/>
                    <w:jc w:val="center"/>
                  </w:pPr>
                  <w:r>
                    <w:t xml:space="preserve">4,190 (2.2%)</w:t>
                  </w:r>
                </w:p>
              </w:tc>
              <w:tc>
                <w:tcPr/>
                <w:p>
                  <w:pPr>
                    <w:pStyle w:val="Compact"/>
                    <w:jc w:val="left"/>
                    <w:jc w:val="center"/>
                  </w:pPr>
                  <w:r>
                    <w:t xml:space="preserve">1,415 (2.4%)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24,335 (9.8%)</w:t>
                  </w:r>
                </w:p>
              </w:tc>
              <w:tc>
                <w:tcPr/>
                <w:p>
                  <w:pPr>
                    <w:pStyle w:val="Compact"/>
                    <w:jc w:val="left"/>
                    <w:jc w:val="center"/>
                  </w:pPr>
                  <w:r>
                    <w:t xml:space="preserve">17,945 (9.4%)</w:t>
                  </w:r>
                </w:p>
              </w:tc>
              <w:tc>
                <w:tcPr/>
                <w:p>
                  <w:pPr>
                    <w:pStyle w:val="Compact"/>
                    <w:jc w:val="left"/>
                    <w:jc w:val="center"/>
                  </w:pPr>
                  <w:r>
                    <w:t xml:space="preserve">6,390 (11.0%)</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219,630 (88.0%)</w:t>
                  </w:r>
                </w:p>
              </w:tc>
              <w:tc>
                <w:tcPr/>
                <w:p>
                  <w:pPr>
                    <w:pStyle w:val="Compact"/>
                    <w:jc w:val="left"/>
                    <w:jc w:val="center"/>
                  </w:pPr>
                  <w:r>
                    <w:t xml:space="preserve">169,165 (88.4%)</w:t>
                  </w:r>
                </w:p>
              </w:tc>
              <w:tc>
                <w:tcPr/>
                <w:p>
                  <w:pPr>
                    <w:pStyle w:val="Compact"/>
                    <w:jc w:val="left"/>
                    <w:jc w:val="center"/>
                  </w:pPr>
                  <w:r>
                    <w:t xml:space="preserve">50,465 (86.6%)</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Concussion, other or unspecified only</w:t>
                  </w:r>
                </w:p>
              </w:tc>
              <w:tc>
                <w:tcPr/>
                <w:p>
                  <w:pPr>
                    <w:pStyle w:val="Compact"/>
                    <w:jc w:val="left"/>
                    <w:jc w:val="center"/>
                  </w:pPr>
                  <w:r>
                    <w:t xml:space="preserve">59,690 (23.9%)</w:t>
                  </w:r>
                </w:p>
              </w:tc>
              <w:tc>
                <w:tcPr/>
                <w:p>
                  <w:pPr>
                    <w:pStyle w:val="Compact"/>
                    <w:jc w:val="left"/>
                    <w:jc w:val="center"/>
                  </w:pPr>
                  <w:r>
                    <w:t xml:space="preserve">48,555 (25.4%)</w:t>
                  </w:r>
                </w:p>
              </w:tc>
              <w:tc>
                <w:tcPr/>
                <w:p>
                  <w:pPr>
                    <w:pStyle w:val="Compact"/>
                    <w:jc w:val="left"/>
                    <w:jc w:val="center"/>
                  </w:pPr>
                  <w:r>
                    <w:t xml:space="preserve">11,135 (19.1%)</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17,425 (7.0%)</w:t>
                  </w:r>
                </w:p>
              </w:tc>
              <w:tc>
                <w:tcPr/>
                <w:p>
                  <w:pPr>
                    <w:pStyle w:val="Compact"/>
                    <w:jc w:val="left"/>
                    <w:jc w:val="center"/>
                  </w:pPr>
                  <w:r>
                    <w:t xml:space="preserve">13,230 (6.9%)</w:t>
                  </w:r>
                </w:p>
              </w:tc>
              <w:tc>
                <w:tcPr/>
                <w:p>
                  <w:pPr>
                    <w:pStyle w:val="Compact"/>
                    <w:jc w:val="left"/>
                    <w:jc w:val="center"/>
                  </w:pPr>
                  <w:r>
                    <w:t xml:space="preserve">4,195 (7.2%)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10,290 (4.1%)</w:t>
                  </w:r>
                </w:p>
              </w:tc>
              <w:tc>
                <w:tcPr/>
                <w:p>
                  <w:pPr>
                    <w:pStyle w:val="Compact"/>
                    <w:jc w:val="left"/>
                    <w:jc w:val="center"/>
                  </w:pPr>
                  <w:r>
                    <w:t xml:space="preserve">8,075 (4.2%)</w:t>
                  </w:r>
                </w:p>
              </w:tc>
              <w:tc>
                <w:tcPr/>
                <w:p>
                  <w:pPr>
                    <w:pStyle w:val="Compact"/>
                    <w:jc w:val="left"/>
                    <w:jc w:val="center"/>
                  </w:pPr>
                  <w:r>
                    <w:t xml:space="preserve">2,215 (3.8%)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102,945 (41.2%)</w:t>
                  </w:r>
                </w:p>
              </w:tc>
              <w:tc>
                <w:tcPr/>
                <w:p>
                  <w:pPr>
                    <w:pStyle w:val="Compact"/>
                    <w:jc w:val="left"/>
                    <w:jc w:val="center"/>
                  </w:pPr>
                  <w:r>
                    <w:t xml:space="preserve">75,315 (39.4%)</w:t>
                  </w:r>
                </w:p>
              </w:tc>
              <w:tc>
                <w:tcPr/>
                <w:p>
                  <w:pPr>
                    <w:pStyle w:val="Compact"/>
                    <w:jc w:val="left"/>
                    <w:jc w:val="center"/>
                  </w:pPr>
                  <w:r>
                    <w:t xml:space="preserve">27,630 (47.4%)</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59,220 (23.7%)</w:t>
                  </w:r>
                </w:p>
              </w:tc>
              <w:tc>
                <w:tcPr/>
                <w:p>
                  <w:pPr>
                    <w:pStyle w:val="Compact"/>
                    <w:jc w:val="left"/>
                    <w:jc w:val="center"/>
                  </w:pPr>
                  <w:r>
                    <w:t xml:space="preserve">46,125 (24.1%)</w:t>
                  </w:r>
                </w:p>
              </w:tc>
              <w:tc>
                <w:tcPr/>
                <w:p>
                  <w:pPr>
                    <w:pStyle w:val="Compact"/>
                    <w:jc w:val="left"/>
                    <w:jc w:val="center"/>
                  </w:pPr>
                  <w:r>
                    <w:t xml:space="preserve">13,095 (22.5%)</w:t>
                  </w:r>
                </w:p>
              </w:tc>
              <w:tc>
                <w:tcPr/>
                <w:p>
                  <w:pPr>
                    <w:pStyle w:val="Compact"/>
                  </w:pPr>
                </w:p>
              </w:tc>
            </w:tr>
            <w:tr>
              <w:tc>
                <w:tcPr/>
                <w:p>
                  <w:pPr>
                    <w:pStyle w:val="Compact"/>
                    <w:jc w:val="left"/>
                    <w:jc w:val="center"/>
                  </w:pPr>
                  <w:r>
                    <w:t xml:space="preserve">Skull fracture</w:t>
                  </w:r>
                </w:p>
              </w:tc>
              <w:tc>
                <w:tcPr/>
                <w:p>
                  <w:pPr>
                    <w:pStyle w:val="Compact"/>
                    <w:jc w:val="left"/>
                    <w:jc w:val="center"/>
                  </w:pPr>
                  <w:r>
                    <w:t xml:space="preserve">50,520 (20.2%)</w:t>
                  </w:r>
                </w:p>
              </w:tc>
              <w:tc>
                <w:tcPr/>
                <w:p>
                  <w:pPr>
                    <w:pStyle w:val="Compact"/>
                    <w:jc w:val="left"/>
                    <w:jc w:val="center"/>
                  </w:pPr>
                  <w:r>
                    <w:t xml:space="preserve">41,215 (21.5%)</w:t>
                  </w:r>
                </w:p>
              </w:tc>
              <w:tc>
                <w:tcPr/>
                <w:p>
                  <w:pPr>
                    <w:pStyle w:val="Compact"/>
                    <w:jc w:val="left"/>
                    <w:jc w:val="center"/>
                  </w:pPr>
                  <w:r>
                    <w:t xml:space="preserve">9,305 (16.0%)</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jc w:val="left"/>
                    <w:jc w:val="center"/>
                  </w:pPr>
                  <w:r>
                    <w:t xml:space="preserve">113,500 (45.5%)</w:t>
                  </w:r>
                </w:p>
              </w:tc>
              <w:tc>
                <w:tcPr/>
                <w:p>
                  <w:pPr>
                    <w:pStyle w:val="Compact"/>
                    <w:jc w:val="left"/>
                    <w:jc w:val="center"/>
                  </w:pPr>
                  <w:r>
                    <w:t xml:space="preserve">91,155 (47.7%)</w:t>
                  </w:r>
                </w:p>
              </w:tc>
              <w:tc>
                <w:tcPr/>
                <w:p>
                  <w:pPr>
                    <w:pStyle w:val="Compact"/>
                    <w:jc w:val="left"/>
                    <w:jc w:val="center"/>
                  </w:pPr>
                  <w:r>
                    <w:t xml:space="preserve">22,345 (38.3%)</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169,495 (67.9%)</w:t>
                  </w:r>
                </w:p>
              </w:tc>
              <w:tc>
                <w:tcPr/>
                <w:p>
                  <w:pPr>
                    <w:pStyle w:val="Compact"/>
                    <w:jc w:val="left"/>
                    <w:jc w:val="center"/>
                  </w:pPr>
                  <w:r>
                    <w:t xml:space="preserve">130,580 (68.3%)</w:t>
                  </w:r>
                </w:p>
              </w:tc>
              <w:tc>
                <w:tcPr/>
                <w:p>
                  <w:pPr>
                    <w:pStyle w:val="Compact"/>
                    <w:jc w:val="left"/>
                    <w:jc w:val="center"/>
                  </w:pPr>
                  <w:r>
                    <w:t xml:space="preserve">38,915 (66.8%)</w:t>
                  </w:r>
                </w:p>
              </w:tc>
              <w:tc>
                <w:tcPr/>
                <w:p>
                  <w:pPr>
                    <w:pStyle w:val="Compact"/>
                    <w:jc w:val="left"/>
                    <w:jc w:val="center"/>
                  </w:pPr>
                  <w:r>
                    <w:t xml:space="preserve">0.004</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0</w:t>
                  </w:r>
                </w:p>
              </w:tc>
              <w:tc>
                <w:tcPr/>
                <w:p>
                  <w:pPr>
                    <w:pStyle w:val="Compact"/>
                    <w:jc w:val="left"/>
                    <w:jc w:val="center"/>
                  </w:pPr>
                  <w:r>
                    <w:t xml:space="preserve">88,240 (35.4%)</w:t>
                  </w:r>
                </w:p>
              </w:tc>
              <w:tc>
                <w:tcPr/>
                <w:p>
                  <w:pPr>
                    <w:pStyle w:val="Compact"/>
                    <w:jc w:val="left"/>
                    <w:jc w:val="center"/>
                  </w:pPr>
                  <w:r>
                    <w:t xml:space="preserve">74,960 (39.2%)</w:t>
                  </w:r>
                </w:p>
              </w:tc>
              <w:tc>
                <w:tcPr/>
                <w:p>
                  <w:pPr>
                    <w:pStyle w:val="Compact"/>
                    <w:jc w:val="left"/>
                    <w:jc w:val="center"/>
                  </w:pPr>
                  <w:r>
                    <w:t xml:space="preserve">13,280 (22.8%)</w:t>
                  </w:r>
                </w:p>
              </w:tc>
              <w:tc>
                <w:tcPr/>
                <w:p>
                  <w:pPr>
                    <w:pStyle w:val="Compact"/>
                  </w:pPr>
                </w:p>
              </w:tc>
            </w:tr>
            <w:tr>
              <w:tc>
                <w:tcPr/>
                <w:p>
                  <w:pPr>
                    <w:pStyle w:val="Compact"/>
                    <w:jc w:val="left"/>
                    <w:jc w:val="center"/>
                  </w:pPr>
                  <w:r>
                    <w:t xml:space="preserve">1</w:t>
                  </w:r>
                </w:p>
              </w:tc>
              <w:tc>
                <w:tcPr/>
                <w:p>
                  <w:pPr>
                    <w:pStyle w:val="Compact"/>
                    <w:jc w:val="left"/>
                    <w:jc w:val="center"/>
                  </w:pPr>
                  <w:r>
                    <w:t xml:space="preserve">72,700 (29.1%)</w:t>
                  </w:r>
                </w:p>
              </w:tc>
              <w:tc>
                <w:tcPr/>
                <w:p>
                  <w:pPr>
                    <w:pStyle w:val="Compact"/>
                    <w:jc w:val="left"/>
                    <w:jc w:val="center"/>
                  </w:pPr>
                  <w:r>
                    <w:t xml:space="preserve">54,345 (28.4%)</w:t>
                  </w:r>
                </w:p>
              </w:tc>
              <w:tc>
                <w:tcPr/>
                <w:p>
                  <w:pPr>
                    <w:pStyle w:val="Compact"/>
                    <w:jc w:val="left"/>
                    <w:jc w:val="center"/>
                  </w:pPr>
                  <w:r>
                    <w:t xml:space="preserve">18,355 (31.5%)</w:t>
                  </w:r>
                </w:p>
              </w:tc>
              <w:tc>
                <w:tcPr/>
                <w:p>
                  <w:pPr>
                    <w:pStyle w:val="Compact"/>
                  </w:pPr>
                </w:p>
              </w:tc>
            </w:tr>
            <w:tr>
              <w:tc>
                <w:tcPr/>
                <w:p>
                  <w:pPr>
                    <w:pStyle w:val="Compact"/>
                    <w:jc w:val="left"/>
                    <w:jc w:val="center"/>
                  </w:pPr>
                  <w:r>
                    <w:t xml:space="preserve">2</w:t>
                  </w:r>
                </w:p>
              </w:tc>
              <w:tc>
                <w:tcPr/>
                <w:p>
                  <w:pPr>
                    <w:pStyle w:val="Compact"/>
                    <w:jc w:val="left"/>
                    <w:jc w:val="center"/>
                  </w:pPr>
                  <w:r>
                    <w:t xml:space="preserve">46,225 (18.5%)</w:t>
                  </w:r>
                </w:p>
              </w:tc>
              <w:tc>
                <w:tcPr/>
                <w:p>
                  <w:pPr>
                    <w:pStyle w:val="Compact"/>
                    <w:jc w:val="left"/>
                    <w:jc w:val="center"/>
                  </w:pPr>
                  <w:r>
                    <w:t xml:space="preserve">32,285 (16.9%)</w:t>
                  </w:r>
                </w:p>
              </w:tc>
              <w:tc>
                <w:tcPr/>
                <w:p>
                  <w:pPr>
                    <w:pStyle w:val="Compact"/>
                    <w:jc w:val="left"/>
                    <w:jc w:val="center"/>
                  </w:pPr>
                  <w:r>
                    <w:t xml:space="preserve">13,940 (23.9%)</w:t>
                  </w:r>
                </w:p>
              </w:tc>
              <w:tc>
                <w:tcPr/>
                <w:p>
                  <w:pPr>
                    <w:pStyle w:val="Compact"/>
                  </w:pPr>
                </w:p>
              </w:tc>
            </w:tr>
            <w:tr>
              <w:tc>
                <w:tcPr/>
                <w:p>
                  <w:pPr>
                    <w:pStyle w:val="Compact"/>
                    <w:jc w:val="left"/>
                    <w:jc w:val="center"/>
                  </w:pPr>
                  <w:r>
                    <w:t xml:space="preserve">&gt;=3</w:t>
                  </w:r>
                </w:p>
              </w:tc>
              <w:tc>
                <w:tcPr/>
                <w:p>
                  <w:pPr>
                    <w:pStyle w:val="Compact"/>
                    <w:jc w:val="left"/>
                    <w:jc w:val="center"/>
                  </w:pPr>
                  <w:r>
                    <w:t xml:space="preserve">42,405 (17.0%)</w:t>
                  </w:r>
                </w:p>
              </w:tc>
              <w:tc>
                <w:tcPr/>
                <w:p>
                  <w:pPr>
                    <w:pStyle w:val="Compact"/>
                    <w:jc w:val="left"/>
                    <w:jc w:val="center"/>
                  </w:pPr>
                  <w:r>
                    <w:t xml:space="preserve">29,710 (15.5%)</w:t>
                  </w:r>
                </w:p>
              </w:tc>
              <w:tc>
                <w:tcPr/>
                <w:p>
                  <w:pPr>
                    <w:pStyle w:val="Compact"/>
                    <w:jc w:val="left"/>
                    <w:jc w:val="center"/>
                  </w:pPr>
                  <w:r>
                    <w:t xml:space="preserve">12,695 (21.8%)</w:t>
                  </w:r>
                </w:p>
              </w:tc>
              <w:tc>
                <w:tcPr/>
                <w:p>
                  <w:pPr>
                    <w:pStyle w:val="Compact"/>
                  </w:pPr>
                </w:p>
              </w:tc>
            </w:tr>
            <w:tr>
              <w:tc>
                <w:tcPr/>
                <w:p>
                  <w:pPr>
                    <w:pStyle w:val="Compact"/>
                    <w:jc w:val="left"/>
                    <w:jc w:val="center"/>
                  </w:pPr>
                  <w:r>
                    <w:t xml:space="preserve">Hypertension</w:t>
                  </w:r>
                </w:p>
              </w:tc>
              <w:tc>
                <w:tcPr/>
                <w:p>
                  <w:pPr>
                    <w:pStyle w:val="Compact"/>
                    <w:jc w:val="left"/>
                    <w:jc w:val="center"/>
                  </w:pPr>
                  <w:r>
                    <w:t xml:space="preserve">110,430 (44.2%)</w:t>
                  </w:r>
                </w:p>
              </w:tc>
              <w:tc>
                <w:tcPr/>
                <w:p>
                  <w:pPr>
                    <w:pStyle w:val="Compact"/>
                    <w:jc w:val="left"/>
                    <w:jc w:val="center"/>
                  </w:pPr>
                  <w:r>
                    <w:t xml:space="preserve">78,965 (41.3%)</w:t>
                  </w:r>
                </w:p>
              </w:tc>
              <w:tc>
                <w:tcPr/>
                <w:p>
                  <w:pPr>
                    <w:pStyle w:val="Compact"/>
                    <w:jc w:val="left"/>
                    <w:jc w:val="center"/>
                  </w:pPr>
                  <w:r>
                    <w:t xml:space="preserve">31,465 (54.0%)</w:t>
                  </w:r>
                </w:p>
              </w:tc>
              <w:tc>
                <w:tcPr/>
                <w:p>
                  <w:pPr>
                    <w:pStyle w:val="Compact"/>
                    <w:jc w:val="left"/>
                    <w:jc w:val="center"/>
                  </w:pPr>
                  <w:r>
                    <w:t xml:space="preserve">&lt;0.001</w:t>
                  </w:r>
                </w:p>
              </w:tc>
            </w:tr>
            <w:tr>
              <w:tc>
                <w:tcPr/>
                <w:p>
                  <w:pPr>
                    <w:pStyle w:val="Compact"/>
                    <w:jc w:val="left"/>
                    <w:jc w:val="center"/>
                  </w:pPr>
                  <w:r>
                    <w:t xml:space="preserve">Diabetes mellitus</w:t>
                  </w:r>
                </w:p>
              </w:tc>
              <w:tc>
                <w:tcPr/>
                <w:p>
                  <w:pPr>
                    <w:pStyle w:val="Compact"/>
                    <w:jc w:val="left"/>
                    <w:jc w:val="center"/>
                  </w:pPr>
                  <w:r>
                    <w:t xml:space="preserve">26,935 (10.8%)</w:t>
                  </w:r>
                </w:p>
              </w:tc>
              <w:tc>
                <w:tcPr/>
                <w:p>
                  <w:pPr>
                    <w:pStyle w:val="Compact"/>
                    <w:jc w:val="left"/>
                    <w:jc w:val="center"/>
                  </w:pPr>
                  <w:r>
                    <w:t xml:space="preserve">20,550 (10.7%)</w:t>
                  </w:r>
                </w:p>
              </w:tc>
              <w:tc>
                <w:tcPr/>
                <w:p>
                  <w:pPr>
                    <w:pStyle w:val="Compact"/>
                    <w:jc w:val="left"/>
                    <w:jc w:val="center"/>
                  </w:pPr>
                  <w:r>
                    <w:t xml:space="preserve">6,385 (11.0%)</w:t>
                  </w:r>
                </w:p>
              </w:tc>
              <w:tc>
                <w:tcPr/>
                <w:p>
                  <w:pPr>
                    <w:pStyle w:val="Compact"/>
                    <w:jc w:val="left"/>
                    <w:jc w:val="center"/>
                  </w:pPr>
                  <w:r>
                    <w:t xml:space="preserve">0.5</w:t>
                  </w:r>
                </w:p>
              </w:tc>
            </w:tr>
            <w:tr>
              <w:tc>
                <w:tcPr/>
                <w:p>
                  <w:pPr>
                    <w:pStyle w:val="Compact"/>
                    <w:jc w:val="left"/>
                    <w:jc w:val="center"/>
                  </w:pPr>
                  <w:r>
                    <w:t xml:space="preserve">Chronic pulmonary disease</w:t>
                  </w:r>
                </w:p>
              </w:tc>
              <w:tc>
                <w:tcPr/>
                <w:p>
                  <w:pPr>
                    <w:pStyle w:val="Compact"/>
                    <w:jc w:val="left"/>
                    <w:jc w:val="center"/>
                  </w:pPr>
                  <w:r>
                    <w:t xml:space="preserve">30,550 (12.2%)</w:t>
                  </w:r>
                </w:p>
              </w:tc>
              <w:tc>
                <w:tcPr/>
                <w:p>
                  <w:pPr>
                    <w:pStyle w:val="Compact"/>
                    <w:jc w:val="left"/>
                    <w:jc w:val="center"/>
                  </w:pPr>
                  <w:r>
                    <w:t xml:space="preserve">22,120 (11.6%)</w:t>
                  </w:r>
                </w:p>
              </w:tc>
              <w:tc>
                <w:tcPr/>
                <w:p>
                  <w:pPr>
                    <w:pStyle w:val="Compact"/>
                    <w:jc w:val="left"/>
                    <w:jc w:val="center"/>
                  </w:pPr>
                  <w:r>
                    <w:t xml:space="preserve">8,430 (14.5%)</w:t>
                  </w:r>
                </w:p>
              </w:tc>
              <w:tc>
                <w:tcPr/>
                <w:p>
                  <w:pPr>
                    <w:pStyle w:val="Compact"/>
                    <w:jc w:val="left"/>
                    <w:jc w:val="center"/>
                  </w:pPr>
                  <w:r>
                    <w:t xml:space="preserve">&lt;0.001</w:t>
                  </w:r>
                </w:p>
              </w:tc>
            </w:tr>
            <w:tr>
              <w:tc>
                <w:tcPr/>
                <w:p>
                  <w:pPr>
                    <w:pStyle w:val="Compact"/>
                    <w:jc w:val="left"/>
                    <w:jc w:val="center"/>
                  </w:pPr>
                  <w:r>
                    <w:t xml:space="preserve">Heart failure</w:t>
                  </w:r>
                </w:p>
              </w:tc>
              <w:tc>
                <w:tcPr/>
                <w:p>
                  <w:pPr>
                    <w:pStyle w:val="Compact"/>
                    <w:jc w:val="left"/>
                    <w:jc w:val="center"/>
                  </w:pPr>
                  <w:r>
                    <w:t xml:space="preserve">12,130 (4.9%)</w:t>
                  </w:r>
                </w:p>
              </w:tc>
              <w:tc>
                <w:tcPr/>
                <w:p>
                  <w:pPr>
                    <w:pStyle w:val="Compact"/>
                    <w:jc w:val="left"/>
                    <w:jc w:val="center"/>
                  </w:pPr>
                  <w:r>
                    <w:t xml:space="preserve">8,245 (4.3%)</w:t>
                  </w:r>
                </w:p>
              </w:tc>
              <w:tc>
                <w:tcPr/>
                <w:p>
                  <w:pPr>
                    <w:pStyle w:val="Compact"/>
                    <w:jc w:val="left"/>
                    <w:jc w:val="center"/>
                  </w:pPr>
                  <w:r>
                    <w:t xml:space="preserve">3,885 (6.7%)</w:t>
                  </w:r>
                </w:p>
              </w:tc>
              <w:tc>
                <w:tcPr/>
                <w:p>
                  <w:pPr>
                    <w:pStyle w:val="Compact"/>
                    <w:jc w:val="left"/>
                    <w:jc w:val="center"/>
                  </w:pPr>
                  <w:r>
                    <w:t xml:space="preserve">&lt;0.001</w:t>
                  </w:r>
                </w:p>
              </w:tc>
            </w:tr>
            <w:tr>
              <w:tc>
                <w:tcPr/>
                <w:p>
                  <w:pPr>
                    <w:pStyle w:val="Compact"/>
                    <w:jc w:val="left"/>
                    <w:jc w:val="center"/>
                  </w:pPr>
                  <w:r>
                    <w:t xml:space="preserve">Chronic kidney disease</w:t>
                  </w:r>
                </w:p>
              </w:tc>
              <w:tc>
                <w:tcPr/>
                <w:p>
                  <w:pPr>
                    <w:pStyle w:val="Compact"/>
                    <w:jc w:val="left"/>
                    <w:jc w:val="center"/>
                  </w:pPr>
                  <w:r>
                    <w:t xml:space="preserve">7,815 (3.1%)</w:t>
                  </w:r>
                </w:p>
              </w:tc>
              <w:tc>
                <w:tcPr/>
                <w:p>
                  <w:pPr>
                    <w:pStyle w:val="Compact"/>
                    <w:jc w:val="left"/>
                    <w:jc w:val="center"/>
                  </w:pPr>
                  <w:r>
                    <w:t xml:space="preserve">6,055 (3.2%)</w:t>
                  </w:r>
                </w:p>
              </w:tc>
              <w:tc>
                <w:tcPr/>
                <w:p>
                  <w:pPr>
                    <w:pStyle w:val="Compact"/>
                    <w:jc w:val="left"/>
                    <w:jc w:val="center"/>
                  </w:pPr>
                  <w:r>
                    <w:t xml:space="preserve">1,760 (3.0%)</w:t>
                  </w:r>
                </w:p>
              </w:tc>
              <w:tc>
                <w:tcPr/>
                <w:p>
                  <w:pPr>
                    <w:pStyle w:val="Compact"/>
                    <w:jc w:val="left"/>
                    <w:jc w:val="center"/>
                  </w:pPr>
                  <w:r>
                    <w:t xml:space="preserve">0.4</w:t>
                  </w:r>
                </w:p>
              </w:tc>
            </w:tr>
            <w:tr>
              <w:tc>
                <w:tcPr/>
                <w:p>
                  <w:pPr>
                    <w:pStyle w:val="Compact"/>
                    <w:jc w:val="left"/>
                    <w:jc w:val="center"/>
                  </w:pPr>
                  <w:r>
                    <w:t xml:space="preserve">Depression</w:t>
                  </w:r>
                </w:p>
              </w:tc>
              <w:tc>
                <w:tcPr/>
                <w:p>
                  <w:pPr>
                    <w:pStyle w:val="Compact"/>
                    <w:jc w:val="left"/>
                    <w:jc w:val="center"/>
                  </w:pPr>
                  <w:r>
                    <w:t xml:space="preserve">33,620 (13.5%)</w:t>
                  </w:r>
                </w:p>
              </w:tc>
              <w:tc>
                <w:tcPr/>
                <w:p>
                  <w:pPr>
                    <w:pStyle w:val="Compact"/>
                    <w:jc w:val="left"/>
                    <w:jc w:val="center"/>
                  </w:pPr>
                  <w:r>
                    <w:t xml:space="preserve">23,235 (12.1%)</w:t>
                  </w:r>
                </w:p>
              </w:tc>
              <w:tc>
                <w:tcPr/>
                <w:p>
                  <w:pPr>
                    <w:pStyle w:val="Compact"/>
                    <w:jc w:val="left"/>
                    <w:jc w:val="center"/>
                  </w:pPr>
                  <w:r>
                    <w:t xml:space="preserve">10,385 (17.8%)</w:t>
                  </w:r>
                </w:p>
              </w:tc>
              <w:tc>
                <w:tcPr/>
                <w:p>
                  <w:pPr>
                    <w:pStyle w:val="Compact"/>
                    <w:jc w:val="left"/>
                    <w:jc w:val="center"/>
                  </w:pPr>
                  <w:r>
                    <w:t xml:space="preserve">&lt;0.001</w:t>
                  </w:r>
                </w:p>
              </w:tc>
            </w:tr>
            <w:tr>
              <w:tc>
                <w:tcPr/>
                <w:p>
                  <w:pPr>
                    <w:pStyle w:val="Compact"/>
                    <w:jc w:val="left"/>
                    <w:jc w:val="center"/>
                  </w:pPr>
                  <w:r>
                    <w:t xml:space="preserve">Obesity</w:t>
                  </w:r>
                </w:p>
              </w:tc>
              <w:tc>
                <w:tcPr/>
                <w:p>
                  <w:pPr>
                    <w:pStyle w:val="Compact"/>
                    <w:jc w:val="left"/>
                    <w:jc w:val="center"/>
                  </w:pPr>
                  <w:r>
                    <w:t xml:space="preserve">13,865 (5.6%)</w:t>
                  </w:r>
                </w:p>
              </w:tc>
              <w:tc>
                <w:tcPr/>
                <w:p>
                  <w:pPr>
                    <w:pStyle w:val="Compact"/>
                    <w:jc w:val="left"/>
                    <w:jc w:val="center"/>
                  </w:pPr>
                  <w:r>
                    <w:t xml:space="preserve">10,705 (5.6%)</w:t>
                  </w:r>
                </w:p>
              </w:tc>
              <w:tc>
                <w:tcPr/>
                <w:p>
                  <w:pPr>
                    <w:pStyle w:val="Compact"/>
                    <w:jc w:val="left"/>
                    <w:jc w:val="center"/>
                  </w:pPr>
                  <w:r>
                    <w:t xml:space="preserve">3,160 (5.4%)</w:t>
                  </w:r>
                </w:p>
              </w:tc>
              <w:tc>
                <w:tcPr/>
                <w:p>
                  <w:pPr>
                    <w:pStyle w:val="Compact"/>
                    <w:jc w:val="left"/>
                    <w:jc w:val="center"/>
                  </w:pPr>
                  <w:r>
                    <w:t xml:space="preserve">0.5</w:t>
                  </w:r>
                </w:p>
              </w:tc>
            </w:tr>
            <w:tr>
              <w:tc>
                <w:tcPr/>
                <w:p>
                  <w:pPr>
                    <w:pStyle w:val="Compact"/>
                    <w:jc w:val="left"/>
                    <w:jc w:val="center"/>
                  </w:pPr>
                  <w:r>
                    <w:t xml:space="preserve">Any liver disease (K70–K77)</w:t>
                  </w:r>
                </w:p>
              </w:tc>
              <w:tc>
                <w:tcPr/>
                <w:p>
                  <w:pPr>
                    <w:pStyle w:val="Compact"/>
                    <w:jc w:val="left"/>
                    <w:jc w:val="center"/>
                  </w:pPr>
                  <w:r>
                    <w:t xml:space="preserve">35,040 (14.0%)</w:t>
                  </w:r>
                </w:p>
              </w:tc>
              <w:tc>
                <w:tcPr/>
                <w:p>
                  <w:pPr>
                    <w:pStyle w:val="Compact"/>
                    <w:jc w:val="left"/>
                    <w:jc w:val="center"/>
                  </w:pPr>
                  <w:r>
                    <w:t xml:space="preserve">19,715 (10.3%)</w:t>
                  </w:r>
                </w:p>
              </w:tc>
              <w:tc>
                <w:tcPr/>
                <w:p>
                  <w:pPr>
                    <w:pStyle w:val="Compact"/>
                    <w:jc w:val="left"/>
                    <w:jc w:val="center"/>
                  </w:pPr>
                  <w:r>
                    <w:t xml:space="preserve">15,325 (26.3%)</w:t>
                  </w:r>
                </w:p>
              </w:tc>
              <w:tc>
                <w:tcPr/>
                <w:p>
                  <w:pPr>
                    <w:pStyle w:val="Compact"/>
                    <w:jc w:val="left"/>
                    <w:jc w:val="center"/>
                  </w:pPr>
                  <w:r>
                    <w:t xml:space="preserve">&lt;0.001</w:t>
                  </w:r>
                </w:p>
              </w:tc>
            </w:tr>
            <w:tr>
              <w:tc>
                <w:tcPr/>
                <w:p>
                  <w:pPr>
                    <w:pStyle w:val="Compact"/>
                    <w:jc w:val="left"/>
                    <w:jc w:val="center"/>
                  </w:pPr>
                  <w:r>
                    <w:t xml:space="preserve">Alcoholic liver disease (K70)</w:t>
                  </w:r>
                </w:p>
              </w:tc>
              <w:tc>
                <w:tcPr/>
                <w:p>
                  <w:pPr>
                    <w:pStyle w:val="Compact"/>
                    <w:jc w:val="left"/>
                    <w:jc w:val="center"/>
                  </w:pPr>
                  <w:r>
                    <w:t xml:space="preserve">21,585 (8.6%)</w:t>
                  </w:r>
                </w:p>
              </w:tc>
              <w:tc>
                <w:tcPr/>
                <w:p>
                  <w:pPr>
                    <w:pStyle w:val="Compact"/>
                    <w:jc w:val="left"/>
                    <w:jc w:val="center"/>
                  </w:pPr>
                  <w:r>
                    <w:t xml:space="preserve">11,295 (5.9%)</w:t>
                  </w:r>
                </w:p>
              </w:tc>
              <w:tc>
                <w:tcPr/>
                <w:p>
                  <w:pPr>
                    <w:pStyle w:val="Compact"/>
                    <w:jc w:val="left"/>
                    <w:jc w:val="center"/>
                  </w:pPr>
                  <w:r>
                    <w:t xml:space="preserve">10,290 (17.7%)</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jc w:val="left"/>
                    <w:jc w:val="center"/>
                  </w:pPr>
                  <w:r>
                    <w:t xml:space="preserve">41,135 (16.5%)</w:t>
                  </w:r>
                </w:p>
              </w:tc>
              <w:tc>
                <w:tcPr/>
                <w:p>
                  <w:pPr>
                    <w:pStyle w:val="Compact"/>
                    <w:jc w:val="left"/>
                    <w:jc w:val="center"/>
                  </w:pPr>
                  <w:r>
                    <w:t xml:space="preserve">32,465 (17.0%)</w:t>
                  </w:r>
                </w:p>
              </w:tc>
              <w:tc>
                <w:tcPr/>
                <w:p>
                  <w:pPr>
                    <w:pStyle w:val="Compact"/>
                    <w:jc w:val="left"/>
                    <w:jc w:val="center"/>
                  </w:pPr>
                  <w:r>
                    <w:t xml:space="preserve">8,670 (14.9%)</w:t>
                  </w:r>
                </w:p>
              </w:tc>
              <w:tc>
                <w:tcPr/>
                <w:p>
                  <w:pPr>
                    <w:pStyle w:val="Compact"/>
                    <w:jc w:val="left"/>
                    <w:jc w:val="center"/>
                  </w:pPr>
                  <w:r>
                    <w:t xml:space="preserve">&lt;0.001</w:t>
                  </w:r>
                </w:p>
              </w:tc>
            </w:tr>
            <w:tr>
              <w:tc>
                <w:tcPr/>
                <w:p>
                  <w:pPr>
                    <w:pStyle w:val="Compact"/>
                    <w:jc w:val="left"/>
                    <w:jc w:val="center"/>
                  </w:pPr>
                  <w:r>
                    <w:t xml:space="preserve">Current or past tobacco/nicotine use</w:t>
                  </w:r>
                </w:p>
              </w:tc>
              <w:tc>
                <w:tcPr/>
                <w:p>
                  <w:pPr>
                    <w:pStyle w:val="Compact"/>
                    <w:jc w:val="left"/>
                    <w:jc w:val="center"/>
                  </w:pPr>
                  <w:r>
                    <w:t xml:space="preserve">112,100 (44.9%)</w:t>
                  </w:r>
                </w:p>
              </w:tc>
              <w:tc>
                <w:tcPr/>
                <w:p>
                  <w:pPr>
                    <w:pStyle w:val="Compact"/>
                    <w:jc w:val="left"/>
                    <w:jc w:val="center"/>
                  </w:pPr>
                  <w:r>
                    <w:t xml:space="preserve">84,825 (44.3%)</w:t>
                  </w:r>
                </w:p>
              </w:tc>
              <w:tc>
                <w:tcPr/>
                <w:p>
                  <w:pPr>
                    <w:pStyle w:val="Compact"/>
                    <w:jc w:val="left"/>
                    <w:jc w:val="center"/>
                  </w:pPr>
                  <w:r>
                    <w:t xml:space="preserve">27,275 (46.8%)</w:t>
                  </w:r>
                </w:p>
              </w:tc>
              <w:tc>
                <w:tcPr/>
                <w:p>
                  <w:pPr>
                    <w:pStyle w:val="Compact"/>
                    <w:jc w:val="left"/>
                    <w:jc w:val="center"/>
                  </w:pPr>
                  <w:r>
                    <w:t xml:space="preserve">&lt;0.001</w:t>
                  </w:r>
                </w:p>
              </w:tc>
            </w:tr>
          </w:tbl>
          <w:bookmarkEnd w:id="22"/>
          <w:p/>
        </w:tc>
      </w:tr>
    </w:tbl>
    <w:p>
      <w:pPr>
        <w:pStyle w:val="BodyText"/>
      </w:pPr>
      <w:r>
        <w:rPr>
          <w:i/>
          <w:iCs/>
        </w:rPr>
        <w:t xml:space="preserve">Values are survey-weighted national estimates, n (%), unless stated otherwise.</w:t>
      </w:r>
    </w:p>
    <w:p>
      <w:pPr>
        <w:pStyle w:val="BodyText"/>
      </w:pPr>
      <w:r>
        <w:rPr>
          <w:i/>
          <w:iCs/>
        </w:rPr>
        <w:t xml:space="preserve">Sex was missing for &lt;0.1% of hospitalizations.</w:t>
      </w:r>
    </w:p>
    <w:bookmarkEnd w:id="23"/>
    <w:bookmarkStart w:id="25" w:name="in-hospital-outcomes"/>
    <w:p>
      <w:pPr>
        <w:pStyle w:val="Heading2"/>
      </w:pPr>
      <w:r>
        <w:t xml:space="preserve">In-Hospital Outcomes</w:t>
      </w:r>
    </w:p>
    <w:p>
      <w:pPr>
        <w:pStyle w:val="FirstParagraph"/>
      </w:pPr>
      <w:r>
        <w:t xml:space="preserve">The table presents crude comparisons and adjusted associations for the prespecified outcomes. Binary outcomes are weighted counts and percentages; LOS and cost are weighted medians (IQR). The model estimates compare odds for binary outcomes and mean differences for continuous outcomes between hospitalizations with AWS and those without AWS.</w:t>
      </w:r>
    </w:p>
    <w:tbl>
      <w:tblPr>
        <w:tblStyle w:val="Table"/>
        <w:tblW w:type="pct" w:w="5000"/>
        <w:tblLayout w:type="fixed"/>
        <w:tblLook w:firstRow="0" w:lastRow="0" w:firstColumn="0" w:lastColumn="0" w:noHBand="0" w:noVBand="0" w:val="0000"/>
      </w:tblPr>
      <w:tblGrid>
        <w:gridCol w:w="7920"/>
      </w:tblGrid>
      <w:tr>
        <w:tc>
          <w:tcPr/>
          <w:bookmarkStart w:id="24" w:name="tbl-outcomes"/>
          <w:p>
            <w:pPr>
              <w:jc w:val="center"/>
            </w:pPr>
            <w:pPr>
              <w:jc w:val="left"/>
              <w:spacing w:before="200"/>
              <w:pStyle w:val="ImageCaption"/>
            </w:pPr>
            <w:r>
              <w:t xml:space="preserve">Table 2: Crude and adjusted in-hospital outcomes by AWS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No AWS, N = 191,300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AWS, N = 58,270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Unadjusted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estimate (95% CI)</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Binary outcomes: n (%); odds ratio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10,140 (5.3%)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2,330 (4.0%)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42,330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15,150 (26.0%)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15,000 (7.8%)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10,480 (18.0%)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(2.17–2.49)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Institutional discharge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46,550 (25.7%)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22,310 (39.9%)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(1.83–2.01)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1.74 (1.65–1.84)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against medical advice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7,530 (4.2%)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3,150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(1.25–1.52)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(1.34–1.66)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Continuous outcomes: median (IQR); difference in adjusted means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 (4–15)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 days (+5.06 to +5.69)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+4.69 days (+4.38 to +5.00)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$16,326 ($9,290–$32,533)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$25,814 ($13,234–$52,889)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+$13,090 (+$12,073 to +$14,106)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+$13,543 (+$12,456 to +$14,630)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24"/>
        </w:tc>
      </w:tr>
    </w:tbl>
    <w:p>
      <w:pPr>
        <w:pStyle w:val="BodyText"/>
      </w:pPr>
      <w:r>
        <w:rPr>
          <w:i/>
          <w:iCs/>
        </w:rPr>
        <w:t xml:space="preserve">Survey-weighted national estimates. Binary outcomes are shown as weighted n (%) with odds ratios from survey-weighted logistic regression. Length of stay and cost are right-skewed, so they are summarized as median (IQR). Differences are estimated with survey-weighted generalized linear models with a log link (Poisson for length of stay, gamma for cost). These models handle skewed data without transforming the outcome, and the results are reported as differences in adjusted mean values (predictive margins). Adjusted models include all covariates listed in Methods. Costs are inflation-adjusted to 2022 US dollars. Institutional discharge and discharge against medical advice are among survivors.</w:t>
      </w:r>
    </w:p>
    <w:bookmarkEnd w:id="25"/>
    <w:bookmarkStart w:id="30" w:name="X221dde27c5c3da44535c0e2cf5f7c00f4106517"/>
    <w:p>
      <w:pPr>
        <w:pStyle w:val="Heading2"/>
      </w:pPr>
      <w:r>
        <w:t xml:space="preserve">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29" w:name="fig-forest"/>
          <w:p>
            <w:pPr>
              <w:pStyle w:val="Compact"/>
              <w:jc w:val="center"/>
            </w:pPr>
            <w:r>
              <w:drawing>
                <wp:inline>
                  <wp:extent cx="5334000" cy="2592916"/>
                  <wp:effectExtent b="0" l="0" r="0" t="0"/>
                  <wp:docPr descr="" title="" id="27" name="Picture"/>
                  <a:graphic>
                    <a:graphicData uri="http://schemas.openxmlformats.org/drawingml/2006/picture">
                      <pic:pic>
                        <pic:nvPicPr>
                          <pic:cNvPr descr="../output/public/forest_plot.png" id="28" name="Picture"/>
                          <pic:cNvPicPr>
                            <a:picLocks noChangeArrowheads="1" noChangeAspect="1"/>
                          </pic:cNvPicPr>
                        </pic:nvPicPr>
                        <pic:blipFill>
                          <a:blip r:embed="rId26"/>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Adjusted odds ratios and 95% confidence intervals for in-hospital outcomes.</w:t>
            </w:r>
          </w:p>
          <w:bookmarkEnd w:id="29"/>
        </w:tc>
      </w:tr>
    </w:tbl>
    <w:bookmarkEnd w:id="30"/>
    <w:bookmarkStart w:id="35"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4" w:name="fig-trend"/>
          <w:p>
            <w:pPr>
              <w:pStyle w:val="Compact"/>
              <w:jc w:val="center"/>
            </w:pPr>
            <w:r>
              <w:drawing>
                <wp:inline>
                  <wp:extent cx="4800600" cy="2880360"/>
                  <wp:effectExtent b="0" l="0" r="0" t="0"/>
                  <wp:docPr descr="" title="" id="32" name="Picture"/>
                  <a:graphic>
                    <a:graphicData uri="http://schemas.openxmlformats.org/drawingml/2006/picture">
                      <pic:pic>
                        <pic:nvPicPr>
                          <pic:cNvPr descr="../output/public/aws_trend.png" id="33" name="Picture"/>
                          <pic:cNvPicPr>
                            <a:picLocks noChangeArrowheads="1" noChangeAspect="1"/>
                          </pic:cNvPicPr>
                        </pic:nvPicPr>
                        <pic:blipFill>
                          <a:blip r:embed="rId31"/>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4"/>
        </w:tc>
      </w:tr>
    </w:tbl>
    <w:bookmarkEnd w:id="35"/>
    <w:bookmarkStart w:id="37"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inverse association with mortality was smaller in the LOS-restricted analysis (</w:t>
      </w:r>
      <w:r>
        <w:rPr>
          <w:b/>
          <w:bCs/>
        </w:rPr>
        <w:t xml:space="preserve">0.70 (0.62–0.80)</w:t>
      </w:r>
      <w:r>
        <w:t xml:space="preserve">), a pattern consistent with early death or short stays leaving less opportunity for AWS recognition and coding. This does not identify the mechanism behind the association.</w:t>
      </w:r>
    </w:p>
    <w:tbl>
      <w:tblPr>
        <w:tblStyle w:val="Table"/>
        <w:tblW w:type="pct" w:w="5000"/>
        <w:tblLayout w:type="fixed"/>
        <w:tblLook w:firstRow="0" w:lastRow="0" w:firstColumn="0" w:lastColumn="0" w:noHBand="0" w:noVBand="0" w:val="0000"/>
      </w:tblPr>
      <w:tblGrid>
        <w:gridCol w:w="7920"/>
      </w:tblGrid>
      <w:tr>
        <w:tc>
          <w:tcPr/>
          <w:bookmarkStart w:id="36" w:name="tbl-sensitivity"/>
          <w:p>
            <w:pPr>
              <w:jc w:val="center"/>
            </w:pPr>
            <w:pPr>
              <w:jc w:val="left"/>
              <w:spacing w:before="200"/>
              <w:pStyle w:val="ImageCaption"/>
            </w:pPr>
            <w:r>
              <w:t xml:space="preserve">Table 3: Sensitivity analyses for in-hospital mortality.</w:t>
            </w:r>
          </w:p>
          <w:tbl>
            <w:tblPr>
              <w:tblStyle w:val="Table"/>
              <w:tblW w:type="pct" w:w="5000"/>
              <w:tblLayout w:type="fixed"/>
              <w:tblLook w:firstRow="1" w:lastRow="0" w:firstColumn="0" w:lastColumn="0" w:noHBand="0" w:noVBand="0" w:val="0020"/>
            </w:tblPr>
            <w:tblGrid>
              <w:gridCol w:w="2029"/>
              <w:gridCol w:w="1898"/>
              <w:gridCol w:w="2094"/>
              <w:gridCol w:w="1374"/>
              <w:gridCol w:w="523"/>
            </w:tblGrid>
            <w:tr>
              <w:trPr>
                <w:tblHeader w:val="on"/>
              </w:trPr>
              <w:tc>
                <w:tcPr/>
                <w:p>
                  <w:pPr>
                    <w:pStyle w:val="Compact"/>
                    <w:jc w:val="left"/>
                    <w:jc w:val="center"/>
                  </w:pPr>
                  <w:r>
                    <w:t xml:space="preserve">Analysis</w:t>
                  </w:r>
                </w:p>
              </w:tc>
              <w:tc>
                <w:tcPr/>
                <w:p>
                  <w:pPr>
                    <w:pStyle w:val="Compact"/>
                    <w:jc w:val="left"/>
                    <w:jc w:val="center"/>
                  </w:pPr>
                  <w:r>
                    <w:t xml:space="preserve">Hospitalizations, weighted n</w:t>
                  </w:r>
                </w:p>
              </w:tc>
              <w:tc>
                <w:tcPr/>
                <w:p>
                  <w:pPr>
                    <w:pStyle w:val="Compact"/>
                    <w:jc w:val="left"/>
                    <w:jc w:val="center"/>
                  </w:pPr>
                  <w:r>
                    <w:t xml:space="preserve">Deaths, weighted n (weighted %)</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left"/>
                    <w:jc w:val="center"/>
                  </w:pPr>
                  <w:r>
                    <w:t xml:space="preserve">229,740</w:t>
                  </w:r>
                </w:p>
              </w:tc>
              <w:tc>
                <w:tcPr/>
                <w:p>
                  <w:pPr>
                    <w:pStyle w:val="Compact"/>
                    <w:jc w:val="left"/>
                    <w:jc w:val="center"/>
                  </w:pPr>
                  <w:r>
                    <w:t xml:space="preserve">11,080 (4.8%)</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left"/>
                    <w:jc w:val="center"/>
                  </w:pPr>
                  <w:r>
                    <w:t xml:space="preserve">187,470</w:t>
                  </w:r>
                </w:p>
              </w:tc>
              <w:tc>
                <w:tcPr/>
                <w:p>
                  <w:pPr>
                    <w:pStyle w:val="Compact"/>
                    <w:jc w:val="left"/>
                    <w:jc w:val="center"/>
                  </w:pPr>
                  <w:r>
                    <w:t xml:space="preserve">8,280 (4.4%)</w:t>
                  </w:r>
                </w:p>
              </w:tc>
              <w:tc>
                <w:tcPr/>
                <w:p>
                  <w:pPr>
                    <w:pStyle w:val="Compact"/>
                    <w:jc w:val="left"/>
                    <w:jc w:val="center"/>
                  </w:pPr>
                  <w:r>
                    <w:t xml:space="preserve">0.70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156,170</w:t>
                  </w:r>
                </w:p>
              </w:tc>
              <w:tc>
                <w:tcPr/>
                <w:p>
                  <w:pPr>
                    <w:pStyle w:val="Compact"/>
                    <w:jc w:val="left"/>
                    <w:jc w:val="center"/>
                  </w:pPr>
                  <w:r>
                    <w:t xml:space="preserve">8,990 (5.8%)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left"/>
                    <w:jc w:val="center"/>
                  </w:pPr>
                  <w:r>
                    <w:t xml:space="preserve">192,550</w:t>
                  </w:r>
                </w:p>
              </w:tc>
              <w:tc>
                <w:tcPr/>
                <w:p>
                  <w:pPr>
                    <w:pStyle w:val="Compact"/>
                    <w:jc w:val="left"/>
                    <w:jc w:val="center"/>
                  </w:pPr>
                  <w:r>
                    <w:t xml:space="preserve">8,660 (4.5%)</w:t>
                  </w:r>
                </w:p>
              </w:tc>
              <w:tc>
                <w:tcPr/>
                <w:p>
                  <w:pPr>
                    <w:pStyle w:val="Compact"/>
                    <w:jc w:val="left"/>
                    <w:jc w:val="center"/>
                  </w:pPr>
                  <w:r>
                    <w:t xml:space="preserve">0.59 (0.52–0.68)</w:t>
                  </w:r>
                </w:p>
              </w:tc>
              <w:tc>
                <w:tcPr/>
                <w:p>
                  <w:pPr>
                    <w:pStyle w:val="Compact"/>
                    <w:jc w:val="left"/>
                    <w:jc w:val="center"/>
                  </w:pPr>
                  <w:r>
                    <w:t xml:space="preserve">&lt;0.001</w:t>
                  </w:r>
                </w:p>
              </w:tc>
            </w:tr>
          </w:tbl>
          <w:bookmarkEnd w:id="36"/>
          <w:p/>
        </w:tc>
      </w:tr>
    </w:tbl>
    <w:p>
      <w:pPr>
        <w:pStyle w:val="BodyText"/>
      </w:pPr>
      <w:r>
        <w:rPr>
          <w:i/>
          <w:iCs/>
        </w:rPr>
        <w:t xml:space="preserve">Values are survey-weighted national estimates, n (%), unless stated otherwise.</w:t>
      </w:r>
    </w:p>
    <w:bookmarkEnd w:id="37"/>
    <w:bookmarkStart w:id="38"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38"/>
    <w:bookmarkStart w:id="39"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39"/>
    <w:bookmarkStart w:id="40" w:name="appendix.-icd-10-cm-code-list"/>
    <w:p>
      <w:pPr>
        <w:pStyle w:val="Heading2"/>
      </w:pPr>
      <w:r>
        <w:t xml:space="preserve">Appendix. ICD-10-CM Code List</w:t>
      </w:r>
    </w:p>
    <w:p>
      <w:pPr>
        <w:pStyle w:val="FirstParagraph"/>
      </w:pPr>
      <w:r>
        <w:rPr>
          <w:b/>
          <w:bCs/>
        </w:rPr>
        <w:t xml:space="preserve">Table A1. ICD-10-CM code groups used to identify the cohort and study conditions.</w:t>
      </w:r>
    </w:p>
    <w:tbl>
      <w:tblPr>
        <w:tblStyle w:val="Table"/>
        <w:tblW w:type="pct" w:w="5000"/>
        <w:tblLayout w:type="fixed"/>
        <w:tblLook w:firstRow="1" w:lastRow="0" w:firstColumn="0" w:lastColumn="0" w:noHBand="0" w:noVBand="0" w:val="0020"/>
      </w:tblPr>
      <w:tblGrid>
        <w:gridCol w:w="1760"/>
        <w:gridCol w:w="1528"/>
        <w:gridCol w:w="4631"/>
      </w:tblGrid>
      <w:tr>
        <w:trPr>
          <w:tblHeader w:val="on"/>
        </w:trPr>
        <w:tc>
          <w:tcPr/>
          <w:p>
            <w:pPr>
              <w:pStyle w:val="Compact"/>
              <w:jc w:val="left"/>
            </w:pPr>
            <w:r>
              <w:t xml:space="preserve">Condition</w:t>
            </w:r>
          </w:p>
        </w:tc>
        <w:tc>
          <w:tcPr/>
          <w:p>
            <w:pPr>
              <w:pStyle w:val="Compact"/>
              <w:jc w:val="left"/>
            </w:pPr>
            <w:r>
              <w:t xml:space="preserve">ICD-10 code(s)</w:t>
            </w:r>
          </w:p>
        </w:tc>
        <w:tc>
          <w:tcPr/>
          <w:p>
            <w:pPr>
              <w:pStyle w:val="Compact"/>
              <w:jc w:val="left"/>
            </w:pPr>
            <w:r>
              <w:t xml:space="preserve">Description</w:t>
            </w:r>
          </w:p>
        </w:tc>
      </w:tr>
      <w:tr>
        <w:tc>
          <w:tcPr/>
          <w:p>
            <w:pPr>
              <w:pStyle w:val="Compact"/>
              <w:jc w:val="left"/>
            </w:pPr>
            <w:r>
              <w:t xml:space="preserve">Acute traumatic brain injury (TBI)</w:t>
            </w:r>
          </w:p>
        </w:tc>
        <w:tc>
          <w:tcPr/>
          <w:p>
            <w:pPr>
              <w:pStyle w:val="Compact"/>
              <w:jc w:val="left"/>
            </w:pPr>
            <w:r>
              <w:t xml:space="preserve">S06.xxxA</w:t>
            </w:r>
          </w:p>
        </w:tc>
        <w:tc>
          <w:tcPr/>
          <w:p>
            <w:pPr>
              <w:pStyle w:val="Compact"/>
              <w:jc w:val="left"/>
            </w:pPr>
            <w:r>
              <w:t xml:space="preserve">Intracranial injury, initial encounter (7th character A, length 7)</w:t>
            </w:r>
          </w:p>
        </w:tc>
      </w:tr>
      <w:tr>
        <w:tc>
          <w:tcPr/>
          <w:p>
            <w:pPr>
              <w:pStyle w:val="Compact"/>
              <w:jc w:val="left"/>
            </w:pPr>
            <w:r>
              <w:t xml:space="preserve">Active alcohol use disorder (AUD)</w:t>
            </w:r>
          </w:p>
        </w:tc>
        <w:tc>
          <w:tcPr/>
          <w:p>
            <w:pPr>
              <w:pStyle w:val="Compact"/>
              <w:jc w:val="left"/>
            </w:pPr>
            <w:r>
              <w:t xml:space="preserve">F10.1, F10.2</w:t>
            </w:r>
          </w:p>
        </w:tc>
        <w:tc>
          <w:tcPr/>
          <w:p>
            <w:pPr>
              <w:pStyle w:val="Compact"/>
              <w:jc w:val="left"/>
            </w:pPr>
            <w:r>
              <w:t xml:space="preserve">Alcohol abuse or dependence (excluding remission-only codes F10.11, F10.21)</w:t>
            </w:r>
          </w:p>
        </w:tc>
      </w:tr>
      <w:tr>
        <w:tc>
          <w:tcPr/>
          <w:p>
            <w:pPr>
              <w:pStyle w:val="Compact"/>
              <w:jc w:val="left"/>
            </w:pPr>
            <w:r>
              <w:t xml:space="preserve">Alcohol withdrawal syndrome (AWS)</w:t>
            </w:r>
          </w:p>
        </w:tc>
        <w:tc>
          <w:tcPr/>
          <w:p>
            <w:pPr>
              <w:pStyle w:val="Compact"/>
              <w:jc w:val="left"/>
            </w:pPr>
            <w:r>
              <w:t xml:space="preserve">F10.230–F10.239, F10.130–F10.139</w:t>
            </w:r>
          </w:p>
        </w:tc>
        <w:tc>
          <w:tcPr/>
          <w:p>
            <w:pPr>
              <w:pStyle w:val="Compact"/>
              <w:jc w:val="left"/>
            </w:pPr>
            <w:r>
              <w:t xml:space="preserve">Alcohol withdrawal with or without delirium or perceptual disturbance (F10.13x valid from Oct 2020)</w:t>
            </w:r>
          </w:p>
        </w:tc>
      </w:tr>
      <w:tr>
        <w:tc>
          <w:tcPr/>
          <w:p>
            <w:pPr>
              <w:pStyle w:val="Compact"/>
              <w:jc w:val="left"/>
            </w:pPr>
            <w:r>
              <w:t xml:space="preserve">Invasive mechanical ventilation (IMV)</w:t>
            </w:r>
          </w:p>
        </w:tc>
        <w:tc>
          <w:tcPr/>
          <w:p>
            <w:pPr>
              <w:pStyle w:val="Compact"/>
              <w:jc w:val="left"/>
            </w:pPr>
            <w:r>
              <w:t xml:space="preserve">5A1935Z, 5A1945Z, 5A1955Z</w:t>
            </w:r>
          </w:p>
        </w:tc>
        <w:tc>
          <w:tcPr/>
          <w:p>
            <w:pPr>
              <w:pStyle w:val="Compact"/>
              <w:jc w:val="left"/>
            </w:pPr>
            <w:r>
              <w:t xml:space="preserve">Invasive mechanical ventilation (&lt;24h, 24–96h, &gt;96h; ICD-10-PCS)</w:t>
            </w:r>
          </w:p>
        </w:tc>
      </w:tr>
      <w:tr>
        <w:tc>
          <w:tcPr/>
          <w:p>
            <w:pPr>
              <w:pStyle w:val="Compact"/>
              <w:jc w:val="left"/>
            </w:pPr>
            <w:r>
              <w:t xml:space="preserve">Pneumonia</w:t>
            </w:r>
          </w:p>
        </w:tc>
        <w:tc>
          <w:tcPr/>
          <w:p>
            <w:pPr>
              <w:pStyle w:val="Compact"/>
              <w:jc w:val="left"/>
            </w:pPr>
            <w:r>
              <w:t xml:space="preserve">J12–J18</w:t>
            </w:r>
          </w:p>
        </w:tc>
        <w:tc>
          <w:tcPr/>
          <w:p>
            <w:pPr>
              <w:pStyle w:val="Compact"/>
              <w:jc w:val="left"/>
            </w:pPr>
            <w:r>
              <w:t xml:space="preserve">Viral, bacterial, or unspecified pneumonia</w:t>
            </w:r>
          </w:p>
        </w:tc>
      </w:tr>
      <w:tr>
        <w:tc>
          <w:tcPr/>
          <w:p>
            <w:pPr>
              <w:pStyle w:val="Compact"/>
              <w:jc w:val="left"/>
            </w:pPr>
            <w:r>
              <w:t xml:space="preserve">Aspiration pneumonitis</w:t>
            </w:r>
          </w:p>
        </w:tc>
        <w:tc>
          <w:tcPr/>
          <w:p>
            <w:pPr>
              <w:pStyle w:val="Compact"/>
              <w:jc w:val="left"/>
            </w:pPr>
            <w:r>
              <w:t xml:space="preserve">J69.0</w:t>
            </w:r>
          </w:p>
        </w:tc>
        <w:tc>
          <w:tcPr/>
          <w:p>
            <w:pPr>
              <w:pStyle w:val="Compact"/>
              <w:jc w:val="left"/>
            </w:pPr>
            <w:r>
              <w:t xml:space="preserve">Pneumonitis due to inhalation of food and vomit</w:t>
            </w:r>
          </w:p>
        </w:tc>
      </w:tr>
      <w:tr>
        <w:tc>
          <w:tcPr/>
          <w:p>
            <w:pPr>
              <w:pStyle w:val="Compact"/>
              <w:jc w:val="left"/>
            </w:pPr>
            <w:r>
              <w:t xml:space="preserve">Other substance use disorder</w:t>
            </w:r>
          </w:p>
        </w:tc>
        <w:tc>
          <w:tcPr/>
          <w:p>
            <w:pPr>
              <w:pStyle w:val="Compact"/>
              <w:jc w:val="left"/>
            </w:pPr>
            <w:r>
              <w:t xml:space="preserve">F11–F16, F18, F19</w:t>
            </w:r>
          </w:p>
        </w:tc>
        <w:tc>
          <w:tcPr/>
          <w:p>
            <w:pPr>
              <w:pStyle w:val="Compact"/>
              <w:jc w:val="left"/>
            </w:pPr>
            <w:r>
              <w:t xml:space="preserve">Other drug abuse or dependence (excluding remission-only codes)</w:t>
            </w:r>
          </w:p>
        </w:tc>
      </w:tr>
      <w:tr>
        <w:tc>
          <w:tcPr/>
          <w:p>
            <w:pPr>
              <w:pStyle w:val="Compact"/>
              <w:jc w:val="left"/>
            </w:pPr>
            <w:r>
              <w:t xml:space="preserve">Any liver disease</w:t>
            </w:r>
          </w:p>
        </w:tc>
        <w:tc>
          <w:tcPr/>
          <w:p>
            <w:pPr>
              <w:pStyle w:val="Compact"/>
              <w:jc w:val="left"/>
            </w:pPr>
            <w:r>
              <w:t xml:space="preserve">K70–K77</w:t>
            </w:r>
          </w:p>
        </w:tc>
        <w:tc>
          <w:tcPr/>
          <w:p>
            <w:pPr>
              <w:pStyle w:val="Compact"/>
              <w:jc w:val="left"/>
            </w:pPr>
            <w:r>
              <w:t xml:space="preserve">Any acute or chronic liver disease</w:t>
            </w:r>
          </w:p>
        </w:tc>
      </w:tr>
      <w:tr>
        <w:tc>
          <w:tcPr/>
          <w:p>
            <w:pPr>
              <w:pStyle w:val="Compact"/>
              <w:jc w:val="left"/>
            </w:pPr>
            <w:r>
              <w:t xml:space="preserve">Alcoholic liver disease</w:t>
            </w:r>
          </w:p>
        </w:tc>
        <w:tc>
          <w:tcPr/>
          <w:p>
            <w:pPr>
              <w:pStyle w:val="Compact"/>
              <w:jc w:val="left"/>
            </w:pPr>
            <w:r>
              <w:t xml:space="preserve">K70</w:t>
            </w:r>
          </w:p>
        </w:tc>
        <w:tc>
          <w:tcPr/>
          <w:p>
            <w:pPr>
              <w:pStyle w:val="Compact"/>
              <w:jc w:val="left"/>
            </w:pPr>
            <w:r>
              <w:t xml:space="preserve">Alcoholic liver disease</w:t>
            </w:r>
          </w:p>
        </w:tc>
      </w:tr>
      <w:tr>
        <w:tc>
          <w:tcPr/>
          <w:p>
            <w:pPr>
              <w:pStyle w:val="Compact"/>
              <w:jc w:val="left"/>
            </w:pPr>
            <w:r>
              <w:t xml:space="preserve">Skull fracture</w:t>
            </w:r>
          </w:p>
        </w:tc>
        <w:tc>
          <w:tcPr/>
          <w:p>
            <w:pPr>
              <w:pStyle w:val="Compact"/>
              <w:jc w:val="left"/>
            </w:pPr>
            <w:r>
              <w:t xml:space="preserve">S02.0, S02.1, S02.91</w:t>
            </w:r>
          </w:p>
        </w:tc>
        <w:tc>
          <w:tcPr/>
          <w:p>
            <w:pPr>
              <w:pStyle w:val="Compact"/>
              <w:jc w:val="left"/>
            </w:pPr>
            <w:r>
              <w:t xml:space="preserve">Fracture of vault, base, or unspecified skull (7th character A or B)</w:t>
            </w:r>
          </w:p>
        </w:tc>
      </w:tr>
      <w:tr>
        <w:tc>
          <w:tcPr/>
          <w:p>
            <w:pPr>
              <w:pStyle w:val="Compact"/>
              <w:jc w:val="left"/>
            </w:pPr>
            <w:r>
              <w:t xml:space="preserve">Extracranial injury</w:t>
            </w:r>
          </w:p>
        </w:tc>
        <w:tc>
          <w:tcPr/>
          <w:p>
            <w:pPr>
              <w:pStyle w:val="Compact"/>
              <w:jc w:val="left"/>
            </w:pPr>
            <w:r>
              <w:t xml:space="preserve">S10–S99</w:t>
            </w:r>
          </w:p>
        </w:tc>
        <w:tc>
          <w:tcPr/>
          <w:p>
            <w:pPr>
              <w:pStyle w:val="Compact"/>
              <w:jc w:val="left"/>
            </w:pPr>
            <w:r>
              <w:t xml:space="preserve">Trauma outside the head (initial encounter; 7th character A, B, or C)</w:t>
            </w:r>
          </w:p>
        </w:tc>
      </w:tr>
      <w:tr>
        <w:tc>
          <w:tcPr/>
          <w:p>
            <w:pPr>
              <w:pStyle w:val="Compact"/>
              <w:jc w:val="left"/>
            </w:pPr>
            <w:r>
              <w:t xml:space="preserve">Tobacco use</w:t>
            </w:r>
          </w:p>
        </w:tc>
        <w:tc>
          <w:tcPr/>
          <w:p>
            <w:pPr>
              <w:pStyle w:val="Compact"/>
              <w:jc w:val="left"/>
            </w:pPr>
            <w:r>
              <w:t xml:space="preserve">F17, Z72.0, Z87.891</w:t>
            </w:r>
          </w:p>
        </w:tc>
        <w:tc>
          <w:tcPr/>
          <w:p>
            <w:pPr>
              <w:pStyle w:val="Compact"/>
              <w:jc w:val="left"/>
            </w:pPr>
            <w:r>
              <w:t xml:space="preserve">Current nicotine dependence or documented tobacco use history</w:t>
            </w:r>
          </w:p>
        </w:tc>
      </w:tr>
    </w:tbl>
    <w:p>
      <w:pPr>
        <w:pStyle w:val="BodyText"/>
      </w:pPr>
      <w:r>
        <w:rPr>
          <w:i/>
          <w:iCs/>
        </w:rPr>
        <w:t xml:space="preserve">Values are survey-weighted national estimates, n (%), unless stated otherwise.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7" Target="media/rId17.png" /><Relationship Type="http://schemas.openxmlformats.org/officeDocument/2006/relationships/image" Id="rId26" Target="media/rId26.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2026-10-26T04:19:28Z</dcterms:created>
  <dcterms:modified xsi:type="dcterms:W3CDTF">2026-10-26T04:19:28Z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