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17.png" ContentType="image/png"/>
  <Override PartName="/word/media/rId26.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Alcohol Withdrawal Syndrome in Adult Traumatic Brain Injury with Alcohol Use Disorder</w:t>
      </w:r>
    </w:p>
    <w:p>
      <w:pPr>
        <w:pStyle w:val="Subtitle"/>
      </w:pPr>
      <w:r>
        <w:t xml:space="preserve">National Inpatient Sample, 2017–2022</w:t>
      </w:r>
    </w:p>
    <w:p>
      <w:pPr>
        <w:pStyle w:val="Author"/>
      </w:pPr>
      <w:r>
        <w:t xml:space="preserve">Muhammad Saad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2" w:name="key-findings"/>
    <w:p>
      <w:pPr>
        <w:pStyle w:val="Heading2"/>
      </w:pPr>
      <w:r>
        <w:t xml:space="preserve">Key Findings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10" name="Picture"/>
                  <a:graphic>
                    <a:graphicData uri="http://schemas.openxmlformats.org/drawingml/2006/picture">
                      <pic:pic>
                        <pic:nvPicPr>
                          <pic:cNvPr descr="C:\Program File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Compact"/>
              <w:numPr>
                <w:ilvl w:val="0"/>
                <w:numId w:val="1001"/>
              </w:numPr>
            </w:pPr>
            <w:r>
              <w:t xml:space="preserve">The cohort represented</w:t>
            </w:r>
            <w:r>
              <w:t xml:space="preserve"> </w:t>
            </w:r>
            <w:r>
              <w:rPr>
                <w:b/>
                <w:bCs/>
              </w:rPr>
              <w:t xml:space="preserve">249,570</w:t>
            </w:r>
            <w:r>
              <w:t xml:space="preserve"> </w:t>
            </w:r>
            <w:r>
              <w:t xml:space="preserve">hospitalizations nationally;</w:t>
            </w:r>
            <w:r>
              <w:t xml:space="preserve"> </w:t>
            </w:r>
            <w:r>
              <w:rPr>
                <w:b/>
                <w:bCs/>
              </w:rPr>
              <w:t xml:space="preserve">58,270</w:t>
            </w:r>
            <w:r>
              <w:t xml:space="preserve"> </w:t>
            </w:r>
            <w:r>
              <w:t xml:space="preserve">(</w:t>
            </w:r>
            <w:r>
              <w:rPr>
                <w:b/>
                <w:bCs/>
              </w:rPr>
              <w:t xml:space="preserve">23.3%</w:t>
            </w:r>
            <w:r>
              <w:t xml:space="preserve">) had coded alcohol withdrawal syndrome (AWS).</w:t>
            </w:r>
          </w:p>
          <w:p>
            <w:pPr>
              <w:pStyle w:val="Compact"/>
              <w:numPr>
                <w:ilvl w:val="0"/>
                <w:numId w:val="1001"/>
              </w:numPr>
            </w:pPr>
            <w:r>
              <w:t xml:space="preserve">AWS was documented in</w:t>
            </w:r>
            <w:r>
              <w:t xml:space="preserve"> </w:t>
            </w:r>
            <w:r>
              <w:rPr>
                <w:b/>
                <w:bCs/>
              </w:rPr>
              <w:t xml:space="preserve">23.3%</w:t>
            </w:r>
            <w:r>
              <w:t xml:space="preserve"> </w:t>
            </w:r>
            <w:r>
              <w:t xml:space="preserve">of hospitalizations across</w:t>
            </w:r>
            <w:r>
              <w:t xml:space="preserve"> </w:t>
            </w:r>
            <w:r>
              <w:rPr>
                <w:b/>
                <w:bCs/>
              </w:rPr>
              <w:t xml:space="preserve">2017–2022</w:t>
            </w:r>
            <w:r>
              <w:t xml:space="preserve">.</w:t>
            </w:r>
          </w:p>
          <w:p>
            <w:pPr>
              <w:pStyle w:val="Compact"/>
              <w:numPr>
                <w:ilvl w:val="0"/>
                <w:numId w:val="1001"/>
              </w:numPr>
            </w:pPr>
            <w:r>
              <w:t xml:space="preserve">AWS was associated with lower adjusted odds of in-hospital death (adjusted odds ratio [aOR],</w:t>
            </w:r>
            <w:r>
              <w:t xml:space="preserve"> </w:t>
            </w:r>
            <w:r>
              <w:rPr>
                <w:b/>
                <w:bCs/>
              </w:rPr>
              <w:t xml:space="preserve">0.60 (0.53–0.67)</w:t>
            </w:r>
            <w:r>
              <w:t xml:space="preserve">).</w:t>
            </w:r>
          </w:p>
          <w:p>
            <w:pPr>
              <w:pStyle w:val="Compact"/>
              <w:numPr>
                <w:ilvl w:val="0"/>
                <w:numId w:val="1001"/>
              </w:numPr>
            </w:pPr>
            <w:r>
              <w:t xml:space="preserve">AWS was associated with higher adjusted odds of invasive ventilation (</w:t>
            </w:r>
            <w:r>
              <w:rPr>
                <w:b/>
                <w:bCs/>
              </w:rPr>
              <w:t xml:space="preserve">1.42 (1.34–1.50)</w:t>
            </w:r>
            <w:r>
              <w:t xml:space="preserve">), pneumonia or aspiration (</w:t>
            </w:r>
            <w:r>
              <w:rPr>
                <w:b/>
                <w:bCs/>
              </w:rPr>
              <w:t xml:space="preserve">2.32 (2.17–2.49)</w:t>
            </w:r>
            <w:r>
              <w:t xml:space="preserve">), institutional discharge among survivors (</w:t>
            </w:r>
            <w:r>
              <w:rPr>
                <w:b/>
                <w:bCs/>
              </w:rPr>
              <w:t xml:space="preserve">1.74 (1.65–1.84)</w:t>
            </w:r>
            <w:r>
              <w:t xml:space="preserve">), and discharge against medical advice among survivors (</w:t>
            </w:r>
            <w:r>
              <w:rPr>
                <w:b/>
                <w:bCs/>
              </w:rPr>
              <w:t xml:space="preserve">1.49 (1.34–1.66)</w:t>
            </w:r>
            <w:r>
              <w:t xml:space="preserve">).</w:t>
            </w:r>
          </w:p>
          <w:p>
            <w:pPr>
              <w:pStyle w:val="Compact"/>
              <w:numPr>
                <w:ilvl w:val="0"/>
                <w:numId w:val="1001"/>
              </w:numPr>
            </w:pPr>
            <w:r>
              <w:t xml:space="preserve">Hospitalizations with AWS had longer stays (</w:t>
            </w:r>
            <w:r>
              <w:rPr>
                <w:b/>
                <w:bCs/>
              </w:rPr>
              <w:t xml:space="preserve">11.43 days</w:t>
            </w:r>
            <w:r>
              <w:t xml:space="preserve"> </w:t>
            </w:r>
            <w:r>
              <w:t xml:space="preserve">vs</w:t>
            </w:r>
            <w:r>
              <w:t xml:space="preserve"> </w:t>
            </w:r>
            <w:r>
              <w:rPr>
                <w:b/>
                <w:bCs/>
              </w:rPr>
              <w:t xml:space="preserve">6.74 days</w:t>
            </w:r>
            <w:r>
              <w:t xml:space="preserve">) and higher costs (</w:t>
            </w:r>
            <w:r>
              <w:rPr>
                <w:b/>
                <w:bCs/>
              </w:rPr>
              <w:t xml:space="preserve">$42,702</w:t>
            </w:r>
            <w:r>
              <w:t xml:space="preserve"> </w:t>
            </w:r>
            <w:r>
              <w:t xml:space="preserve">vs</w:t>
            </w:r>
            <w:r>
              <w:t xml:space="preserve"> </w:t>
            </w:r>
            <w:r>
              <w:rPr>
                <w:b/>
                <w:bCs/>
              </w:rPr>
              <w:t xml:space="preserve">$29,159</w:t>
            </w:r>
            <w:r>
              <w:t xml:space="preserve">).</w:t>
            </w:r>
          </w:p>
        </w:tc>
      </w:tr>
    </w:tbl>
    <w:bookmarkEnd w:id="12"/>
    <w:bookmarkStart w:id="16" w:name="methods"/>
    <w:p>
      <w:pPr>
        <w:pStyle w:val="Heading2"/>
      </w:pPr>
      <w:r>
        <w:t xml:space="preserve">Methods</w:t>
      </w:r>
    </w:p>
    <w:bookmarkStart w:id="13" w:name="data-and-cohort"/>
    <w:p>
      <w:pPr>
        <w:pStyle w:val="Heading3"/>
      </w:pPr>
      <w:r>
        <w:t xml:space="preserve">Data and cohort</w:t>
      </w:r>
    </w:p>
    <w:p>
      <w:pPr>
        <w:pStyle w:val="FirstParagraph"/>
      </w:pPr>
      <w:r>
        <w:t xml:space="preserve">We analyzed the Healthcare Cost and Utilization Project (HCUP) National Inpatient Sample (NIS) for</w:t>
      </w:r>
      <w:r>
        <w:t xml:space="preserve"> </w:t>
      </w:r>
      <w:r>
        <w:rPr>
          <w:b/>
          <w:bCs/>
        </w:rPr>
        <w:t xml:space="preserve">2017–2022</w:t>
      </w:r>
      <w:r>
        <w:t xml:space="preserve">. The cohort included adult hospitalizations for acute traumatic brain injury (TBI) with documented alcohol use disorder. Each record represents a hospitalization, not a unique person. Survey weights were used to estimate national patterns.</w:t>
      </w:r>
    </w:p>
    <w:bookmarkEnd w:id="13"/>
    <w:bookmarkStart w:id="14" w:name="exposure-outcomes-and-covariates"/>
    <w:p>
      <w:pPr>
        <w:pStyle w:val="Heading3"/>
      </w:pPr>
      <w:r>
        <w:t xml:space="preserve">Exposure, outcomes, and covariates</w:t>
      </w:r>
    </w:p>
    <w:p>
      <w:pPr>
        <w:pStyle w:val="FirstParagraph"/>
      </w:pPr>
      <w:r>
        <w:t xml:space="preserve">The exposure was a diagnosis code for AWS during the hospitalization. Outcomes were in-hospital death, invasive mechanical ventilation, pneumonia or aspiration, discharge to an institution, discharge against medical advice, length of stay (LOS), and hospital cost. Adjusted models accounted for patient demographics, hospital characteristics, injury features, and chronic conditions.</w:t>
      </w:r>
    </w:p>
    <w:bookmarkEnd w:id="14"/>
    <w:bookmarkStart w:id="15" w:name="statistical-analysis"/>
    <w:p>
      <w:pPr>
        <w:pStyle w:val="Heading3"/>
      </w:pPr>
      <w:r>
        <w:t xml:space="preserve">Statistical analysis</w:t>
      </w:r>
    </w:p>
    <w:p>
      <w:pPr>
        <w:pStyle w:val="FirstParagraph"/>
      </w:pPr>
      <w:r>
        <w:t xml:space="preserve">We compared hospitalizations with and without coded AWS using survey-weighted regression. Adjusted odds ratios summarize the association after accounting for the listed covariates; values above 1 indicate higher odds and values below 1 indicate lower odds. Results describe associations and do not establish cause and effect. All counts and percentages are survey-weighted national estimates, reported as weighted n (weighted %). The analysis included 49,914 sampled hospitalizations, representing 249,570 hospitalizations nationally. Cells based on 10 or fewer sampled hospitalizations are suppressed (≤10) per the HCUP data use agreement.</w:t>
      </w:r>
    </w:p>
    <w:bookmarkEnd w:id="15"/>
    <w:bookmarkEnd w:id="16"/>
    <w:bookmarkStart w:id="21" w:name="cohort-flow"/>
    <w:p>
      <w:pPr>
        <w:pStyle w:val="Heading2"/>
      </w:pPr>
      <w:r>
        <w:t xml:space="preserve">Cohort Flow</w:t>
      </w:r>
    </w:p>
    <w:p>
      <w:pPr>
        <w:pStyle w:val="FirstParagraph"/>
      </w:pPr>
      <w:r>
        <w:t xml:space="preserve">The steps below show how the analytic cohort was selected from NIS hospitalizations.</w:t>
      </w:r>
    </w:p>
    <w:tbl>
      <w:tblPr>
        <w:tblStyle w:val="Table"/>
        <w:tblW w:type="pct" w:w="5000"/>
        <w:tblLayout w:type="fixed"/>
        <w:tblLook w:firstRow="0" w:lastRow="0" w:firstColumn="0" w:lastColumn="0" w:noHBand="0" w:noVBand="0" w:val="0000"/>
      </w:tblPr>
      <w:tblGrid>
        <w:gridCol w:w="7920"/>
      </w:tblGrid>
      <w:tr>
        <w:tc>
          <w:tcPr/>
          <w:bookmarkStart w:id="20" w:name="fig-cohort-flow"/>
          <w:p>
            <w:pPr>
              <w:pStyle w:val="Compact"/>
              <w:jc w:val="center"/>
            </w:pPr>
            <w:r>
              <w:drawing>
                <wp:inline>
                  <wp:extent cx="4800600" cy="3840480"/>
                  <wp:effectExtent b="0" l="0" r="0" t="0"/>
                  <wp:docPr descr="" title="" id="18" name="Picture"/>
                  <a:graphic>
                    <a:graphicData uri="http://schemas.openxmlformats.org/drawingml/2006/picture">
                      <pic:pic>
                        <pic:nvPicPr>
                          <pic:cNvPr descr="../output/public/cohort_flow.png" id="19" name="Picture"/>
                          <pic:cNvPicPr>
                            <a:picLocks noChangeArrowheads="1" noChangeAspect="1"/>
                          </pic:cNvPicPr>
                        </pic:nvPicPr>
                        <pic:blipFill>
                          <a:blip r:embed="rId17"/>
                          <a:stretch>
                            <a:fillRect/>
                          </a:stretch>
                        </pic:blipFill>
                        <pic:spPr bwMode="auto">
                          <a:xfrm>
                            <a:off x="0" y="0"/>
                            <a:ext cx="4800600" cy="384048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Cohort flow for adult TBI hospitalizations with alcohol use disorder, NIS 2017–2022.</w:t>
            </w:r>
          </w:p>
          <w:bookmarkEnd w:id="20"/>
        </w:tc>
      </w:tr>
    </w:tbl>
    <w:bookmarkEnd w:id="21"/>
    <w:bookmarkStart w:id="23" w:name="baseline-characteristics"/>
    <w:p>
      <w:pPr>
        <w:pStyle w:val="Heading2"/>
      </w:pPr>
      <w:r>
        <w:t xml:space="preserve">Baseline Characteristics</w:t>
      </w:r>
    </w:p>
    <w:p>
      <w:pPr>
        <w:pStyle w:val="FirstParagraph"/>
      </w:pPr>
      <w:r>
        <w:t xml:space="preserve">Baseline characteristics are shown for the full cohort and by coded AWS status.</w:t>
      </w:r>
    </w:p>
    <w:tbl>
      <w:tblPr>
        <w:tblStyle w:val="Table"/>
        <w:tblW w:type="pct" w:w="5000"/>
        <w:tblLayout w:type="fixed"/>
        <w:tblLook w:firstRow="0" w:lastRow="0" w:firstColumn="0" w:lastColumn="0" w:noHBand="0" w:noVBand="0" w:val="0000"/>
      </w:tblPr>
      <w:tblGrid>
        <w:gridCol w:w="7920"/>
      </w:tblGrid>
      <w:tr>
        <w:tc>
          <w:tcPr/>
          <w:bookmarkStart w:id="22" w:name="tbl-baseline"/>
          <w:p>
            <w:pPr>
              <w:jc w:val="center"/>
            </w:pPr>
            <w:pPr>
              <w:jc w:val="left"/>
              <w:spacing w:before="200"/>
              <w:pStyle w:val="ImageCaption"/>
            </w:pPr>
            <w:r>
              <w:t xml:space="preserve">Table 1: Baseline characteristics of adult TBI hospitalizations by AWS status.</w:t>
            </w:r>
          </w:p>
          <w:tbl>
            <w:tblPr>
              <w:tblStyle w:val="Table"/>
              <w:tblW w:type="pct" w:w="5000"/>
              <w:tblLayout w:type="fixed"/>
              <w:tblLook w:firstRow="1" w:lastRow="0" w:firstColumn="0" w:lastColumn="0" w:noHBand="0" w:noVBand="0" w:val="0020"/>
            </w:tblPr>
            <w:tblGrid>
              <w:gridCol w:w="3593"/>
              <w:gridCol w:w="1397"/>
              <w:gridCol w:w="1331"/>
              <w:gridCol w:w="1064"/>
              <w:gridCol w:w="532"/>
            </w:tblGrid>
            <w:tr>
              <w:trPr>
                <w:tblHeader w:val="on"/>
              </w:trPr>
              <w:tc>
                <w:tcPr/>
                <w:p>
                  <w:pPr>
                    <w:pStyle w:val="Compact"/>
                    <w:jc w:val="left"/>
                    <w:jc w:val="center"/>
                  </w:pPr>
                  <w:r>
                    <w:t xml:space="preserve">Characteristic</w:t>
                  </w:r>
                </w:p>
              </w:tc>
              <w:tc>
                <w:tcPr/>
                <w:p>
                  <w:pPr>
                    <w:pStyle w:val="Compact"/>
                    <w:jc w:val="left"/>
                    <w:jc w:val="center"/>
                  </w:pPr>
                  <w:r>
                    <w:t xml:space="preserve">Overall, N = 249,570</w:t>
                  </w:r>
                </w:p>
              </w:tc>
              <w:tc>
                <w:tcPr/>
                <w:p>
                  <w:pPr>
                    <w:pStyle w:val="Compact"/>
                    <w:jc w:val="left"/>
                    <w:jc w:val="center"/>
                  </w:pPr>
                  <w:r>
                    <w:t xml:space="preserve">No AWS, N = 191,300</w:t>
                  </w:r>
                </w:p>
              </w:tc>
              <w:tc>
                <w:tcPr/>
                <w:p>
                  <w:pPr>
                    <w:pStyle w:val="Compact"/>
                    <w:jc w:val="left"/>
                    <w:jc w:val="center"/>
                  </w:pPr>
                  <w:r>
                    <w:t xml:space="preserve">AWS, N = 58,270</w:t>
                  </w:r>
                </w:p>
              </w:tc>
              <w:tc>
                <w:tcPr/>
                <w:p>
                  <w:pPr>
                    <w:pStyle w:val="Compact"/>
                    <w:jc w:val="left"/>
                    <w:jc w:val="center"/>
                  </w:pPr>
                  <w:r>
                    <w:t xml:space="preserve">p-value</w:t>
                  </w:r>
                </w:p>
              </w:tc>
            </w:tr>
            <w:tr>
              <w:tc>
                <w:tcPr/>
                <w:p>
                  <w:pPr>
                    <w:pStyle w:val="Compact"/>
                    <w:jc w:val="left"/>
                    <w:jc w:val="center"/>
                  </w:pPr>
                  <w:r>
                    <w:t xml:space="preserve">Age, years</w:t>
                  </w:r>
                </w:p>
              </w:tc>
              <w:tc>
                <w:tcPr/>
                <w:p>
                  <w:pPr>
                    <w:pStyle w:val="Compact"/>
                    <w:jc w:val="left"/>
                    <w:jc w:val="center"/>
                  </w:pPr>
                  <w:r>
                    <w:t xml:space="preserve">53 (38, 63)</w:t>
                  </w:r>
                </w:p>
              </w:tc>
              <w:tc>
                <w:tcPr/>
                <w:p>
                  <w:pPr>
                    <w:pStyle w:val="Compact"/>
                    <w:jc w:val="left"/>
                    <w:jc w:val="center"/>
                  </w:pPr>
                  <w:r>
                    <w:t xml:space="preserve">52 (36, 63)</w:t>
                  </w:r>
                </w:p>
              </w:tc>
              <w:tc>
                <w:tcPr/>
                <w:p>
                  <w:pPr>
                    <w:pStyle w:val="Compact"/>
                    <w:jc w:val="left"/>
                    <w:jc w:val="center"/>
                  </w:pPr>
                  <w:r>
                    <w:t xml:space="preserve">56 (46, 64)</w:t>
                  </w:r>
                </w:p>
              </w:tc>
              <w:tc>
                <w:tcPr/>
                <w:p>
                  <w:pPr>
                    <w:pStyle w:val="Compact"/>
                    <w:jc w:val="left"/>
                    <w:jc w:val="center"/>
                  </w:pPr>
                  <w:r>
                    <w:t xml:space="preserve">&lt;0.001</w:t>
                  </w:r>
                </w:p>
              </w:tc>
            </w:tr>
            <w:tr>
              <w:tc>
                <w:tcPr/>
                <w:p>
                  <w:pPr>
                    <w:pStyle w:val="Compact"/>
                    <w:jc w:val="left"/>
                    <w:jc w:val="center"/>
                  </w:pPr>
                  <w:r>
                    <w:t xml:space="preserve">Sex</w:t>
                  </w:r>
                </w:p>
              </w:tc>
              <w:tc>
                <w:tcPr/>
                <w:p>
                  <w:pPr>
                    <w:pStyle w:val="Compact"/>
                  </w:pPr>
                </w:p>
              </w:tc>
              <w:tc>
                <w:tcPr/>
                <w:p>
                  <w:pPr>
                    <w:pStyle w:val="Compact"/>
                  </w:pPr>
                </w:p>
              </w:tc>
              <w:tc>
                <w:tcPr/>
                <w:p>
                  <w:pPr>
                    <w:pStyle w:val="Compact"/>
                  </w:pPr>
                </w:p>
              </w:tc>
              <w:tc>
                <w:tcPr/>
                <w:p>
                  <w:pPr>
                    <w:pStyle w:val="Compact"/>
                    <w:jc w:val="left"/>
                    <w:jc w:val="center"/>
                  </w:pPr>
                  <w:r>
                    <w:t xml:space="preserve">&lt;0.001</w:t>
                  </w:r>
                </w:p>
              </w:tc>
            </w:tr>
            <w:tr>
              <w:tc>
                <w:tcPr/>
                <w:p>
                  <w:pPr>
                    <w:pStyle w:val="Compact"/>
                    <w:jc w:val="left"/>
                    <w:jc w:val="center"/>
                  </w:pPr>
                  <w:r>
                    <w:t xml:space="preserve">Male</w:t>
                  </w:r>
                </w:p>
              </w:tc>
              <w:tc>
                <w:tcPr/>
                <w:p>
                  <w:pPr>
                    <w:pStyle w:val="Compact"/>
                    <w:jc w:val="left"/>
                    <w:jc w:val="center"/>
                  </w:pPr>
                  <w:r>
                    <w:t xml:space="preserve">194,195 (77.8%)</w:t>
                  </w:r>
                </w:p>
              </w:tc>
              <w:tc>
                <w:tcPr/>
                <w:p>
                  <w:pPr>
                    <w:pStyle w:val="Compact"/>
                    <w:jc w:val="left"/>
                    <w:jc w:val="center"/>
                  </w:pPr>
                  <w:r>
                    <w:t xml:space="preserve">146,785 (76.7%)</w:t>
                  </w:r>
                </w:p>
              </w:tc>
              <w:tc>
                <w:tcPr/>
                <w:p>
                  <w:pPr>
                    <w:pStyle w:val="Compact"/>
                    <w:jc w:val="left"/>
                    <w:jc w:val="center"/>
                  </w:pPr>
                  <w:r>
                    <w:t xml:space="preserve">47,410 (81.4%)</w:t>
                  </w:r>
                </w:p>
              </w:tc>
              <w:tc>
                <w:tcPr/>
                <w:p>
                  <w:pPr>
                    <w:pStyle w:val="Compact"/>
                  </w:pPr>
                </w:p>
              </w:tc>
            </w:tr>
            <w:tr>
              <w:tc>
                <w:tcPr/>
                <w:p>
                  <w:pPr>
                    <w:pStyle w:val="Compact"/>
                    <w:jc w:val="left"/>
                    <w:jc w:val="center"/>
                  </w:pPr>
                  <w:r>
                    <w:t xml:space="preserve">Female</w:t>
                  </w:r>
                </w:p>
              </w:tc>
              <w:tc>
                <w:tcPr/>
                <w:p>
                  <w:pPr>
                    <w:pStyle w:val="Compact"/>
                    <w:jc w:val="left"/>
                    <w:jc w:val="center"/>
                  </w:pPr>
                  <w:r>
                    <w:t xml:space="preserve">≤10</w:t>
                  </w:r>
                </w:p>
              </w:tc>
              <w:tc>
                <w:tcPr/>
                <w:p>
                  <w:pPr>
                    <w:pStyle w:val="Compact"/>
                    <w:jc w:val="left"/>
                    <w:jc w:val="center"/>
                  </w:pPr>
                  <w:r>
                    <w:t xml:space="preserve">44,425 (23.2%)</w:t>
                  </w:r>
                </w:p>
              </w:tc>
              <w:tc>
                <w:tcPr/>
                <w:p>
                  <w:pPr>
                    <w:pStyle w:val="Compact"/>
                    <w:jc w:val="left"/>
                    <w:jc w:val="center"/>
                  </w:pPr>
                  <w:r>
                    <w:t xml:space="preserve">≤10</w:t>
                  </w:r>
                </w:p>
              </w:tc>
              <w:tc>
                <w:tcPr/>
                <w:p>
                  <w:pPr>
                    <w:pStyle w:val="Compact"/>
                  </w:pPr>
                </w:p>
              </w:tc>
            </w:tr>
            <w:tr>
              <w:tc>
                <w:tcPr/>
                <w:p>
                  <w:pPr>
                    <w:pStyle w:val="Compact"/>
                    <w:jc w:val="left"/>
                    <w:jc w:val="center"/>
                  </w:pPr>
                  <w:r>
                    <w:t xml:space="preserve">Unknown</w:t>
                  </w:r>
                </w:p>
              </w:tc>
              <w:tc>
                <w:tcPr/>
                <w:p>
                  <w:pPr>
                    <w:pStyle w:val="Compact"/>
                    <w:jc w:val="left"/>
                    <w:jc w:val="center"/>
                  </w:pPr>
                  <w:r>
                    <w:t xml:space="preserve">≤10</w:t>
                  </w:r>
                </w:p>
              </w:tc>
              <w:tc>
                <w:tcPr/>
                <w:p>
                  <w:pPr>
                    <w:pStyle w:val="Compact"/>
                    <w:jc w:val="left"/>
                    <w:jc w:val="center"/>
                  </w:pPr>
                  <w:r>
                    <w:t xml:space="preserve">90 (0.0%)</w:t>
                  </w:r>
                </w:p>
              </w:tc>
              <w:tc>
                <w:tcPr/>
                <w:p>
                  <w:pPr>
                    <w:pStyle w:val="Compact"/>
                    <w:jc w:val="left"/>
                    <w:jc w:val="center"/>
                  </w:pPr>
                  <w:r>
                    <w:t xml:space="preserve">≤10</w:t>
                  </w:r>
                </w:p>
              </w:tc>
              <w:tc>
                <w:tcPr/>
                <w:p>
                  <w:pPr>
                    <w:pStyle w:val="Compact"/>
                  </w:pPr>
                </w:p>
              </w:tc>
            </w:tr>
            <w:tr>
              <w:tc>
                <w:tcPr/>
                <w:p>
                  <w:pPr>
                    <w:pStyle w:val="Compact"/>
                    <w:jc w:val="left"/>
                    <w:jc w:val="center"/>
                  </w:pPr>
                  <w:r>
                    <w:t xml:space="preserve">Race/ethnicity</w:t>
                  </w:r>
                </w:p>
              </w:tc>
              <w:tc>
                <w:tcPr/>
                <w:p>
                  <w:pPr>
                    <w:pStyle w:val="Compact"/>
                  </w:pPr>
                </w:p>
              </w:tc>
              <w:tc>
                <w:tcPr/>
                <w:p>
                  <w:pPr>
                    <w:pStyle w:val="Compact"/>
                  </w:pPr>
                </w:p>
              </w:tc>
              <w:tc>
                <w:tcPr/>
                <w:p>
                  <w:pPr>
                    <w:pStyle w:val="Compact"/>
                  </w:pPr>
                </w:p>
              </w:tc>
              <w:tc>
                <w:tcPr/>
                <w:p>
                  <w:pPr>
                    <w:pStyle w:val="Compact"/>
                    <w:jc w:val="left"/>
                    <w:jc w:val="center"/>
                  </w:pPr>
                  <w:r>
                    <w:t xml:space="preserve">&lt;0.001</w:t>
                  </w:r>
                </w:p>
              </w:tc>
            </w:tr>
            <w:tr>
              <w:tc>
                <w:tcPr/>
                <w:p>
                  <w:pPr>
                    <w:pStyle w:val="Compact"/>
                    <w:jc w:val="left"/>
                    <w:jc w:val="center"/>
                  </w:pPr>
                  <w:r>
                    <w:t xml:space="preserve">White</w:t>
                  </w:r>
                </w:p>
              </w:tc>
              <w:tc>
                <w:tcPr/>
                <w:p>
                  <w:pPr>
                    <w:pStyle w:val="Compact"/>
                    <w:jc w:val="left"/>
                    <w:jc w:val="center"/>
                  </w:pPr>
                  <w:r>
                    <w:t xml:space="preserve">155,975 (62.5%)</w:t>
                  </w:r>
                </w:p>
              </w:tc>
              <w:tc>
                <w:tcPr/>
                <w:p>
                  <w:pPr>
                    <w:pStyle w:val="Compact"/>
                    <w:jc w:val="left"/>
                    <w:jc w:val="center"/>
                  </w:pPr>
                  <w:r>
                    <w:t xml:space="preserve">116,220 (60.8%)</w:t>
                  </w:r>
                </w:p>
              </w:tc>
              <w:tc>
                <w:tcPr/>
                <w:p>
                  <w:pPr>
                    <w:pStyle w:val="Compact"/>
                    <w:jc w:val="left"/>
                    <w:jc w:val="center"/>
                  </w:pPr>
                  <w:r>
                    <w:t xml:space="preserve">39,755 (68.2%)</w:t>
                  </w:r>
                </w:p>
              </w:tc>
              <w:tc>
                <w:tcPr/>
                <w:p>
                  <w:pPr>
                    <w:pStyle w:val="Compact"/>
                  </w:pPr>
                </w:p>
              </w:tc>
            </w:tr>
            <w:tr>
              <w:tc>
                <w:tcPr/>
                <w:p>
                  <w:pPr>
                    <w:pStyle w:val="Compact"/>
                    <w:jc w:val="left"/>
                    <w:jc w:val="center"/>
                  </w:pPr>
                  <w:r>
                    <w:t xml:space="preserve">Black</w:t>
                  </w:r>
                </w:p>
              </w:tc>
              <w:tc>
                <w:tcPr/>
                <w:p>
                  <w:pPr>
                    <w:pStyle w:val="Compact"/>
                    <w:jc w:val="left"/>
                    <w:jc w:val="center"/>
                  </w:pPr>
                  <w:r>
                    <w:t xml:space="preserve">31,640 (12.7%)</w:t>
                  </w:r>
                </w:p>
              </w:tc>
              <w:tc>
                <w:tcPr/>
                <w:p>
                  <w:pPr>
                    <w:pStyle w:val="Compact"/>
                    <w:jc w:val="left"/>
                    <w:jc w:val="center"/>
                  </w:pPr>
                  <w:r>
                    <w:t xml:space="preserve">26,040 (13.6%)</w:t>
                  </w:r>
                </w:p>
              </w:tc>
              <w:tc>
                <w:tcPr/>
                <w:p>
                  <w:pPr>
                    <w:pStyle w:val="Compact"/>
                    <w:jc w:val="left"/>
                    <w:jc w:val="center"/>
                  </w:pPr>
                  <w:r>
                    <w:t xml:space="preserve">5,600 (9.6%)</w:t>
                  </w:r>
                </w:p>
              </w:tc>
              <w:tc>
                <w:tcPr/>
                <w:p>
                  <w:pPr>
                    <w:pStyle w:val="Compact"/>
                  </w:pPr>
                </w:p>
              </w:tc>
            </w:tr>
            <w:tr>
              <w:tc>
                <w:tcPr/>
                <w:p>
                  <w:pPr>
                    <w:pStyle w:val="Compact"/>
                    <w:jc w:val="left"/>
                    <w:jc w:val="center"/>
                  </w:pPr>
                  <w:r>
                    <w:t xml:space="preserve">Hispanic</w:t>
                  </w:r>
                </w:p>
              </w:tc>
              <w:tc>
                <w:tcPr/>
                <w:p>
                  <w:pPr>
                    <w:pStyle w:val="Compact"/>
                    <w:jc w:val="left"/>
                    <w:jc w:val="center"/>
                  </w:pPr>
                  <w:r>
                    <w:t xml:space="preserve">34,230 (13.7%)</w:t>
                  </w:r>
                </w:p>
              </w:tc>
              <w:tc>
                <w:tcPr/>
                <w:p>
                  <w:pPr>
                    <w:pStyle w:val="Compact"/>
                    <w:jc w:val="left"/>
                    <w:jc w:val="center"/>
                  </w:pPr>
                  <w:r>
                    <w:t xml:space="preserve">27,185 (14.2%)</w:t>
                  </w:r>
                </w:p>
              </w:tc>
              <w:tc>
                <w:tcPr/>
                <w:p>
                  <w:pPr>
                    <w:pStyle w:val="Compact"/>
                    <w:jc w:val="left"/>
                    <w:jc w:val="center"/>
                  </w:pPr>
                  <w:r>
                    <w:t xml:space="preserve">7,045 (12.1%)</w:t>
                  </w:r>
                </w:p>
              </w:tc>
              <w:tc>
                <w:tcPr/>
                <w:p>
                  <w:pPr>
                    <w:pStyle w:val="Compact"/>
                  </w:pPr>
                </w:p>
              </w:tc>
            </w:tr>
            <w:tr>
              <w:tc>
                <w:tcPr/>
                <w:p>
                  <w:pPr>
                    <w:pStyle w:val="Compact"/>
                    <w:jc w:val="left"/>
                    <w:jc w:val="center"/>
                  </w:pPr>
                  <w:r>
                    <w:t xml:space="preserve">Asian or Pacific Islander</w:t>
                  </w:r>
                </w:p>
              </w:tc>
              <w:tc>
                <w:tcPr/>
                <w:p>
                  <w:pPr>
                    <w:pStyle w:val="Compact"/>
                    <w:jc w:val="left"/>
                    <w:jc w:val="center"/>
                  </w:pPr>
                  <w:r>
                    <w:t xml:space="preserve">3,400 (1.4%)</w:t>
                  </w:r>
                </w:p>
              </w:tc>
              <w:tc>
                <w:tcPr/>
                <w:p>
                  <w:pPr>
                    <w:pStyle w:val="Compact"/>
                    <w:jc w:val="left"/>
                    <w:jc w:val="center"/>
                  </w:pPr>
                  <w:r>
                    <w:t xml:space="preserve">2,765 (1.4%)</w:t>
                  </w:r>
                </w:p>
              </w:tc>
              <w:tc>
                <w:tcPr/>
                <w:p>
                  <w:pPr>
                    <w:pStyle w:val="Compact"/>
                    <w:jc w:val="left"/>
                    <w:jc w:val="center"/>
                  </w:pPr>
                  <w:r>
                    <w:t xml:space="preserve">635 (1.1%)</w:t>
                  </w:r>
                </w:p>
              </w:tc>
              <w:tc>
                <w:tcPr/>
                <w:p>
                  <w:pPr>
                    <w:pStyle w:val="Compact"/>
                  </w:pPr>
                </w:p>
              </w:tc>
            </w:tr>
            <w:tr>
              <w:tc>
                <w:tcPr/>
                <w:p>
                  <w:pPr>
                    <w:pStyle w:val="Compact"/>
                    <w:jc w:val="left"/>
                    <w:jc w:val="center"/>
                  </w:pPr>
                  <w:r>
                    <w:t xml:space="preserve">Native American</w:t>
                  </w:r>
                </w:p>
              </w:tc>
              <w:tc>
                <w:tcPr/>
                <w:p>
                  <w:pPr>
                    <w:pStyle w:val="Compact"/>
                    <w:jc w:val="left"/>
                    <w:jc w:val="center"/>
                  </w:pPr>
                  <w:r>
                    <w:t xml:space="preserve">5,510 (2.2%)</w:t>
                  </w:r>
                </w:p>
              </w:tc>
              <w:tc>
                <w:tcPr/>
                <w:p>
                  <w:pPr>
                    <w:pStyle w:val="Compact"/>
                    <w:jc w:val="left"/>
                    <w:jc w:val="center"/>
                  </w:pPr>
                  <w:r>
                    <w:t xml:space="preserve">4,105 (2.1%)</w:t>
                  </w:r>
                </w:p>
              </w:tc>
              <w:tc>
                <w:tcPr/>
                <w:p>
                  <w:pPr>
                    <w:pStyle w:val="Compact"/>
                    <w:jc w:val="left"/>
                    <w:jc w:val="center"/>
                  </w:pPr>
                  <w:r>
                    <w:t xml:space="preserve">1,405 (2.4%)</w:t>
                  </w:r>
                </w:p>
              </w:tc>
              <w:tc>
                <w:tcPr/>
                <w:p>
                  <w:pPr>
                    <w:pStyle w:val="Compact"/>
                  </w:pPr>
                </w:p>
              </w:tc>
            </w:tr>
            <w:tr>
              <w:tc>
                <w:tcPr/>
                <w:p>
                  <w:pPr>
                    <w:pStyle w:val="Compact"/>
                    <w:jc w:val="left"/>
                    <w:jc w:val="center"/>
                  </w:pPr>
                  <w:r>
                    <w:t xml:space="preserve">Other</w:t>
                  </w:r>
                </w:p>
              </w:tc>
              <w:tc>
                <w:tcPr/>
                <w:p>
                  <w:pPr>
                    <w:pStyle w:val="Compact"/>
                    <w:jc w:val="left"/>
                    <w:jc w:val="center"/>
                  </w:pPr>
                  <w:r>
                    <w:t xml:space="preserve">9,305 (3.7%)</w:t>
                  </w:r>
                </w:p>
              </w:tc>
              <w:tc>
                <w:tcPr/>
                <w:p>
                  <w:pPr>
                    <w:pStyle w:val="Compact"/>
                    <w:jc w:val="left"/>
                    <w:jc w:val="center"/>
                  </w:pPr>
                  <w:r>
                    <w:t xml:space="preserve">7,420 (3.9%)</w:t>
                  </w:r>
                </w:p>
              </w:tc>
              <w:tc>
                <w:tcPr/>
                <w:p>
                  <w:pPr>
                    <w:pStyle w:val="Compact"/>
                    <w:jc w:val="left"/>
                    <w:jc w:val="center"/>
                  </w:pPr>
                  <w:r>
                    <w:t xml:space="preserve">1,885 (3.2%)</w:t>
                  </w:r>
                </w:p>
              </w:tc>
              <w:tc>
                <w:tcPr/>
                <w:p>
                  <w:pPr>
                    <w:pStyle w:val="Compact"/>
                  </w:pPr>
                </w:p>
              </w:tc>
            </w:tr>
            <w:tr>
              <w:tc>
                <w:tcPr/>
                <w:p>
                  <w:pPr>
                    <w:pStyle w:val="Compact"/>
                    <w:jc w:val="left"/>
                    <w:jc w:val="center"/>
                  </w:pPr>
                  <w:r>
                    <w:t xml:space="preserve">Unknown</w:t>
                  </w:r>
                </w:p>
              </w:tc>
              <w:tc>
                <w:tcPr/>
                <w:p>
                  <w:pPr>
                    <w:pStyle w:val="Compact"/>
                    <w:jc w:val="left"/>
                    <w:jc w:val="center"/>
                  </w:pPr>
                  <w:r>
                    <w:t xml:space="preserve">9,510 (3.8%)</w:t>
                  </w:r>
                </w:p>
              </w:tc>
              <w:tc>
                <w:tcPr/>
                <w:p>
                  <w:pPr>
                    <w:pStyle w:val="Compact"/>
                    <w:jc w:val="left"/>
                    <w:jc w:val="center"/>
                  </w:pPr>
                  <w:r>
                    <w:t xml:space="preserve">7,565 (4.0%)</w:t>
                  </w:r>
                </w:p>
              </w:tc>
              <w:tc>
                <w:tcPr/>
                <w:p>
                  <w:pPr>
                    <w:pStyle w:val="Compact"/>
                    <w:jc w:val="left"/>
                    <w:jc w:val="center"/>
                  </w:pPr>
                  <w:r>
                    <w:t xml:space="preserve">1,945 (3.3%)</w:t>
                  </w:r>
                </w:p>
              </w:tc>
              <w:tc>
                <w:tcPr/>
                <w:p>
                  <w:pPr>
                    <w:pStyle w:val="Compact"/>
                  </w:pPr>
                </w:p>
              </w:tc>
            </w:tr>
            <w:tr>
              <w:tc>
                <w:tcPr/>
                <w:p>
                  <w:pPr>
                    <w:pStyle w:val="Compact"/>
                    <w:jc w:val="left"/>
                    <w:jc w:val="center"/>
                  </w:pPr>
                  <w:r>
                    <w:t xml:space="preserve">Primary expected payer</w:t>
                  </w:r>
                </w:p>
              </w:tc>
              <w:tc>
                <w:tcPr/>
                <w:p>
                  <w:pPr>
                    <w:pStyle w:val="Compact"/>
                  </w:pPr>
                </w:p>
              </w:tc>
              <w:tc>
                <w:tcPr/>
                <w:p>
                  <w:pPr>
                    <w:pStyle w:val="Compact"/>
                  </w:pPr>
                </w:p>
              </w:tc>
              <w:tc>
                <w:tcPr/>
                <w:p>
                  <w:pPr>
                    <w:pStyle w:val="Compact"/>
                  </w:pPr>
                </w:p>
              </w:tc>
              <w:tc>
                <w:tcPr/>
                <w:p>
                  <w:pPr>
                    <w:pStyle w:val="Compact"/>
                    <w:jc w:val="left"/>
                    <w:jc w:val="center"/>
                  </w:pPr>
                  <w:r>
                    <w:t xml:space="preserve">&lt;0.001</w:t>
                  </w:r>
                </w:p>
              </w:tc>
            </w:tr>
            <w:tr>
              <w:tc>
                <w:tcPr/>
                <w:p>
                  <w:pPr>
                    <w:pStyle w:val="Compact"/>
                    <w:jc w:val="left"/>
                    <w:jc w:val="center"/>
                  </w:pPr>
                  <w:r>
                    <w:t xml:space="preserve">Medicare</w:t>
                  </w:r>
                </w:p>
              </w:tc>
              <w:tc>
                <w:tcPr/>
                <w:p>
                  <w:pPr>
                    <w:pStyle w:val="Compact"/>
                    <w:jc w:val="left"/>
                    <w:jc w:val="center"/>
                  </w:pPr>
                  <w:r>
                    <w:t xml:space="preserve">62,235 (24.9%)</w:t>
                  </w:r>
                </w:p>
              </w:tc>
              <w:tc>
                <w:tcPr/>
                <w:p>
                  <w:pPr>
                    <w:pStyle w:val="Compact"/>
                    <w:jc w:val="left"/>
                    <w:jc w:val="center"/>
                  </w:pPr>
                  <w:r>
                    <w:t xml:space="preserve">46,655 (24.4%)</w:t>
                  </w:r>
                </w:p>
              </w:tc>
              <w:tc>
                <w:tcPr/>
                <w:p>
                  <w:pPr>
                    <w:pStyle w:val="Compact"/>
                    <w:jc w:val="left"/>
                    <w:jc w:val="center"/>
                  </w:pPr>
                  <w:r>
                    <w:t xml:space="preserve">15,580 (26.7%)</w:t>
                  </w:r>
                </w:p>
              </w:tc>
              <w:tc>
                <w:tcPr/>
                <w:p>
                  <w:pPr>
                    <w:pStyle w:val="Compact"/>
                  </w:pPr>
                </w:p>
              </w:tc>
            </w:tr>
            <w:tr>
              <w:tc>
                <w:tcPr/>
                <w:p>
                  <w:pPr>
                    <w:pStyle w:val="Compact"/>
                    <w:jc w:val="left"/>
                    <w:jc w:val="center"/>
                  </w:pPr>
                  <w:r>
                    <w:t xml:space="preserve">Medicaid</w:t>
                  </w:r>
                </w:p>
              </w:tc>
              <w:tc>
                <w:tcPr/>
                <w:p>
                  <w:pPr>
                    <w:pStyle w:val="Compact"/>
                    <w:jc w:val="left"/>
                    <w:jc w:val="center"/>
                  </w:pPr>
                  <w:r>
                    <w:t xml:space="preserve">72,170 (28.9%)</w:t>
                  </w:r>
                </w:p>
              </w:tc>
              <w:tc>
                <w:tcPr/>
                <w:p>
                  <w:pPr>
                    <w:pStyle w:val="Compact"/>
                    <w:jc w:val="left"/>
                    <w:jc w:val="center"/>
                  </w:pPr>
                  <w:r>
                    <w:t xml:space="preserve">52,335 (27.4%)</w:t>
                  </w:r>
                </w:p>
              </w:tc>
              <w:tc>
                <w:tcPr/>
                <w:p>
                  <w:pPr>
                    <w:pStyle w:val="Compact"/>
                    <w:jc w:val="left"/>
                    <w:jc w:val="center"/>
                  </w:pPr>
                  <w:r>
                    <w:t xml:space="preserve">19,835 (34.0%)</w:t>
                  </w:r>
                </w:p>
              </w:tc>
              <w:tc>
                <w:tcPr/>
                <w:p>
                  <w:pPr>
                    <w:pStyle w:val="Compact"/>
                  </w:pPr>
                </w:p>
              </w:tc>
            </w:tr>
            <w:tr>
              <w:tc>
                <w:tcPr/>
                <w:p>
                  <w:pPr>
                    <w:pStyle w:val="Compact"/>
                    <w:jc w:val="left"/>
                    <w:jc w:val="center"/>
                  </w:pPr>
                  <w:r>
                    <w:t xml:space="preserve">Private including HMO</w:t>
                  </w:r>
                </w:p>
              </w:tc>
              <w:tc>
                <w:tcPr/>
                <w:p>
                  <w:pPr>
                    <w:pStyle w:val="Compact"/>
                    <w:jc w:val="left"/>
                    <w:jc w:val="center"/>
                  </w:pPr>
                  <w:r>
                    <w:t xml:space="preserve">70,490 (28.2%)</w:t>
                  </w:r>
                </w:p>
              </w:tc>
              <w:tc>
                <w:tcPr/>
                <w:p>
                  <w:pPr>
                    <w:pStyle w:val="Compact"/>
                    <w:jc w:val="left"/>
                    <w:jc w:val="center"/>
                  </w:pPr>
                  <w:r>
                    <w:t xml:space="preserve">56,710 (29.6%)</w:t>
                  </w:r>
                </w:p>
              </w:tc>
              <w:tc>
                <w:tcPr/>
                <w:p>
                  <w:pPr>
                    <w:pStyle w:val="Compact"/>
                    <w:jc w:val="left"/>
                    <w:jc w:val="center"/>
                  </w:pPr>
                  <w:r>
                    <w:t xml:space="preserve">13,780 (23.6%)</w:t>
                  </w:r>
                </w:p>
              </w:tc>
              <w:tc>
                <w:tcPr/>
                <w:p>
                  <w:pPr>
                    <w:pStyle w:val="Compact"/>
                  </w:pPr>
                </w:p>
              </w:tc>
            </w:tr>
            <w:tr>
              <w:tc>
                <w:tcPr/>
                <w:p>
                  <w:pPr>
                    <w:pStyle w:val="Compact"/>
                    <w:jc w:val="left"/>
                    <w:jc w:val="center"/>
                  </w:pPr>
                  <w:r>
                    <w:t xml:space="preserve">Self-pay</w:t>
                  </w:r>
                </w:p>
              </w:tc>
              <w:tc>
                <w:tcPr/>
                <w:p>
                  <w:pPr>
                    <w:pStyle w:val="Compact"/>
                    <w:jc w:val="left"/>
                    <w:jc w:val="center"/>
                  </w:pPr>
                  <w:r>
                    <w:t xml:space="preserve">29,185 (11.7%)</w:t>
                  </w:r>
                </w:p>
              </w:tc>
              <w:tc>
                <w:tcPr/>
                <w:p>
                  <w:pPr>
                    <w:pStyle w:val="Compact"/>
                    <w:jc w:val="left"/>
                    <w:jc w:val="center"/>
                  </w:pPr>
                  <w:r>
                    <w:t xml:space="preserve">23,665 (12.4%)</w:t>
                  </w:r>
                </w:p>
              </w:tc>
              <w:tc>
                <w:tcPr/>
                <w:p>
                  <w:pPr>
                    <w:pStyle w:val="Compact"/>
                    <w:jc w:val="left"/>
                    <w:jc w:val="center"/>
                  </w:pPr>
                  <w:r>
                    <w:t xml:space="preserve">5,520 (9.5%)</w:t>
                  </w:r>
                </w:p>
              </w:tc>
              <w:tc>
                <w:tcPr/>
                <w:p>
                  <w:pPr>
                    <w:pStyle w:val="Compact"/>
                  </w:pPr>
                </w:p>
              </w:tc>
            </w:tr>
            <w:tr>
              <w:tc>
                <w:tcPr/>
                <w:p>
                  <w:pPr>
                    <w:pStyle w:val="Compact"/>
                    <w:jc w:val="left"/>
                    <w:jc w:val="center"/>
                  </w:pPr>
                  <w:r>
                    <w:t xml:space="preserve">No charge</w:t>
                  </w:r>
                </w:p>
              </w:tc>
              <w:tc>
                <w:tcPr/>
                <w:p>
                  <w:pPr>
                    <w:pStyle w:val="Compact"/>
                    <w:jc w:val="left"/>
                    <w:jc w:val="center"/>
                  </w:pPr>
                  <w:r>
                    <w:t xml:space="preserve">2,720 (1.1%)</w:t>
                  </w:r>
                </w:p>
              </w:tc>
              <w:tc>
                <w:tcPr/>
                <w:p>
                  <w:pPr>
                    <w:pStyle w:val="Compact"/>
                    <w:jc w:val="left"/>
                    <w:jc w:val="center"/>
                  </w:pPr>
                  <w:r>
                    <w:t xml:space="preserve">2,160 (1.1%)</w:t>
                  </w:r>
                </w:p>
              </w:tc>
              <w:tc>
                <w:tcPr/>
                <w:p>
                  <w:pPr>
                    <w:pStyle w:val="Compact"/>
                    <w:jc w:val="left"/>
                    <w:jc w:val="center"/>
                  </w:pPr>
                  <w:r>
                    <w:t xml:space="preserve">560 (1.0%)</w:t>
                  </w:r>
                </w:p>
              </w:tc>
              <w:tc>
                <w:tcPr/>
                <w:p>
                  <w:pPr>
                    <w:pStyle w:val="Compact"/>
                  </w:pPr>
                </w:p>
              </w:tc>
            </w:tr>
            <w:tr>
              <w:tc>
                <w:tcPr/>
                <w:p>
                  <w:pPr>
                    <w:pStyle w:val="Compact"/>
                    <w:jc w:val="left"/>
                    <w:jc w:val="center"/>
                  </w:pPr>
                  <w:r>
                    <w:t xml:space="preserve">Other</w:t>
                  </w:r>
                </w:p>
              </w:tc>
              <w:tc>
                <w:tcPr/>
                <w:p>
                  <w:pPr>
                    <w:pStyle w:val="Compact"/>
                    <w:jc w:val="left"/>
                    <w:jc w:val="center"/>
                  </w:pPr>
                  <w:r>
                    <w:t xml:space="preserve">12,000 (4.8%)</w:t>
                  </w:r>
                </w:p>
              </w:tc>
              <w:tc>
                <w:tcPr/>
                <w:p>
                  <w:pPr>
                    <w:pStyle w:val="Compact"/>
                    <w:jc w:val="left"/>
                    <w:jc w:val="center"/>
                  </w:pPr>
                  <w:r>
                    <w:t xml:space="preserve">9,150 (4.8%)</w:t>
                  </w:r>
                </w:p>
              </w:tc>
              <w:tc>
                <w:tcPr/>
                <w:p>
                  <w:pPr>
                    <w:pStyle w:val="Compact"/>
                    <w:jc w:val="left"/>
                    <w:jc w:val="center"/>
                  </w:pPr>
                  <w:r>
                    <w:t xml:space="preserve">2,850 (4.9%)</w:t>
                  </w:r>
                </w:p>
              </w:tc>
              <w:tc>
                <w:tcPr/>
                <w:p>
                  <w:pPr>
                    <w:pStyle w:val="Compact"/>
                  </w:pPr>
                </w:p>
              </w:tc>
            </w:tr>
            <w:tr>
              <w:tc>
                <w:tcPr/>
                <w:p>
                  <w:pPr>
                    <w:pStyle w:val="Compact"/>
                    <w:jc w:val="left"/>
                    <w:jc w:val="center"/>
                  </w:pPr>
                  <w:r>
                    <w:t xml:space="preserve">Unknown</w:t>
                  </w:r>
                </w:p>
              </w:tc>
              <w:tc>
                <w:tcPr/>
                <w:p>
                  <w:pPr>
                    <w:pStyle w:val="Compact"/>
                    <w:jc w:val="left"/>
                    <w:jc w:val="center"/>
                  </w:pPr>
                  <w:r>
                    <w:t xml:space="preserve">770 (0.3%)</w:t>
                  </w:r>
                </w:p>
              </w:tc>
              <w:tc>
                <w:tcPr/>
                <w:p>
                  <w:pPr>
                    <w:pStyle w:val="Compact"/>
                    <w:jc w:val="left"/>
                    <w:jc w:val="center"/>
                  </w:pPr>
                  <w:r>
                    <w:t xml:space="preserve">625 (0.3%)</w:t>
                  </w:r>
                </w:p>
              </w:tc>
              <w:tc>
                <w:tcPr/>
                <w:p>
                  <w:pPr>
                    <w:pStyle w:val="Compact"/>
                    <w:jc w:val="left"/>
                    <w:jc w:val="center"/>
                  </w:pPr>
                  <w:r>
                    <w:t xml:space="preserve">145 (0.2%)</w:t>
                  </w:r>
                </w:p>
              </w:tc>
              <w:tc>
                <w:tcPr/>
                <w:p>
                  <w:pPr>
                    <w:pStyle w:val="Compact"/>
                  </w:pPr>
                </w:p>
              </w:tc>
            </w:tr>
            <w:tr>
              <w:tc>
                <w:tcPr/>
                <w:p>
                  <w:pPr>
                    <w:pStyle w:val="Compact"/>
                    <w:jc w:val="left"/>
                    <w:jc w:val="center"/>
                  </w:pPr>
                  <w:r>
                    <w:t xml:space="preserve">Median household income quartile for patient ZIP code</w:t>
                  </w:r>
                </w:p>
              </w:tc>
              <w:tc>
                <w:tcPr/>
                <w:p>
                  <w:pPr>
                    <w:pStyle w:val="Compact"/>
                  </w:pPr>
                </w:p>
              </w:tc>
              <w:tc>
                <w:tcPr/>
                <w:p>
                  <w:pPr>
                    <w:pStyle w:val="Compact"/>
                  </w:pPr>
                </w:p>
              </w:tc>
              <w:tc>
                <w:tcPr/>
                <w:p>
                  <w:pPr>
                    <w:pStyle w:val="Compact"/>
                  </w:pPr>
                </w:p>
              </w:tc>
              <w:tc>
                <w:tcPr/>
                <w:p>
                  <w:pPr>
                    <w:pStyle w:val="Compact"/>
                    <w:jc w:val="left"/>
                    <w:jc w:val="center"/>
                  </w:pPr>
                  <w:r>
                    <w:t xml:space="preserve">&lt;0.001</w:t>
                  </w:r>
                </w:p>
              </w:tc>
            </w:tr>
            <w:tr>
              <w:tc>
                <w:tcPr/>
                <w:p>
                  <w:pPr>
                    <w:pStyle w:val="Compact"/>
                    <w:jc w:val="left"/>
                    <w:jc w:val="center"/>
                  </w:pPr>
                  <w:r>
                    <w:t xml:space="preserve">Q1</w:t>
                  </w:r>
                </w:p>
              </w:tc>
              <w:tc>
                <w:tcPr/>
                <w:p>
                  <w:pPr>
                    <w:pStyle w:val="Compact"/>
                    <w:jc w:val="left"/>
                    <w:jc w:val="center"/>
                  </w:pPr>
                  <w:r>
                    <w:t xml:space="preserve">75,235 (30.1%)</w:t>
                  </w:r>
                </w:p>
              </w:tc>
              <w:tc>
                <w:tcPr/>
                <w:p>
                  <w:pPr>
                    <w:pStyle w:val="Compact"/>
                    <w:jc w:val="left"/>
                    <w:jc w:val="center"/>
                  </w:pPr>
                  <w:r>
                    <w:t xml:space="preserve">59,195 (30.9%)</w:t>
                  </w:r>
                </w:p>
              </w:tc>
              <w:tc>
                <w:tcPr/>
                <w:p>
                  <w:pPr>
                    <w:pStyle w:val="Compact"/>
                    <w:jc w:val="left"/>
                    <w:jc w:val="center"/>
                  </w:pPr>
                  <w:r>
                    <w:t xml:space="preserve">16,040 (27.5%)</w:t>
                  </w:r>
                </w:p>
              </w:tc>
              <w:tc>
                <w:tcPr/>
                <w:p>
                  <w:pPr>
                    <w:pStyle w:val="Compact"/>
                  </w:pPr>
                </w:p>
              </w:tc>
            </w:tr>
            <w:tr>
              <w:tc>
                <w:tcPr/>
                <w:p>
                  <w:pPr>
                    <w:pStyle w:val="Compact"/>
                    <w:jc w:val="left"/>
                    <w:jc w:val="center"/>
                  </w:pPr>
                  <w:r>
                    <w:t xml:space="preserve">Q2</w:t>
                  </w:r>
                </w:p>
              </w:tc>
              <w:tc>
                <w:tcPr/>
                <w:p>
                  <w:pPr>
                    <w:pStyle w:val="Compact"/>
                    <w:jc w:val="left"/>
                    <w:jc w:val="center"/>
                  </w:pPr>
                  <w:r>
                    <w:t xml:space="preserve">59,755 (23.9%)</w:t>
                  </w:r>
                </w:p>
              </w:tc>
              <w:tc>
                <w:tcPr/>
                <w:p>
                  <w:pPr>
                    <w:pStyle w:val="Compact"/>
                    <w:jc w:val="left"/>
                    <w:jc w:val="center"/>
                  </w:pPr>
                  <w:r>
                    <w:t xml:space="preserve">46,300 (24.2%)</w:t>
                  </w:r>
                </w:p>
              </w:tc>
              <w:tc>
                <w:tcPr/>
                <w:p>
                  <w:pPr>
                    <w:pStyle w:val="Compact"/>
                    <w:jc w:val="left"/>
                    <w:jc w:val="center"/>
                  </w:pPr>
                  <w:r>
                    <w:t xml:space="preserve">13,455 (23.1%)</w:t>
                  </w:r>
                </w:p>
              </w:tc>
              <w:tc>
                <w:tcPr/>
                <w:p>
                  <w:pPr>
                    <w:pStyle w:val="Compact"/>
                  </w:pPr>
                </w:p>
              </w:tc>
            </w:tr>
            <w:tr>
              <w:tc>
                <w:tcPr/>
                <w:p>
                  <w:pPr>
                    <w:pStyle w:val="Compact"/>
                    <w:jc w:val="left"/>
                    <w:jc w:val="center"/>
                  </w:pPr>
                  <w:r>
                    <w:t xml:space="preserve">Q3</w:t>
                  </w:r>
                </w:p>
              </w:tc>
              <w:tc>
                <w:tcPr/>
                <w:p>
                  <w:pPr>
                    <w:pStyle w:val="Compact"/>
                    <w:jc w:val="left"/>
                    <w:jc w:val="center"/>
                  </w:pPr>
                  <w:r>
                    <w:t xml:space="preserve">57,325 (23.0%)</w:t>
                  </w:r>
                </w:p>
              </w:tc>
              <w:tc>
                <w:tcPr/>
                <w:p>
                  <w:pPr>
                    <w:pStyle w:val="Compact"/>
                    <w:jc w:val="left"/>
                    <w:jc w:val="center"/>
                  </w:pPr>
                  <w:r>
                    <w:t xml:space="preserve">43,500 (22.7%)</w:t>
                  </w:r>
                </w:p>
              </w:tc>
              <w:tc>
                <w:tcPr/>
                <w:p>
                  <w:pPr>
                    <w:pStyle w:val="Compact"/>
                    <w:jc w:val="left"/>
                    <w:jc w:val="center"/>
                  </w:pPr>
                  <w:r>
                    <w:t xml:space="preserve">13,825 (23.7%)</w:t>
                  </w:r>
                </w:p>
              </w:tc>
              <w:tc>
                <w:tcPr/>
                <w:p>
                  <w:pPr>
                    <w:pStyle w:val="Compact"/>
                  </w:pPr>
                </w:p>
              </w:tc>
            </w:tr>
            <w:tr>
              <w:tc>
                <w:tcPr/>
                <w:p>
                  <w:pPr>
                    <w:pStyle w:val="Compact"/>
                    <w:jc w:val="left"/>
                    <w:jc w:val="center"/>
                  </w:pPr>
                  <w:r>
                    <w:t xml:space="preserve">Q4</w:t>
                  </w:r>
                </w:p>
              </w:tc>
              <w:tc>
                <w:tcPr/>
                <w:p>
                  <w:pPr>
                    <w:pStyle w:val="Compact"/>
                    <w:jc w:val="left"/>
                    <w:jc w:val="center"/>
                  </w:pPr>
                  <w:r>
                    <w:t xml:space="preserve">47,240 (18.9%)</w:t>
                  </w:r>
                </w:p>
              </w:tc>
              <w:tc>
                <w:tcPr/>
                <w:p>
                  <w:pPr>
                    <w:pStyle w:val="Compact"/>
                    <w:jc w:val="left"/>
                    <w:jc w:val="center"/>
                  </w:pPr>
                  <w:r>
                    <w:t xml:space="preserve">35,295 (18.5%)</w:t>
                  </w:r>
                </w:p>
              </w:tc>
              <w:tc>
                <w:tcPr/>
                <w:p>
                  <w:pPr>
                    <w:pStyle w:val="Compact"/>
                    <w:jc w:val="left"/>
                    <w:jc w:val="center"/>
                  </w:pPr>
                  <w:r>
                    <w:t xml:space="preserve">11,945 (20.5%)</w:t>
                  </w:r>
                </w:p>
              </w:tc>
              <w:tc>
                <w:tcPr/>
                <w:p>
                  <w:pPr>
                    <w:pStyle w:val="Compact"/>
                  </w:pPr>
                </w:p>
              </w:tc>
            </w:tr>
            <w:tr>
              <w:tc>
                <w:tcPr/>
                <w:p>
                  <w:pPr>
                    <w:pStyle w:val="Compact"/>
                    <w:jc w:val="left"/>
                    <w:jc w:val="center"/>
                  </w:pPr>
                  <w:r>
                    <w:t xml:space="preserve">Unknown</w:t>
                  </w:r>
                </w:p>
              </w:tc>
              <w:tc>
                <w:tcPr/>
                <w:p>
                  <w:pPr>
                    <w:pStyle w:val="Compact"/>
                    <w:jc w:val="left"/>
                    <w:jc w:val="center"/>
                  </w:pPr>
                  <w:r>
                    <w:t xml:space="preserve">10,015 (4.0%)</w:t>
                  </w:r>
                </w:p>
              </w:tc>
              <w:tc>
                <w:tcPr/>
                <w:p>
                  <w:pPr>
                    <w:pStyle w:val="Compact"/>
                    <w:jc w:val="left"/>
                    <w:jc w:val="center"/>
                  </w:pPr>
                  <w:r>
                    <w:t xml:space="preserve">7,010 (3.7%)</w:t>
                  </w:r>
                </w:p>
              </w:tc>
              <w:tc>
                <w:tcPr/>
                <w:p>
                  <w:pPr>
                    <w:pStyle w:val="Compact"/>
                    <w:jc w:val="left"/>
                    <w:jc w:val="center"/>
                  </w:pPr>
                  <w:r>
                    <w:t xml:space="preserve">3,005 (5.2%)</w:t>
                  </w:r>
                </w:p>
              </w:tc>
              <w:tc>
                <w:tcPr/>
                <w:p>
                  <w:pPr>
                    <w:pStyle w:val="Compact"/>
                  </w:pPr>
                </w:p>
              </w:tc>
            </w:tr>
            <w:tr>
              <w:tc>
                <w:tcPr/>
                <w:p>
                  <w:pPr>
                    <w:pStyle w:val="Compact"/>
                    <w:jc w:val="left"/>
                    <w:jc w:val="center"/>
                  </w:pPr>
                  <w:r>
                    <w:t xml:space="preserve">Calendar era</w:t>
                  </w:r>
                </w:p>
              </w:tc>
              <w:tc>
                <w:tcPr/>
                <w:p>
                  <w:pPr>
                    <w:pStyle w:val="Compact"/>
                  </w:pPr>
                </w:p>
              </w:tc>
              <w:tc>
                <w:tcPr/>
                <w:p>
                  <w:pPr>
                    <w:pStyle w:val="Compact"/>
                  </w:pPr>
                </w:p>
              </w:tc>
              <w:tc>
                <w:tcPr/>
                <w:p>
                  <w:pPr>
                    <w:pStyle w:val="Compact"/>
                  </w:pPr>
                </w:p>
              </w:tc>
              <w:tc>
                <w:tcPr/>
                <w:p>
                  <w:pPr>
                    <w:pStyle w:val="Compact"/>
                    <w:jc w:val="left"/>
                    <w:jc w:val="center"/>
                  </w:pPr>
                  <w:r>
                    <w:t xml:space="preserve">&lt;0.001</w:t>
                  </w:r>
                </w:p>
              </w:tc>
            </w:tr>
            <w:tr>
              <w:tc>
                <w:tcPr/>
                <w:p>
                  <w:pPr>
                    <w:pStyle w:val="Compact"/>
                    <w:jc w:val="left"/>
                    <w:jc w:val="center"/>
                  </w:pPr>
                  <w:r>
                    <w:t xml:space="preserve">2017–2019</w:t>
                  </w:r>
                </w:p>
              </w:tc>
              <w:tc>
                <w:tcPr/>
                <w:p>
                  <w:pPr>
                    <w:pStyle w:val="Compact"/>
                    <w:jc w:val="left"/>
                    <w:jc w:val="center"/>
                  </w:pPr>
                  <w:r>
                    <w:t xml:space="preserve">123,830 (49.6%)</w:t>
                  </w:r>
                </w:p>
              </w:tc>
              <w:tc>
                <w:tcPr/>
                <w:p>
                  <w:pPr>
                    <w:pStyle w:val="Compact"/>
                    <w:jc w:val="left"/>
                    <w:jc w:val="center"/>
                  </w:pPr>
                  <w:r>
                    <w:t xml:space="preserve">97,035 (50.7%)</w:t>
                  </w:r>
                </w:p>
              </w:tc>
              <w:tc>
                <w:tcPr/>
                <w:p>
                  <w:pPr>
                    <w:pStyle w:val="Compact"/>
                    <w:jc w:val="left"/>
                    <w:jc w:val="center"/>
                  </w:pPr>
                  <w:r>
                    <w:t xml:space="preserve">26,795 (46.0%)</w:t>
                  </w:r>
                </w:p>
              </w:tc>
              <w:tc>
                <w:tcPr/>
                <w:p>
                  <w:pPr>
                    <w:pStyle w:val="Compact"/>
                  </w:pPr>
                </w:p>
              </w:tc>
            </w:tr>
            <w:tr>
              <w:tc>
                <w:tcPr/>
                <w:p>
                  <w:pPr>
                    <w:pStyle w:val="Compact"/>
                    <w:jc w:val="left"/>
                    <w:jc w:val="center"/>
                  </w:pPr>
                  <w:r>
                    <w:t xml:space="preserve">2020</w:t>
                  </w:r>
                </w:p>
              </w:tc>
              <w:tc>
                <w:tcPr/>
                <w:p>
                  <w:pPr>
                    <w:pStyle w:val="Compact"/>
                    <w:jc w:val="left"/>
                    <w:jc w:val="center"/>
                  </w:pPr>
                  <w:r>
                    <w:t xml:space="preserve">43,375 (17.4%)</w:t>
                  </w:r>
                </w:p>
              </w:tc>
              <w:tc>
                <w:tcPr/>
                <w:p>
                  <w:pPr>
                    <w:pStyle w:val="Compact"/>
                    <w:jc w:val="left"/>
                    <w:jc w:val="center"/>
                  </w:pPr>
                  <w:r>
                    <w:t xml:space="preserve">32,850 (17.2%)</w:t>
                  </w:r>
                </w:p>
              </w:tc>
              <w:tc>
                <w:tcPr/>
                <w:p>
                  <w:pPr>
                    <w:pStyle w:val="Compact"/>
                    <w:jc w:val="left"/>
                    <w:jc w:val="center"/>
                  </w:pPr>
                  <w:r>
                    <w:t xml:space="preserve">10,525 (18.1%)</w:t>
                  </w:r>
                </w:p>
              </w:tc>
              <w:tc>
                <w:tcPr/>
                <w:p>
                  <w:pPr>
                    <w:pStyle w:val="Compact"/>
                  </w:pPr>
                </w:p>
              </w:tc>
            </w:tr>
            <w:tr>
              <w:tc>
                <w:tcPr/>
                <w:p>
                  <w:pPr>
                    <w:pStyle w:val="Compact"/>
                    <w:jc w:val="left"/>
                    <w:jc w:val="center"/>
                  </w:pPr>
                  <w:r>
                    <w:t xml:space="preserve">2021–2022</w:t>
                  </w:r>
                </w:p>
              </w:tc>
              <w:tc>
                <w:tcPr/>
                <w:p>
                  <w:pPr>
                    <w:pStyle w:val="Compact"/>
                    <w:jc w:val="left"/>
                    <w:jc w:val="center"/>
                  </w:pPr>
                  <w:r>
                    <w:t xml:space="preserve">82,365 (33.0%)</w:t>
                  </w:r>
                </w:p>
              </w:tc>
              <w:tc>
                <w:tcPr/>
                <w:p>
                  <w:pPr>
                    <w:pStyle w:val="Compact"/>
                    <w:jc w:val="left"/>
                    <w:jc w:val="center"/>
                  </w:pPr>
                  <w:r>
                    <w:t xml:space="preserve">61,415 (32.1%)</w:t>
                  </w:r>
                </w:p>
              </w:tc>
              <w:tc>
                <w:tcPr/>
                <w:p>
                  <w:pPr>
                    <w:pStyle w:val="Compact"/>
                    <w:jc w:val="left"/>
                    <w:jc w:val="center"/>
                  </w:pPr>
                  <w:r>
                    <w:t xml:space="preserve">20,950 (36.0%)</w:t>
                  </w:r>
                </w:p>
              </w:tc>
              <w:tc>
                <w:tcPr/>
                <w:p>
                  <w:pPr>
                    <w:pStyle w:val="Compact"/>
                  </w:pPr>
                </w:p>
              </w:tc>
            </w:tr>
            <w:tr>
              <w:tc>
                <w:tcPr/>
                <w:p>
                  <w:pPr>
                    <w:pStyle w:val="Compact"/>
                    <w:jc w:val="left"/>
                    <w:jc w:val="center"/>
                  </w:pPr>
                  <w:r>
                    <w:t xml:space="preserve">Hospital census region</w:t>
                  </w:r>
                </w:p>
              </w:tc>
              <w:tc>
                <w:tcPr/>
                <w:p>
                  <w:pPr>
                    <w:pStyle w:val="Compact"/>
                  </w:pPr>
                </w:p>
              </w:tc>
              <w:tc>
                <w:tcPr/>
                <w:p>
                  <w:pPr>
                    <w:pStyle w:val="Compact"/>
                  </w:pPr>
                </w:p>
              </w:tc>
              <w:tc>
                <w:tcPr/>
                <w:p>
                  <w:pPr>
                    <w:pStyle w:val="Compact"/>
                  </w:pPr>
                </w:p>
              </w:tc>
              <w:tc>
                <w:tcPr/>
                <w:p>
                  <w:pPr>
                    <w:pStyle w:val="Compact"/>
                    <w:jc w:val="left"/>
                    <w:jc w:val="center"/>
                  </w:pPr>
                  <w:r>
                    <w:t xml:space="preserve">&lt;0.001</w:t>
                  </w:r>
                </w:p>
              </w:tc>
            </w:tr>
            <w:tr>
              <w:tc>
                <w:tcPr/>
                <w:p>
                  <w:pPr>
                    <w:pStyle w:val="Compact"/>
                    <w:jc w:val="left"/>
                    <w:jc w:val="center"/>
                  </w:pPr>
                  <w:r>
                    <w:t xml:space="preserve">Northeast</w:t>
                  </w:r>
                </w:p>
              </w:tc>
              <w:tc>
                <w:tcPr/>
                <w:p>
                  <w:pPr>
                    <w:pStyle w:val="Compact"/>
                    <w:jc w:val="left"/>
                    <w:jc w:val="center"/>
                  </w:pPr>
                  <w:r>
                    <w:t xml:space="preserve">42,520 (17.0%)</w:t>
                  </w:r>
                </w:p>
              </w:tc>
              <w:tc>
                <w:tcPr/>
                <w:p>
                  <w:pPr>
                    <w:pStyle w:val="Compact"/>
                    <w:jc w:val="left"/>
                    <w:jc w:val="center"/>
                  </w:pPr>
                  <w:r>
                    <w:t xml:space="preserve">31,325 (16.4%)</w:t>
                  </w:r>
                </w:p>
              </w:tc>
              <w:tc>
                <w:tcPr/>
                <w:p>
                  <w:pPr>
                    <w:pStyle w:val="Compact"/>
                    <w:jc w:val="left"/>
                    <w:jc w:val="center"/>
                  </w:pPr>
                  <w:r>
                    <w:t xml:space="preserve">11,195 (19.2%)</w:t>
                  </w:r>
                </w:p>
              </w:tc>
              <w:tc>
                <w:tcPr/>
                <w:p>
                  <w:pPr>
                    <w:pStyle w:val="Compact"/>
                  </w:pPr>
                </w:p>
              </w:tc>
            </w:tr>
            <w:tr>
              <w:tc>
                <w:tcPr/>
                <w:p>
                  <w:pPr>
                    <w:pStyle w:val="Compact"/>
                    <w:jc w:val="left"/>
                    <w:jc w:val="center"/>
                  </w:pPr>
                  <w:r>
                    <w:t xml:space="preserve">Midwest</w:t>
                  </w:r>
                </w:p>
              </w:tc>
              <w:tc>
                <w:tcPr/>
                <w:p>
                  <w:pPr>
                    <w:pStyle w:val="Compact"/>
                    <w:jc w:val="left"/>
                    <w:jc w:val="center"/>
                  </w:pPr>
                  <w:r>
                    <w:t xml:space="preserve">57,745 (23.1%)</w:t>
                  </w:r>
                </w:p>
              </w:tc>
              <w:tc>
                <w:tcPr/>
                <w:p>
                  <w:pPr>
                    <w:pStyle w:val="Compact"/>
                    <w:jc w:val="left"/>
                    <w:jc w:val="center"/>
                  </w:pPr>
                  <w:r>
                    <w:t xml:space="preserve">45,160 (23.6%)</w:t>
                  </w:r>
                </w:p>
              </w:tc>
              <w:tc>
                <w:tcPr/>
                <w:p>
                  <w:pPr>
                    <w:pStyle w:val="Compact"/>
                    <w:jc w:val="left"/>
                    <w:jc w:val="center"/>
                  </w:pPr>
                  <w:r>
                    <w:t xml:space="preserve">12,585 (21.6%)</w:t>
                  </w:r>
                </w:p>
              </w:tc>
              <w:tc>
                <w:tcPr/>
                <w:p>
                  <w:pPr>
                    <w:pStyle w:val="Compact"/>
                  </w:pPr>
                </w:p>
              </w:tc>
            </w:tr>
            <w:tr>
              <w:tc>
                <w:tcPr/>
                <w:p>
                  <w:pPr>
                    <w:pStyle w:val="Compact"/>
                    <w:jc w:val="left"/>
                    <w:jc w:val="center"/>
                  </w:pPr>
                  <w:r>
                    <w:t xml:space="preserve">South</w:t>
                  </w:r>
                </w:p>
              </w:tc>
              <w:tc>
                <w:tcPr/>
                <w:p>
                  <w:pPr>
                    <w:pStyle w:val="Compact"/>
                    <w:jc w:val="left"/>
                    <w:jc w:val="center"/>
                  </w:pPr>
                  <w:r>
                    <w:t xml:space="preserve">81,475 (32.6%)</w:t>
                  </w:r>
                </w:p>
              </w:tc>
              <w:tc>
                <w:tcPr/>
                <w:p>
                  <w:pPr>
                    <w:pStyle w:val="Compact"/>
                    <w:jc w:val="left"/>
                    <w:jc w:val="center"/>
                  </w:pPr>
                  <w:r>
                    <w:t xml:space="preserve">63,950 (33.4%)</w:t>
                  </w:r>
                </w:p>
              </w:tc>
              <w:tc>
                <w:tcPr/>
                <w:p>
                  <w:pPr>
                    <w:pStyle w:val="Compact"/>
                    <w:jc w:val="left"/>
                    <w:jc w:val="center"/>
                  </w:pPr>
                  <w:r>
                    <w:t xml:space="preserve">17,525 (30.1%)</w:t>
                  </w:r>
                </w:p>
              </w:tc>
              <w:tc>
                <w:tcPr/>
                <w:p>
                  <w:pPr>
                    <w:pStyle w:val="Compact"/>
                  </w:pPr>
                </w:p>
              </w:tc>
            </w:tr>
            <w:tr>
              <w:tc>
                <w:tcPr/>
                <w:p>
                  <w:pPr>
                    <w:pStyle w:val="Compact"/>
                    <w:jc w:val="left"/>
                    <w:jc w:val="center"/>
                  </w:pPr>
                  <w:r>
                    <w:t xml:space="preserve">West</w:t>
                  </w:r>
                </w:p>
              </w:tc>
              <w:tc>
                <w:tcPr/>
                <w:p>
                  <w:pPr>
                    <w:pStyle w:val="Compact"/>
                    <w:jc w:val="left"/>
                    <w:jc w:val="center"/>
                  </w:pPr>
                  <w:r>
                    <w:t xml:space="preserve">67,830 (27.2%)</w:t>
                  </w:r>
                </w:p>
              </w:tc>
              <w:tc>
                <w:tcPr/>
                <w:p>
                  <w:pPr>
                    <w:pStyle w:val="Compact"/>
                    <w:jc w:val="left"/>
                    <w:jc w:val="center"/>
                  </w:pPr>
                  <w:r>
                    <w:t xml:space="preserve">50,865 (26.6%)</w:t>
                  </w:r>
                </w:p>
              </w:tc>
              <w:tc>
                <w:tcPr/>
                <w:p>
                  <w:pPr>
                    <w:pStyle w:val="Compact"/>
                    <w:jc w:val="left"/>
                    <w:jc w:val="center"/>
                  </w:pPr>
                  <w:r>
                    <w:t xml:space="preserve">16,965 (29.1%)</w:t>
                  </w:r>
                </w:p>
              </w:tc>
              <w:tc>
                <w:tcPr/>
                <w:p>
                  <w:pPr>
                    <w:pStyle w:val="Compact"/>
                  </w:pPr>
                </w:p>
              </w:tc>
            </w:tr>
            <w:tr>
              <w:tc>
                <w:tcPr/>
                <w:p>
                  <w:pPr>
                    <w:pStyle w:val="Compact"/>
                    <w:jc w:val="left"/>
                    <w:jc w:val="center"/>
                  </w:pPr>
                  <w:r>
                    <w:t xml:space="preserve">Hospital bed size</w:t>
                  </w:r>
                </w:p>
              </w:tc>
              <w:tc>
                <w:tcPr/>
                <w:p>
                  <w:pPr>
                    <w:pStyle w:val="Compact"/>
                  </w:pPr>
                </w:p>
              </w:tc>
              <w:tc>
                <w:tcPr/>
                <w:p>
                  <w:pPr>
                    <w:pStyle w:val="Compact"/>
                  </w:pPr>
                </w:p>
              </w:tc>
              <w:tc>
                <w:tcPr/>
                <w:p>
                  <w:pPr>
                    <w:pStyle w:val="Compact"/>
                  </w:pPr>
                </w:p>
              </w:tc>
              <w:tc>
                <w:tcPr/>
                <w:p>
                  <w:pPr>
                    <w:pStyle w:val="Compact"/>
                    <w:jc w:val="left"/>
                    <w:jc w:val="center"/>
                  </w:pPr>
                  <w:r>
                    <w:t xml:space="preserve">0.001</w:t>
                  </w:r>
                </w:p>
              </w:tc>
            </w:tr>
            <w:tr>
              <w:tc>
                <w:tcPr/>
                <w:p>
                  <w:pPr>
                    <w:pStyle w:val="Compact"/>
                    <w:jc w:val="left"/>
                    <w:jc w:val="center"/>
                  </w:pPr>
                  <w:r>
                    <w:t xml:space="preserve">Small</w:t>
                  </w:r>
                </w:p>
              </w:tc>
              <w:tc>
                <w:tcPr/>
                <w:p>
                  <w:pPr>
                    <w:pStyle w:val="Compact"/>
                    <w:jc w:val="left"/>
                    <w:jc w:val="center"/>
                  </w:pPr>
                  <w:r>
                    <w:t xml:space="preserve">25,450 (10.2%)</w:t>
                  </w:r>
                </w:p>
              </w:tc>
              <w:tc>
                <w:tcPr/>
                <w:p>
                  <w:pPr>
                    <w:pStyle w:val="Compact"/>
                    <w:jc w:val="left"/>
                    <w:jc w:val="center"/>
                  </w:pPr>
                  <w:r>
                    <w:t xml:space="preserve">18,955 (9.9%)</w:t>
                  </w:r>
                </w:p>
              </w:tc>
              <w:tc>
                <w:tcPr/>
                <w:p>
                  <w:pPr>
                    <w:pStyle w:val="Compact"/>
                    <w:jc w:val="left"/>
                    <w:jc w:val="center"/>
                  </w:pPr>
                  <w:r>
                    <w:t xml:space="preserve">6,495 (11.1%)</w:t>
                  </w:r>
                </w:p>
              </w:tc>
              <w:tc>
                <w:tcPr/>
                <w:p>
                  <w:pPr>
                    <w:pStyle w:val="Compact"/>
                  </w:pPr>
                </w:p>
              </w:tc>
            </w:tr>
            <w:tr>
              <w:tc>
                <w:tcPr/>
                <w:p>
                  <w:pPr>
                    <w:pStyle w:val="Compact"/>
                    <w:jc w:val="left"/>
                    <w:jc w:val="center"/>
                  </w:pPr>
                  <w:r>
                    <w:t xml:space="preserve">Medium</w:t>
                  </w:r>
                </w:p>
              </w:tc>
              <w:tc>
                <w:tcPr/>
                <w:p>
                  <w:pPr>
                    <w:pStyle w:val="Compact"/>
                    <w:jc w:val="left"/>
                    <w:jc w:val="center"/>
                  </w:pPr>
                  <w:r>
                    <w:t xml:space="preserve">65,185 (26.1%)</w:t>
                  </w:r>
                </w:p>
              </w:tc>
              <w:tc>
                <w:tcPr/>
                <w:p>
                  <w:pPr>
                    <w:pStyle w:val="Compact"/>
                    <w:jc w:val="left"/>
                    <w:jc w:val="center"/>
                  </w:pPr>
                  <w:r>
                    <w:t xml:space="preserve">49,750 (26.0%)</w:t>
                  </w:r>
                </w:p>
              </w:tc>
              <w:tc>
                <w:tcPr/>
                <w:p>
                  <w:pPr>
                    <w:pStyle w:val="Compact"/>
                    <w:jc w:val="left"/>
                    <w:jc w:val="center"/>
                  </w:pPr>
                  <w:r>
                    <w:t xml:space="preserve">15,435 (26.5%)</w:t>
                  </w:r>
                </w:p>
              </w:tc>
              <w:tc>
                <w:tcPr/>
                <w:p>
                  <w:pPr>
                    <w:pStyle w:val="Compact"/>
                  </w:pPr>
                </w:p>
              </w:tc>
            </w:tr>
            <w:tr>
              <w:tc>
                <w:tcPr/>
                <w:p>
                  <w:pPr>
                    <w:pStyle w:val="Compact"/>
                    <w:jc w:val="left"/>
                    <w:jc w:val="center"/>
                  </w:pPr>
                  <w:r>
                    <w:t xml:space="preserve">Large</w:t>
                  </w:r>
                </w:p>
              </w:tc>
              <w:tc>
                <w:tcPr/>
                <w:p>
                  <w:pPr>
                    <w:pStyle w:val="Compact"/>
                    <w:jc w:val="left"/>
                    <w:jc w:val="center"/>
                  </w:pPr>
                  <w:r>
                    <w:t xml:space="preserve">158,935 (63.7%)</w:t>
                  </w:r>
                </w:p>
              </w:tc>
              <w:tc>
                <w:tcPr/>
                <w:p>
                  <w:pPr>
                    <w:pStyle w:val="Compact"/>
                    <w:jc w:val="left"/>
                    <w:jc w:val="center"/>
                  </w:pPr>
                  <w:r>
                    <w:t xml:space="preserve">122,595 (64.1%)</w:t>
                  </w:r>
                </w:p>
              </w:tc>
              <w:tc>
                <w:tcPr/>
                <w:p>
                  <w:pPr>
                    <w:pStyle w:val="Compact"/>
                    <w:jc w:val="left"/>
                    <w:jc w:val="center"/>
                  </w:pPr>
                  <w:r>
                    <w:t xml:space="preserve">36,340 (62.4%)</w:t>
                  </w:r>
                </w:p>
              </w:tc>
              <w:tc>
                <w:tcPr/>
                <w:p>
                  <w:pPr>
                    <w:pStyle w:val="Compact"/>
                  </w:pPr>
                </w:p>
              </w:tc>
            </w:tr>
            <w:tr>
              <w:tc>
                <w:tcPr/>
                <w:p>
                  <w:pPr>
                    <w:pStyle w:val="Compact"/>
                    <w:jc w:val="left"/>
                    <w:jc w:val="center"/>
                  </w:pPr>
                  <w:r>
                    <w:t xml:space="preserve">Hospital location and teaching status</w:t>
                  </w:r>
                </w:p>
              </w:tc>
              <w:tc>
                <w:tcPr/>
                <w:p>
                  <w:pPr>
                    <w:pStyle w:val="Compact"/>
                  </w:pPr>
                </w:p>
              </w:tc>
              <w:tc>
                <w:tcPr/>
                <w:p>
                  <w:pPr>
                    <w:pStyle w:val="Compact"/>
                  </w:pPr>
                </w:p>
              </w:tc>
              <w:tc>
                <w:tcPr/>
                <w:p>
                  <w:pPr>
                    <w:pStyle w:val="Compact"/>
                  </w:pPr>
                </w:p>
              </w:tc>
              <w:tc>
                <w:tcPr/>
                <w:p>
                  <w:pPr>
                    <w:pStyle w:val="Compact"/>
                    <w:jc w:val="left"/>
                    <w:jc w:val="center"/>
                  </w:pPr>
                  <w:r>
                    <w:t xml:space="preserve">&lt;0.001</w:t>
                  </w:r>
                </w:p>
              </w:tc>
            </w:tr>
            <w:tr>
              <w:tc>
                <w:tcPr/>
                <w:p>
                  <w:pPr>
                    <w:pStyle w:val="Compact"/>
                    <w:jc w:val="left"/>
                    <w:jc w:val="center"/>
                  </w:pPr>
                  <w:r>
                    <w:t xml:space="preserve">Rural</w:t>
                  </w:r>
                </w:p>
              </w:tc>
              <w:tc>
                <w:tcPr/>
                <w:p>
                  <w:pPr>
                    <w:pStyle w:val="Compact"/>
                    <w:jc w:val="left"/>
                    <w:jc w:val="center"/>
                  </w:pPr>
                  <w:r>
                    <w:t xml:space="preserve">5,605 (2.2%)</w:t>
                  </w:r>
                </w:p>
              </w:tc>
              <w:tc>
                <w:tcPr/>
                <w:p>
                  <w:pPr>
                    <w:pStyle w:val="Compact"/>
                    <w:jc w:val="left"/>
                    <w:jc w:val="center"/>
                  </w:pPr>
                  <w:r>
                    <w:t xml:space="preserve">4,190 (2.2%)</w:t>
                  </w:r>
                </w:p>
              </w:tc>
              <w:tc>
                <w:tcPr/>
                <w:p>
                  <w:pPr>
                    <w:pStyle w:val="Compact"/>
                    <w:jc w:val="left"/>
                    <w:jc w:val="center"/>
                  </w:pPr>
                  <w:r>
                    <w:t xml:space="preserve">1,415 (2.4%)</w:t>
                  </w:r>
                </w:p>
              </w:tc>
              <w:tc>
                <w:tcPr/>
                <w:p>
                  <w:pPr>
                    <w:pStyle w:val="Compact"/>
                  </w:pPr>
                </w:p>
              </w:tc>
            </w:tr>
            <w:tr>
              <w:tc>
                <w:tcPr/>
                <w:p>
                  <w:pPr>
                    <w:pStyle w:val="Compact"/>
                    <w:jc w:val="left"/>
                    <w:jc w:val="center"/>
                  </w:pPr>
                  <w:r>
                    <w:t xml:space="preserve">Urban, non-teaching</w:t>
                  </w:r>
                </w:p>
              </w:tc>
              <w:tc>
                <w:tcPr/>
                <w:p>
                  <w:pPr>
                    <w:pStyle w:val="Compact"/>
                    <w:jc w:val="left"/>
                    <w:jc w:val="center"/>
                  </w:pPr>
                  <w:r>
                    <w:t xml:space="preserve">24,335 (9.8%)</w:t>
                  </w:r>
                </w:p>
              </w:tc>
              <w:tc>
                <w:tcPr/>
                <w:p>
                  <w:pPr>
                    <w:pStyle w:val="Compact"/>
                    <w:jc w:val="left"/>
                    <w:jc w:val="center"/>
                  </w:pPr>
                  <w:r>
                    <w:t xml:space="preserve">17,945 (9.4%)</w:t>
                  </w:r>
                </w:p>
              </w:tc>
              <w:tc>
                <w:tcPr/>
                <w:p>
                  <w:pPr>
                    <w:pStyle w:val="Compact"/>
                    <w:jc w:val="left"/>
                    <w:jc w:val="center"/>
                  </w:pPr>
                  <w:r>
                    <w:t xml:space="preserve">6,390 (11.0%)</w:t>
                  </w:r>
                </w:p>
              </w:tc>
              <w:tc>
                <w:tcPr/>
                <w:p>
                  <w:pPr>
                    <w:pStyle w:val="Compact"/>
                  </w:pPr>
                </w:p>
              </w:tc>
            </w:tr>
            <w:tr>
              <w:tc>
                <w:tcPr/>
                <w:p>
                  <w:pPr>
                    <w:pStyle w:val="Compact"/>
                    <w:jc w:val="left"/>
                    <w:jc w:val="center"/>
                  </w:pPr>
                  <w:r>
                    <w:t xml:space="preserve">Urban, teaching</w:t>
                  </w:r>
                </w:p>
              </w:tc>
              <w:tc>
                <w:tcPr/>
                <w:p>
                  <w:pPr>
                    <w:pStyle w:val="Compact"/>
                    <w:jc w:val="left"/>
                    <w:jc w:val="center"/>
                  </w:pPr>
                  <w:r>
                    <w:t xml:space="preserve">219,630 (88.0%)</w:t>
                  </w:r>
                </w:p>
              </w:tc>
              <w:tc>
                <w:tcPr/>
                <w:p>
                  <w:pPr>
                    <w:pStyle w:val="Compact"/>
                    <w:jc w:val="left"/>
                    <w:jc w:val="center"/>
                  </w:pPr>
                  <w:r>
                    <w:t xml:space="preserve">169,165 (88.4%)</w:t>
                  </w:r>
                </w:p>
              </w:tc>
              <w:tc>
                <w:tcPr/>
                <w:p>
                  <w:pPr>
                    <w:pStyle w:val="Compact"/>
                    <w:jc w:val="left"/>
                    <w:jc w:val="center"/>
                  </w:pPr>
                  <w:r>
                    <w:t xml:space="preserve">50,465 (86.6%)</w:t>
                  </w:r>
                </w:p>
              </w:tc>
              <w:tc>
                <w:tcPr/>
                <w:p>
                  <w:pPr>
                    <w:pStyle w:val="Compact"/>
                  </w:pPr>
                </w:p>
              </w:tc>
            </w:tr>
            <w:tr>
              <w:tc>
                <w:tcPr/>
                <w:p>
                  <w:pPr>
                    <w:pStyle w:val="Compact"/>
                    <w:jc w:val="left"/>
                    <w:jc w:val="center"/>
                  </w:pPr>
                  <w:r>
                    <w:t xml:space="preserve">TBI injury subtype</w:t>
                  </w:r>
                </w:p>
              </w:tc>
              <w:tc>
                <w:tcPr/>
                <w:p>
                  <w:pPr>
                    <w:pStyle w:val="Compact"/>
                  </w:pPr>
                </w:p>
              </w:tc>
              <w:tc>
                <w:tcPr/>
                <w:p>
                  <w:pPr>
                    <w:pStyle w:val="Compact"/>
                  </w:pPr>
                </w:p>
              </w:tc>
              <w:tc>
                <w:tcPr/>
                <w:p>
                  <w:pPr>
                    <w:pStyle w:val="Compact"/>
                  </w:pPr>
                </w:p>
              </w:tc>
              <w:tc>
                <w:tcPr/>
                <w:p>
                  <w:pPr>
                    <w:pStyle w:val="Compact"/>
                    <w:jc w:val="left"/>
                    <w:jc w:val="center"/>
                  </w:pPr>
                  <w:r>
                    <w:t xml:space="preserve">&lt;0.001</w:t>
                  </w:r>
                </w:p>
              </w:tc>
            </w:tr>
            <w:tr>
              <w:tc>
                <w:tcPr/>
                <w:p>
                  <w:pPr>
                    <w:pStyle w:val="Compact"/>
                    <w:jc w:val="left"/>
                    <w:jc w:val="center"/>
                  </w:pPr>
                  <w:r>
                    <w:t xml:space="preserve">Concussion, other or unspecified only</w:t>
                  </w:r>
                </w:p>
              </w:tc>
              <w:tc>
                <w:tcPr/>
                <w:p>
                  <w:pPr>
                    <w:pStyle w:val="Compact"/>
                    <w:jc w:val="left"/>
                    <w:jc w:val="center"/>
                  </w:pPr>
                  <w:r>
                    <w:t xml:space="preserve">59,690 (23.9%)</w:t>
                  </w:r>
                </w:p>
              </w:tc>
              <w:tc>
                <w:tcPr/>
                <w:p>
                  <w:pPr>
                    <w:pStyle w:val="Compact"/>
                    <w:jc w:val="left"/>
                    <w:jc w:val="center"/>
                  </w:pPr>
                  <w:r>
                    <w:t xml:space="preserve">48,555 (25.4%)</w:t>
                  </w:r>
                </w:p>
              </w:tc>
              <w:tc>
                <w:tcPr/>
                <w:p>
                  <w:pPr>
                    <w:pStyle w:val="Compact"/>
                    <w:jc w:val="left"/>
                    <w:jc w:val="center"/>
                  </w:pPr>
                  <w:r>
                    <w:t xml:space="preserve">11,135 (19.1%)</w:t>
                  </w:r>
                </w:p>
              </w:tc>
              <w:tc>
                <w:tcPr/>
                <w:p>
                  <w:pPr>
                    <w:pStyle w:val="Compact"/>
                  </w:pPr>
                </w:p>
              </w:tc>
            </w:tr>
            <w:tr>
              <w:tc>
                <w:tcPr/>
                <w:p>
                  <w:pPr>
                    <w:pStyle w:val="Compact"/>
                    <w:jc w:val="left"/>
                    <w:jc w:val="center"/>
                  </w:pPr>
                  <w:r>
                    <w:t xml:space="preserve">Diffuse injury or brain compression</w:t>
                  </w:r>
                </w:p>
              </w:tc>
              <w:tc>
                <w:tcPr/>
                <w:p>
                  <w:pPr>
                    <w:pStyle w:val="Compact"/>
                    <w:jc w:val="left"/>
                    <w:jc w:val="center"/>
                  </w:pPr>
                  <w:r>
                    <w:t xml:space="preserve">17,425 (7.0%)</w:t>
                  </w:r>
                </w:p>
              </w:tc>
              <w:tc>
                <w:tcPr/>
                <w:p>
                  <w:pPr>
                    <w:pStyle w:val="Compact"/>
                    <w:jc w:val="left"/>
                    <w:jc w:val="center"/>
                  </w:pPr>
                  <w:r>
                    <w:t xml:space="preserve">13,230 (6.9%)</w:t>
                  </w:r>
                </w:p>
              </w:tc>
              <w:tc>
                <w:tcPr/>
                <w:p>
                  <w:pPr>
                    <w:pStyle w:val="Compact"/>
                    <w:jc w:val="left"/>
                    <w:jc w:val="center"/>
                  </w:pPr>
                  <w:r>
                    <w:t xml:space="preserve">4,195 (7.2%)</w:t>
                  </w:r>
                </w:p>
              </w:tc>
              <w:tc>
                <w:tcPr/>
                <w:p>
                  <w:pPr>
                    <w:pStyle w:val="Compact"/>
                  </w:pPr>
                </w:p>
              </w:tc>
            </w:tr>
            <w:tr>
              <w:tc>
                <w:tcPr/>
                <w:p>
                  <w:pPr>
                    <w:pStyle w:val="Compact"/>
                    <w:jc w:val="left"/>
                    <w:jc w:val="center"/>
                  </w:pPr>
                  <w:r>
                    <w:t xml:space="preserve">Epidural hemorrhage</w:t>
                  </w:r>
                </w:p>
              </w:tc>
              <w:tc>
                <w:tcPr/>
                <w:p>
                  <w:pPr>
                    <w:pStyle w:val="Compact"/>
                    <w:jc w:val="left"/>
                    <w:jc w:val="center"/>
                  </w:pPr>
                  <w:r>
                    <w:t xml:space="preserve">10,290 (4.1%)</w:t>
                  </w:r>
                </w:p>
              </w:tc>
              <w:tc>
                <w:tcPr/>
                <w:p>
                  <w:pPr>
                    <w:pStyle w:val="Compact"/>
                    <w:jc w:val="left"/>
                    <w:jc w:val="center"/>
                  </w:pPr>
                  <w:r>
                    <w:t xml:space="preserve">8,075 (4.2%)</w:t>
                  </w:r>
                </w:p>
              </w:tc>
              <w:tc>
                <w:tcPr/>
                <w:p>
                  <w:pPr>
                    <w:pStyle w:val="Compact"/>
                    <w:jc w:val="left"/>
                    <w:jc w:val="center"/>
                  </w:pPr>
                  <w:r>
                    <w:t xml:space="preserve">2,215 (3.8%)</w:t>
                  </w:r>
                </w:p>
              </w:tc>
              <w:tc>
                <w:tcPr/>
                <w:p>
                  <w:pPr>
                    <w:pStyle w:val="Compact"/>
                  </w:pPr>
                </w:p>
              </w:tc>
            </w:tr>
            <w:tr>
              <w:tc>
                <w:tcPr/>
                <w:p>
                  <w:pPr>
                    <w:pStyle w:val="Compact"/>
                    <w:jc w:val="left"/>
                    <w:jc w:val="center"/>
                  </w:pPr>
                  <w:r>
                    <w:t xml:space="preserve">Subdural hemorrhage</w:t>
                  </w:r>
                </w:p>
              </w:tc>
              <w:tc>
                <w:tcPr/>
                <w:p>
                  <w:pPr>
                    <w:pStyle w:val="Compact"/>
                    <w:jc w:val="left"/>
                    <w:jc w:val="center"/>
                  </w:pPr>
                  <w:r>
                    <w:t xml:space="preserve">102,945 (41.2%)</w:t>
                  </w:r>
                </w:p>
              </w:tc>
              <w:tc>
                <w:tcPr/>
                <w:p>
                  <w:pPr>
                    <w:pStyle w:val="Compact"/>
                    <w:jc w:val="left"/>
                    <w:jc w:val="center"/>
                  </w:pPr>
                  <w:r>
                    <w:t xml:space="preserve">75,315 (39.4%)</w:t>
                  </w:r>
                </w:p>
              </w:tc>
              <w:tc>
                <w:tcPr/>
                <w:p>
                  <w:pPr>
                    <w:pStyle w:val="Compact"/>
                    <w:jc w:val="left"/>
                    <w:jc w:val="center"/>
                  </w:pPr>
                  <w:r>
                    <w:t xml:space="preserve">27,630 (47.4%)</w:t>
                  </w:r>
                </w:p>
              </w:tc>
              <w:tc>
                <w:tcPr/>
                <w:p>
                  <w:pPr>
                    <w:pStyle w:val="Compact"/>
                  </w:pPr>
                </w:p>
              </w:tc>
            </w:tr>
            <w:tr>
              <w:tc>
                <w:tcPr/>
                <w:p>
                  <w:pPr>
                    <w:pStyle w:val="Compact"/>
                    <w:jc w:val="left"/>
                    <w:jc w:val="center"/>
                  </w:pPr>
                  <w:r>
                    <w:t xml:space="preserve">Contusion/focal, SAH, or edema</w:t>
                  </w:r>
                </w:p>
              </w:tc>
              <w:tc>
                <w:tcPr/>
                <w:p>
                  <w:pPr>
                    <w:pStyle w:val="Compact"/>
                    <w:jc w:val="left"/>
                    <w:jc w:val="center"/>
                  </w:pPr>
                  <w:r>
                    <w:t xml:space="preserve">59,220 (23.7%)</w:t>
                  </w:r>
                </w:p>
              </w:tc>
              <w:tc>
                <w:tcPr/>
                <w:p>
                  <w:pPr>
                    <w:pStyle w:val="Compact"/>
                    <w:jc w:val="left"/>
                    <w:jc w:val="center"/>
                  </w:pPr>
                  <w:r>
                    <w:t xml:space="preserve">46,125 (24.1%)</w:t>
                  </w:r>
                </w:p>
              </w:tc>
              <w:tc>
                <w:tcPr/>
                <w:p>
                  <w:pPr>
                    <w:pStyle w:val="Compact"/>
                    <w:jc w:val="left"/>
                    <w:jc w:val="center"/>
                  </w:pPr>
                  <w:r>
                    <w:t xml:space="preserve">13,095 (22.5%)</w:t>
                  </w:r>
                </w:p>
              </w:tc>
              <w:tc>
                <w:tcPr/>
                <w:p>
                  <w:pPr>
                    <w:pStyle w:val="Compact"/>
                  </w:pPr>
                </w:p>
              </w:tc>
            </w:tr>
            <w:tr>
              <w:tc>
                <w:tcPr/>
                <w:p>
                  <w:pPr>
                    <w:pStyle w:val="Compact"/>
                    <w:jc w:val="left"/>
                    <w:jc w:val="center"/>
                  </w:pPr>
                  <w:r>
                    <w:t xml:space="preserve">Skull fracture</w:t>
                  </w:r>
                </w:p>
              </w:tc>
              <w:tc>
                <w:tcPr/>
                <w:p>
                  <w:pPr>
                    <w:pStyle w:val="Compact"/>
                    <w:jc w:val="left"/>
                    <w:jc w:val="center"/>
                  </w:pPr>
                  <w:r>
                    <w:t xml:space="preserve">50,520 (20.2%)</w:t>
                  </w:r>
                </w:p>
              </w:tc>
              <w:tc>
                <w:tcPr/>
                <w:p>
                  <w:pPr>
                    <w:pStyle w:val="Compact"/>
                    <w:jc w:val="left"/>
                    <w:jc w:val="center"/>
                  </w:pPr>
                  <w:r>
                    <w:t xml:space="preserve">41,215 (21.5%)</w:t>
                  </w:r>
                </w:p>
              </w:tc>
              <w:tc>
                <w:tcPr/>
                <w:p>
                  <w:pPr>
                    <w:pStyle w:val="Compact"/>
                    <w:jc w:val="left"/>
                    <w:jc w:val="center"/>
                  </w:pPr>
                  <w:r>
                    <w:t xml:space="preserve">9,305 (16.0%)</w:t>
                  </w:r>
                </w:p>
              </w:tc>
              <w:tc>
                <w:tcPr/>
                <w:p>
                  <w:pPr>
                    <w:pStyle w:val="Compact"/>
                    <w:jc w:val="left"/>
                    <w:jc w:val="center"/>
                  </w:pPr>
                  <w:r>
                    <w:t xml:space="preserve">&lt;0.001</w:t>
                  </w:r>
                </w:p>
              </w:tc>
            </w:tr>
            <w:tr>
              <w:tc>
                <w:tcPr/>
                <w:p>
                  <w:pPr>
                    <w:pStyle w:val="Compact"/>
                    <w:jc w:val="left"/>
                    <w:jc w:val="center"/>
                  </w:pPr>
                  <w:r>
                    <w:t xml:space="preserve">Any injury code outside the head (initial encounter)</w:t>
                  </w:r>
                </w:p>
              </w:tc>
              <w:tc>
                <w:tcPr/>
                <w:p>
                  <w:pPr>
                    <w:pStyle w:val="Compact"/>
                    <w:jc w:val="left"/>
                    <w:jc w:val="center"/>
                  </w:pPr>
                  <w:r>
                    <w:t xml:space="preserve">113,500 (45.5%)</w:t>
                  </w:r>
                </w:p>
              </w:tc>
              <w:tc>
                <w:tcPr/>
                <w:p>
                  <w:pPr>
                    <w:pStyle w:val="Compact"/>
                    <w:jc w:val="left"/>
                    <w:jc w:val="center"/>
                  </w:pPr>
                  <w:r>
                    <w:t xml:space="preserve">91,155 (47.7%)</w:t>
                  </w:r>
                </w:p>
              </w:tc>
              <w:tc>
                <w:tcPr/>
                <w:p>
                  <w:pPr>
                    <w:pStyle w:val="Compact"/>
                    <w:jc w:val="left"/>
                    <w:jc w:val="center"/>
                  </w:pPr>
                  <w:r>
                    <w:t xml:space="preserve">22,345 (38.3%)</w:t>
                  </w:r>
                </w:p>
              </w:tc>
              <w:tc>
                <w:tcPr/>
                <w:p>
                  <w:pPr>
                    <w:pStyle w:val="Compact"/>
                    <w:jc w:val="left"/>
                    <w:jc w:val="center"/>
                  </w:pPr>
                  <w:r>
                    <w:t xml:space="preserve">&lt;0.001</w:t>
                  </w:r>
                </w:p>
              </w:tc>
            </w:tr>
            <w:tr>
              <w:tc>
                <w:tcPr/>
                <w:p>
                  <w:pPr>
                    <w:pStyle w:val="Compact"/>
                    <w:jc w:val="left"/>
                    <w:jc w:val="center"/>
                  </w:pPr>
                  <w:r>
                    <w:t xml:space="preserve">TBI as principal diagnosis</w:t>
                  </w:r>
                </w:p>
              </w:tc>
              <w:tc>
                <w:tcPr/>
                <w:p>
                  <w:pPr>
                    <w:pStyle w:val="Compact"/>
                    <w:jc w:val="left"/>
                    <w:jc w:val="center"/>
                  </w:pPr>
                  <w:r>
                    <w:t xml:space="preserve">169,495 (67.9%)</w:t>
                  </w:r>
                </w:p>
              </w:tc>
              <w:tc>
                <w:tcPr/>
                <w:p>
                  <w:pPr>
                    <w:pStyle w:val="Compact"/>
                    <w:jc w:val="left"/>
                    <w:jc w:val="center"/>
                  </w:pPr>
                  <w:r>
                    <w:t xml:space="preserve">130,580 (68.3%)</w:t>
                  </w:r>
                </w:p>
              </w:tc>
              <w:tc>
                <w:tcPr/>
                <w:p>
                  <w:pPr>
                    <w:pStyle w:val="Compact"/>
                    <w:jc w:val="left"/>
                    <w:jc w:val="center"/>
                  </w:pPr>
                  <w:r>
                    <w:t xml:space="preserve">38,915 (66.8%)</w:t>
                  </w:r>
                </w:p>
              </w:tc>
              <w:tc>
                <w:tcPr/>
                <w:p>
                  <w:pPr>
                    <w:pStyle w:val="Compact"/>
                    <w:jc w:val="left"/>
                    <w:jc w:val="center"/>
                  </w:pPr>
                  <w:r>
                    <w:t xml:space="preserve">0.004</w:t>
                  </w:r>
                </w:p>
              </w:tc>
            </w:tr>
            <w:tr>
              <w:tc>
                <w:tcPr/>
                <w:p>
                  <w:pPr>
                    <w:pStyle w:val="Compact"/>
                    <w:jc w:val="left"/>
                    <w:jc w:val="center"/>
                  </w:pPr>
                  <w:r>
                    <w:t xml:space="preserve">Chronic comorbidity count (Elixhauser refined)</w:t>
                  </w:r>
                </w:p>
              </w:tc>
              <w:tc>
                <w:tcPr/>
                <w:p>
                  <w:pPr>
                    <w:pStyle w:val="Compact"/>
                  </w:pPr>
                </w:p>
              </w:tc>
              <w:tc>
                <w:tcPr/>
                <w:p>
                  <w:pPr>
                    <w:pStyle w:val="Compact"/>
                  </w:pPr>
                </w:p>
              </w:tc>
              <w:tc>
                <w:tcPr/>
                <w:p>
                  <w:pPr>
                    <w:pStyle w:val="Compact"/>
                  </w:pPr>
                </w:p>
              </w:tc>
              <w:tc>
                <w:tcPr/>
                <w:p>
                  <w:pPr>
                    <w:pStyle w:val="Compact"/>
                    <w:jc w:val="left"/>
                    <w:jc w:val="center"/>
                  </w:pPr>
                  <w:r>
                    <w:t xml:space="preserve">&lt;0.001</w:t>
                  </w:r>
                </w:p>
              </w:tc>
            </w:tr>
            <w:tr>
              <w:tc>
                <w:tcPr/>
                <w:p>
                  <w:pPr>
                    <w:pStyle w:val="Compact"/>
                    <w:jc w:val="left"/>
                    <w:jc w:val="center"/>
                  </w:pPr>
                  <w:r>
                    <w:t xml:space="preserve">0</w:t>
                  </w:r>
                </w:p>
              </w:tc>
              <w:tc>
                <w:tcPr/>
                <w:p>
                  <w:pPr>
                    <w:pStyle w:val="Compact"/>
                    <w:jc w:val="left"/>
                    <w:jc w:val="center"/>
                  </w:pPr>
                  <w:r>
                    <w:t xml:space="preserve">88,240 (35.4%)</w:t>
                  </w:r>
                </w:p>
              </w:tc>
              <w:tc>
                <w:tcPr/>
                <w:p>
                  <w:pPr>
                    <w:pStyle w:val="Compact"/>
                    <w:jc w:val="left"/>
                    <w:jc w:val="center"/>
                  </w:pPr>
                  <w:r>
                    <w:t xml:space="preserve">74,960 (39.2%)</w:t>
                  </w:r>
                </w:p>
              </w:tc>
              <w:tc>
                <w:tcPr/>
                <w:p>
                  <w:pPr>
                    <w:pStyle w:val="Compact"/>
                    <w:jc w:val="left"/>
                    <w:jc w:val="center"/>
                  </w:pPr>
                  <w:r>
                    <w:t xml:space="preserve">13,280 (22.8%)</w:t>
                  </w:r>
                </w:p>
              </w:tc>
              <w:tc>
                <w:tcPr/>
                <w:p>
                  <w:pPr>
                    <w:pStyle w:val="Compact"/>
                  </w:pPr>
                </w:p>
              </w:tc>
            </w:tr>
            <w:tr>
              <w:tc>
                <w:tcPr/>
                <w:p>
                  <w:pPr>
                    <w:pStyle w:val="Compact"/>
                    <w:jc w:val="left"/>
                    <w:jc w:val="center"/>
                  </w:pPr>
                  <w:r>
                    <w:t xml:space="preserve">1</w:t>
                  </w:r>
                </w:p>
              </w:tc>
              <w:tc>
                <w:tcPr/>
                <w:p>
                  <w:pPr>
                    <w:pStyle w:val="Compact"/>
                    <w:jc w:val="left"/>
                    <w:jc w:val="center"/>
                  </w:pPr>
                  <w:r>
                    <w:t xml:space="preserve">72,700 (29.1%)</w:t>
                  </w:r>
                </w:p>
              </w:tc>
              <w:tc>
                <w:tcPr/>
                <w:p>
                  <w:pPr>
                    <w:pStyle w:val="Compact"/>
                    <w:jc w:val="left"/>
                    <w:jc w:val="center"/>
                  </w:pPr>
                  <w:r>
                    <w:t xml:space="preserve">54,345 (28.4%)</w:t>
                  </w:r>
                </w:p>
              </w:tc>
              <w:tc>
                <w:tcPr/>
                <w:p>
                  <w:pPr>
                    <w:pStyle w:val="Compact"/>
                    <w:jc w:val="left"/>
                    <w:jc w:val="center"/>
                  </w:pPr>
                  <w:r>
                    <w:t xml:space="preserve">18,355 (31.5%)</w:t>
                  </w:r>
                </w:p>
              </w:tc>
              <w:tc>
                <w:tcPr/>
                <w:p>
                  <w:pPr>
                    <w:pStyle w:val="Compact"/>
                  </w:pPr>
                </w:p>
              </w:tc>
            </w:tr>
            <w:tr>
              <w:tc>
                <w:tcPr/>
                <w:p>
                  <w:pPr>
                    <w:pStyle w:val="Compact"/>
                    <w:jc w:val="left"/>
                    <w:jc w:val="center"/>
                  </w:pPr>
                  <w:r>
                    <w:t xml:space="preserve">2</w:t>
                  </w:r>
                </w:p>
              </w:tc>
              <w:tc>
                <w:tcPr/>
                <w:p>
                  <w:pPr>
                    <w:pStyle w:val="Compact"/>
                    <w:jc w:val="left"/>
                    <w:jc w:val="center"/>
                  </w:pPr>
                  <w:r>
                    <w:t xml:space="preserve">46,225 (18.5%)</w:t>
                  </w:r>
                </w:p>
              </w:tc>
              <w:tc>
                <w:tcPr/>
                <w:p>
                  <w:pPr>
                    <w:pStyle w:val="Compact"/>
                    <w:jc w:val="left"/>
                    <w:jc w:val="center"/>
                  </w:pPr>
                  <w:r>
                    <w:t xml:space="preserve">32,285 (16.9%)</w:t>
                  </w:r>
                </w:p>
              </w:tc>
              <w:tc>
                <w:tcPr/>
                <w:p>
                  <w:pPr>
                    <w:pStyle w:val="Compact"/>
                    <w:jc w:val="left"/>
                    <w:jc w:val="center"/>
                  </w:pPr>
                  <w:r>
                    <w:t xml:space="preserve">13,940 (23.9%)</w:t>
                  </w:r>
                </w:p>
              </w:tc>
              <w:tc>
                <w:tcPr/>
                <w:p>
                  <w:pPr>
                    <w:pStyle w:val="Compact"/>
                  </w:pPr>
                </w:p>
              </w:tc>
            </w:tr>
            <w:tr>
              <w:tc>
                <w:tcPr/>
                <w:p>
                  <w:pPr>
                    <w:pStyle w:val="Compact"/>
                    <w:jc w:val="left"/>
                    <w:jc w:val="center"/>
                  </w:pPr>
                  <w:r>
                    <w:t xml:space="preserve">&gt;=3</w:t>
                  </w:r>
                </w:p>
              </w:tc>
              <w:tc>
                <w:tcPr/>
                <w:p>
                  <w:pPr>
                    <w:pStyle w:val="Compact"/>
                    <w:jc w:val="left"/>
                    <w:jc w:val="center"/>
                  </w:pPr>
                  <w:r>
                    <w:t xml:space="preserve">42,405 (17.0%)</w:t>
                  </w:r>
                </w:p>
              </w:tc>
              <w:tc>
                <w:tcPr/>
                <w:p>
                  <w:pPr>
                    <w:pStyle w:val="Compact"/>
                    <w:jc w:val="left"/>
                    <w:jc w:val="center"/>
                  </w:pPr>
                  <w:r>
                    <w:t xml:space="preserve">29,710 (15.5%)</w:t>
                  </w:r>
                </w:p>
              </w:tc>
              <w:tc>
                <w:tcPr/>
                <w:p>
                  <w:pPr>
                    <w:pStyle w:val="Compact"/>
                    <w:jc w:val="left"/>
                    <w:jc w:val="center"/>
                  </w:pPr>
                  <w:r>
                    <w:t xml:space="preserve">12,695 (21.8%)</w:t>
                  </w:r>
                </w:p>
              </w:tc>
              <w:tc>
                <w:tcPr/>
                <w:p>
                  <w:pPr>
                    <w:pStyle w:val="Compact"/>
                  </w:pPr>
                </w:p>
              </w:tc>
            </w:tr>
            <w:tr>
              <w:tc>
                <w:tcPr/>
                <w:p>
                  <w:pPr>
                    <w:pStyle w:val="Compact"/>
                    <w:jc w:val="left"/>
                    <w:jc w:val="center"/>
                  </w:pPr>
                  <w:r>
                    <w:t xml:space="preserve">Hypertension</w:t>
                  </w:r>
                </w:p>
              </w:tc>
              <w:tc>
                <w:tcPr/>
                <w:p>
                  <w:pPr>
                    <w:pStyle w:val="Compact"/>
                    <w:jc w:val="left"/>
                    <w:jc w:val="center"/>
                  </w:pPr>
                  <w:r>
                    <w:t xml:space="preserve">110,430 (44.2%)</w:t>
                  </w:r>
                </w:p>
              </w:tc>
              <w:tc>
                <w:tcPr/>
                <w:p>
                  <w:pPr>
                    <w:pStyle w:val="Compact"/>
                    <w:jc w:val="left"/>
                    <w:jc w:val="center"/>
                  </w:pPr>
                  <w:r>
                    <w:t xml:space="preserve">78,965 (41.3%)</w:t>
                  </w:r>
                </w:p>
              </w:tc>
              <w:tc>
                <w:tcPr/>
                <w:p>
                  <w:pPr>
                    <w:pStyle w:val="Compact"/>
                    <w:jc w:val="left"/>
                    <w:jc w:val="center"/>
                  </w:pPr>
                  <w:r>
                    <w:t xml:space="preserve">31,465 (54.0%)</w:t>
                  </w:r>
                </w:p>
              </w:tc>
              <w:tc>
                <w:tcPr/>
                <w:p>
                  <w:pPr>
                    <w:pStyle w:val="Compact"/>
                    <w:jc w:val="left"/>
                    <w:jc w:val="center"/>
                  </w:pPr>
                  <w:r>
                    <w:t xml:space="preserve">&lt;0.001</w:t>
                  </w:r>
                </w:p>
              </w:tc>
            </w:tr>
            <w:tr>
              <w:tc>
                <w:tcPr/>
                <w:p>
                  <w:pPr>
                    <w:pStyle w:val="Compact"/>
                    <w:jc w:val="left"/>
                    <w:jc w:val="center"/>
                  </w:pPr>
                  <w:r>
                    <w:t xml:space="preserve">Diabetes mellitus</w:t>
                  </w:r>
                </w:p>
              </w:tc>
              <w:tc>
                <w:tcPr/>
                <w:p>
                  <w:pPr>
                    <w:pStyle w:val="Compact"/>
                    <w:jc w:val="left"/>
                    <w:jc w:val="center"/>
                  </w:pPr>
                  <w:r>
                    <w:t xml:space="preserve">26,935 (10.8%)</w:t>
                  </w:r>
                </w:p>
              </w:tc>
              <w:tc>
                <w:tcPr/>
                <w:p>
                  <w:pPr>
                    <w:pStyle w:val="Compact"/>
                    <w:jc w:val="left"/>
                    <w:jc w:val="center"/>
                  </w:pPr>
                  <w:r>
                    <w:t xml:space="preserve">20,550 (10.7%)</w:t>
                  </w:r>
                </w:p>
              </w:tc>
              <w:tc>
                <w:tcPr/>
                <w:p>
                  <w:pPr>
                    <w:pStyle w:val="Compact"/>
                    <w:jc w:val="left"/>
                    <w:jc w:val="center"/>
                  </w:pPr>
                  <w:r>
                    <w:t xml:space="preserve">6,385 (11.0%)</w:t>
                  </w:r>
                </w:p>
              </w:tc>
              <w:tc>
                <w:tcPr/>
                <w:p>
                  <w:pPr>
                    <w:pStyle w:val="Compact"/>
                    <w:jc w:val="left"/>
                    <w:jc w:val="center"/>
                  </w:pPr>
                  <w:r>
                    <w:t xml:space="preserve">0.5</w:t>
                  </w:r>
                </w:p>
              </w:tc>
            </w:tr>
            <w:tr>
              <w:tc>
                <w:tcPr/>
                <w:p>
                  <w:pPr>
                    <w:pStyle w:val="Compact"/>
                    <w:jc w:val="left"/>
                    <w:jc w:val="center"/>
                  </w:pPr>
                  <w:r>
                    <w:t xml:space="preserve">Chronic pulmonary disease</w:t>
                  </w:r>
                </w:p>
              </w:tc>
              <w:tc>
                <w:tcPr/>
                <w:p>
                  <w:pPr>
                    <w:pStyle w:val="Compact"/>
                    <w:jc w:val="left"/>
                    <w:jc w:val="center"/>
                  </w:pPr>
                  <w:r>
                    <w:t xml:space="preserve">30,550 (12.2%)</w:t>
                  </w:r>
                </w:p>
              </w:tc>
              <w:tc>
                <w:tcPr/>
                <w:p>
                  <w:pPr>
                    <w:pStyle w:val="Compact"/>
                    <w:jc w:val="left"/>
                    <w:jc w:val="center"/>
                  </w:pPr>
                  <w:r>
                    <w:t xml:space="preserve">22,120 (11.6%)</w:t>
                  </w:r>
                </w:p>
              </w:tc>
              <w:tc>
                <w:tcPr/>
                <w:p>
                  <w:pPr>
                    <w:pStyle w:val="Compact"/>
                    <w:jc w:val="left"/>
                    <w:jc w:val="center"/>
                  </w:pPr>
                  <w:r>
                    <w:t xml:space="preserve">8,430 (14.5%)</w:t>
                  </w:r>
                </w:p>
              </w:tc>
              <w:tc>
                <w:tcPr/>
                <w:p>
                  <w:pPr>
                    <w:pStyle w:val="Compact"/>
                    <w:jc w:val="left"/>
                    <w:jc w:val="center"/>
                  </w:pPr>
                  <w:r>
                    <w:t xml:space="preserve">&lt;0.001</w:t>
                  </w:r>
                </w:p>
              </w:tc>
            </w:tr>
            <w:tr>
              <w:tc>
                <w:tcPr/>
                <w:p>
                  <w:pPr>
                    <w:pStyle w:val="Compact"/>
                    <w:jc w:val="left"/>
                    <w:jc w:val="center"/>
                  </w:pPr>
                  <w:r>
                    <w:t xml:space="preserve">Heart failure</w:t>
                  </w:r>
                </w:p>
              </w:tc>
              <w:tc>
                <w:tcPr/>
                <w:p>
                  <w:pPr>
                    <w:pStyle w:val="Compact"/>
                    <w:jc w:val="left"/>
                    <w:jc w:val="center"/>
                  </w:pPr>
                  <w:r>
                    <w:t xml:space="preserve">12,130 (4.9%)</w:t>
                  </w:r>
                </w:p>
              </w:tc>
              <w:tc>
                <w:tcPr/>
                <w:p>
                  <w:pPr>
                    <w:pStyle w:val="Compact"/>
                    <w:jc w:val="left"/>
                    <w:jc w:val="center"/>
                  </w:pPr>
                  <w:r>
                    <w:t xml:space="preserve">8,245 (4.3%)</w:t>
                  </w:r>
                </w:p>
              </w:tc>
              <w:tc>
                <w:tcPr/>
                <w:p>
                  <w:pPr>
                    <w:pStyle w:val="Compact"/>
                    <w:jc w:val="left"/>
                    <w:jc w:val="center"/>
                  </w:pPr>
                  <w:r>
                    <w:t xml:space="preserve">3,885 (6.7%)</w:t>
                  </w:r>
                </w:p>
              </w:tc>
              <w:tc>
                <w:tcPr/>
                <w:p>
                  <w:pPr>
                    <w:pStyle w:val="Compact"/>
                    <w:jc w:val="left"/>
                    <w:jc w:val="center"/>
                  </w:pPr>
                  <w:r>
                    <w:t xml:space="preserve">&lt;0.001</w:t>
                  </w:r>
                </w:p>
              </w:tc>
            </w:tr>
            <w:tr>
              <w:tc>
                <w:tcPr/>
                <w:p>
                  <w:pPr>
                    <w:pStyle w:val="Compact"/>
                    <w:jc w:val="left"/>
                    <w:jc w:val="center"/>
                  </w:pPr>
                  <w:r>
                    <w:t xml:space="preserve">Chronic kidney disease</w:t>
                  </w:r>
                </w:p>
              </w:tc>
              <w:tc>
                <w:tcPr/>
                <w:p>
                  <w:pPr>
                    <w:pStyle w:val="Compact"/>
                    <w:jc w:val="left"/>
                    <w:jc w:val="center"/>
                  </w:pPr>
                  <w:r>
                    <w:t xml:space="preserve">7,815 (3.1%)</w:t>
                  </w:r>
                </w:p>
              </w:tc>
              <w:tc>
                <w:tcPr/>
                <w:p>
                  <w:pPr>
                    <w:pStyle w:val="Compact"/>
                    <w:jc w:val="left"/>
                    <w:jc w:val="center"/>
                  </w:pPr>
                  <w:r>
                    <w:t xml:space="preserve">6,055 (3.2%)</w:t>
                  </w:r>
                </w:p>
              </w:tc>
              <w:tc>
                <w:tcPr/>
                <w:p>
                  <w:pPr>
                    <w:pStyle w:val="Compact"/>
                    <w:jc w:val="left"/>
                    <w:jc w:val="center"/>
                  </w:pPr>
                  <w:r>
                    <w:t xml:space="preserve">1,760 (3.0%)</w:t>
                  </w:r>
                </w:p>
              </w:tc>
              <w:tc>
                <w:tcPr/>
                <w:p>
                  <w:pPr>
                    <w:pStyle w:val="Compact"/>
                    <w:jc w:val="left"/>
                    <w:jc w:val="center"/>
                  </w:pPr>
                  <w:r>
                    <w:t xml:space="preserve">0.4</w:t>
                  </w:r>
                </w:p>
              </w:tc>
            </w:tr>
            <w:tr>
              <w:tc>
                <w:tcPr/>
                <w:p>
                  <w:pPr>
                    <w:pStyle w:val="Compact"/>
                    <w:jc w:val="left"/>
                    <w:jc w:val="center"/>
                  </w:pPr>
                  <w:r>
                    <w:t xml:space="preserve">Depression</w:t>
                  </w:r>
                </w:p>
              </w:tc>
              <w:tc>
                <w:tcPr/>
                <w:p>
                  <w:pPr>
                    <w:pStyle w:val="Compact"/>
                    <w:jc w:val="left"/>
                    <w:jc w:val="center"/>
                  </w:pPr>
                  <w:r>
                    <w:t xml:space="preserve">33,620 (13.5%)</w:t>
                  </w:r>
                </w:p>
              </w:tc>
              <w:tc>
                <w:tcPr/>
                <w:p>
                  <w:pPr>
                    <w:pStyle w:val="Compact"/>
                    <w:jc w:val="left"/>
                    <w:jc w:val="center"/>
                  </w:pPr>
                  <w:r>
                    <w:t xml:space="preserve">23,235 (12.1%)</w:t>
                  </w:r>
                </w:p>
              </w:tc>
              <w:tc>
                <w:tcPr/>
                <w:p>
                  <w:pPr>
                    <w:pStyle w:val="Compact"/>
                    <w:jc w:val="left"/>
                    <w:jc w:val="center"/>
                  </w:pPr>
                  <w:r>
                    <w:t xml:space="preserve">10,385 (17.8%)</w:t>
                  </w:r>
                </w:p>
              </w:tc>
              <w:tc>
                <w:tcPr/>
                <w:p>
                  <w:pPr>
                    <w:pStyle w:val="Compact"/>
                    <w:jc w:val="left"/>
                    <w:jc w:val="center"/>
                  </w:pPr>
                  <w:r>
                    <w:t xml:space="preserve">&lt;0.001</w:t>
                  </w:r>
                </w:p>
              </w:tc>
            </w:tr>
            <w:tr>
              <w:tc>
                <w:tcPr/>
                <w:p>
                  <w:pPr>
                    <w:pStyle w:val="Compact"/>
                    <w:jc w:val="left"/>
                    <w:jc w:val="center"/>
                  </w:pPr>
                  <w:r>
                    <w:t xml:space="preserve">Obesity</w:t>
                  </w:r>
                </w:p>
              </w:tc>
              <w:tc>
                <w:tcPr/>
                <w:p>
                  <w:pPr>
                    <w:pStyle w:val="Compact"/>
                    <w:jc w:val="left"/>
                    <w:jc w:val="center"/>
                  </w:pPr>
                  <w:r>
                    <w:t xml:space="preserve">13,865 (5.6%)</w:t>
                  </w:r>
                </w:p>
              </w:tc>
              <w:tc>
                <w:tcPr/>
                <w:p>
                  <w:pPr>
                    <w:pStyle w:val="Compact"/>
                    <w:jc w:val="left"/>
                    <w:jc w:val="center"/>
                  </w:pPr>
                  <w:r>
                    <w:t xml:space="preserve">10,705 (5.6%)</w:t>
                  </w:r>
                </w:p>
              </w:tc>
              <w:tc>
                <w:tcPr/>
                <w:p>
                  <w:pPr>
                    <w:pStyle w:val="Compact"/>
                    <w:jc w:val="left"/>
                    <w:jc w:val="center"/>
                  </w:pPr>
                  <w:r>
                    <w:t xml:space="preserve">3,160 (5.4%)</w:t>
                  </w:r>
                </w:p>
              </w:tc>
              <w:tc>
                <w:tcPr/>
                <w:p>
                  <w:pPr>
                    <w:pStyle w:val="Compact"/>
                    <w:jc w:val="left"/>
                    <w:jc w:val="center"/>
                  </w:pPr>
                  <w:r>
                    <w:t xml:space="preserve">0.5</w:t>
                  </w:r>
                </w:p>
              </w:tc>
            </w:tr>
            <w:tr>
              <w:tc>
                <w:tcPr/>
                <w:p>
                  <w:pPr>
                    <w:pStyle w:val="Compact"/>
                    <w:jc w:val="left"/>
                    <w:jc w:val="center"/>
                  </w:pPr>
                  <w:r>
                    <w:t xml:space="preserve">Any liver disease (K70–K77)</w:t>
                  </w:r>
                </w:p>
              </w:tc>
              <w:tc>
                <w:tcPr/>
                <w:p>
                  <w:pPr>
                    <w:pStyle w:val="Compact"/>
                    <w:jc w:val="left"/>
                    <w:jc w:val="center"/>
                  </w:pPr>
                  <w:r>
                    <w:t xml:space="preserve">35,040 (14.0%)</w:t>
                  </w:r>
                </w:p>
              </w:tc>
              <w:tc>
                <w:tcPr/>
                <w:p>
                  <w:pPr>
                    <w:pStyle w:val="Compact"/>
                    <w:jc w:val="left"/>
                    <w:jc w:val="center"/>
                  </w:pPr>
                  <w:r>
                    <w:t xml:space="preserve">19,715 (10.3%)</w:t>
                  </w:r>
                </w:p>
              </w:tc>
              <w:tc>
                <w:tcPr/>
                <w:p>
                  <w:pPr>
                    <w:pStyle w:val="Compact"/>
                    <w:jc w:val="left"/>
                    <w:jc w:val="center"/>
                  </w:pPr>
                  <w:r>
                    <w:t xml:space="preserve">15,325 (26.3%)</w:t>
                  </w:r>
                </w:p>
              </w:tc>
              <w:tc>
                <w:tcPr/>
                <w:p>
                  <w:pPr>
                    <w:pStyle w:val="Compact"/>
                    <w:jc w:val="left"/>
                    <w:jc w:val="center"/>
                  </w:pPr>
                  <w:r>
                    <w:t xml:space="preserve">&lt;0.001</w:t>
                  </w:r>
                </w:p>
              </w:tc>
            </w:tr>
            <w:tr>
              <w:tc>
                <w:tcPr/>
                <w:p>
                  <w:pPr>
                    <w:pStyle w:val="Compact"/>
                    <w:jc w:val="left"/>
                    <w:jc w:val="center"/>
                  </w:pPr>
                  <w:r>
                    <w:t xml:space="preserve">Alcoholic liver disease (K70)</w:t>
                  </w:r>
                </w:p>
              </w:tc>
              <w:tc>
                <w:tcPr/>
                <w:p>
                  <w:pPr>
                    <w:pStyle w:val="Compact"/>
                    <w:jc w:val="left"/>
                    <w:jc w:val="center"/>
                  </w:pPr>
                  <w:r>
                    <w:t xml:space="preserve">21,585 (8.6%)</w:t>
                  </w:r>
                </w:p>
              </w:tc>
              <w:tc>
                <w:tcPr/>
                <w:p>
                  <w:pPr>
                    <w:pStyle w:val="Compact"/>
                    <w:jc w:val="left"/>
                    <w:jc w:val="center"/>
                  </w:pPr>
                  <w:r>
                    <w:t xml:space="preserve">11,295 (5.9%)</w:t>
                  </w:r>
                </w:p>
              </w:tc>
              <w:tc>
                <w:tcPr/>
                <w:p>
                  <w:pPr>
                    <w:pStyle w:val="Compact"/>
                    <w:jc w:val="left"/>
                    <w:jc w:val="center"/>
                  </w:pPr>
                  <w:r>
                    <w:t xml:space="preserve">10,290 (17.7%)</w:t>
                  </w:r>
                </w:p>
              </w:tc>
              <w:tc>
                <w:tcPr/>
                <w:p>
                  <w:pPr>
                    <w:pStyle w:val="Compact"/>
                    <w:jc w:val="left"/>
                    <w:jc w:val="center"/>
                  </w:pPr>
                  <w:r>
                    <w:t xml:space="preserve">&lt;0.001</w:t>
                  </w:r>
                </w:p>
              </w:tc>
            </w:tr>
            <w:tr>
              <w:tc>
                <w:tcPr/>
                <w:p>
                  <w:pPr>
                    <w:pStyle w:val="Compact"/>
                    <w:jc w:val="left"/>
                    <w:jc w:val="center"/>
                  </w:pPr>
                  <w:r>
                    <w:t xml:space="preserve">Other substance use disorder</w:t>
                  </w:r>
                </w:p>
              </w:tc>
              <w:tc>
                <w:tcPr/>
                <w:p>
                  <w:pPr>
                    <w:pStyle w:val="Compact"/>
                    <w:jc w:val="left"/>
                    <w:jc w:val="center"/>
                  </w:pPr>
                  <w:r>
                    <w:t xml:space="preserve">41,135 (16.5%)</w:t>
                  </w:r>
                </w:p>
              </w:tc>
              <w:tc>
                <w:tcPr/>
                <w:p>
                  <w:pPr>
                    <w:pStyle w:val="Compact"/>
                    <w:jc w:val="left"/>
                    <w:jc w:val="center"/>
                  </w:pPr>
                  <w:r>
                    <w:t xml:space="preserve">32,465 (17.0%)</w:t>
                  </w:r>
                </w:p>
              </w:tc>
              <w:tc>
                <w:tcPr/>
                <w:p>
                  <w:pPr>
                    <w:pStyle w:val="Compact"/>
                    <w:jc w:val="left"/>
                    <w:jc w:val="center"/>
                  </w:pPr>
                  <w:r>
                    <w:t xml:space="preserve">8,670 (14.9%)</w:t>
                  </w:r>
                </w:p>
              </w:tc>
              <w:tc>
                <w:tcPr/>
                <w:p>
                  <w:pPr>
                    <w:pStyle w:val="Compact"/>
                    <w:jc w:val="left"/>
                    <w:jc w:val="center"/>
                  </w:pPr>
                  <w:r>
                    <w:t xml:space="preserve">&lt;0.001</w:t>
                  </w:r>
                </w:p>
              </w:tc>
            </w:tr>
            <w:tr>
              <w:tc>
                <w:tcPr/>
                <w:p>
                  <w:pPr>
                    <w:pStyle w:val="Compact"/>
                    <w:jc w:val="left"/>
                    <w:jc w:val="center"/>
                  </w:pPr>
                  <w:r>
                    <w:t xml:space="preserve">Current or past tobacco/nicotine use</w:t>
                  </w:r>
                </w:p>
              </w:tc>
              <w:tc>
                <w:tcPr/>
                <w:p>
                  <w:pPr>
                    <w:pStyle w:val="Compact"/>
                    <w:jc w:val="left"/>
                    <w:jc w:val="center"/>
                  </w:pPr>
                  <w:r>
                    <w:t xml:space="preserve">112,100 (44.9%)</w:t>
                  </w:r>
                </w:p>
              </w:tc>
              <w:tc>
                <w:tcPr/>
                <w:p>
                  <w:pPr>
                    <w:pStyle w:val="Compact"/>
                    <w:jc w:val="left"/>
                    <w:jc w:val="center"/>
                  </w:pPr>
                  <w:r>
                    <w:t xml:space="preserve">84,825 (44.3%)</w:t>
                  </w:r>
                </w:p>
              </w:tc>
              <w:tc>
                <w:tcPr/>
                <w:p>
                  <w:pPr>
                    <w:pStyle w:val="Compact"/>
                    <w:jc w:val="left"/>
                    <w:jc w:val="center"/>
                  </w:pPr>
                  <w:r>
                    <w:t xml:space="preserve">27,275 (46.8%)</w:t>
                  </w:r>
                </w:p>
              </w:tc>
              <w:tc>
                <w:tcPr/>
                <w:p>
                  <w:pPr>
                    <w:pStyle w:val="Compact"/>
                    <w:jc w:val="left"/>
                    <w:jc w:val="center"/>
                  </w:pPr>
                  <w:r>
                    <w:t xml:space="preserve">&lt;0.001</w:t>
                  </w:r>
                </w:p>
              </w:tc>
            </w:tr>
          </w:tbl>
          <w:bookmarkEnd w:id="22"/>
          <w:p/>
        </w:tc>
      </w:tr>
    </w:tbl>
    <w:p>
      <w:pPr>
        <w:pStyle w:val="BodyText"/>
      </w:pPr>
      <w:r>
        <w:rPr>
          <w:i/>
          <w:iCs/>
        </w:rPr>
        <w:t xml:space="preserve">Values are survey-weighted national estimates, n (%), unless stated otherwise.</w:t>
      </w:r>
    </w:p>
    <w:bookmarkEnd w:id="23"/>
    <w:bookmarkStart w:id="25" w:name="in-hospital-outcomes"/>
    <w:p>
      <w:pPr>
        <w:pStyle w:val="Heading2"/>
      </w:pPr>
      <w:r>
        <w:t xml:space="preserve">In-Hospital Outcomes</w:t>
      </w:r>
    </w:p>
    <w:p>
      <w:pPr>
        <w:pStyle w:val="FirstParagraph"/>
      </w:pPr>
      <w:r>
        <w:t xml:space="preserve">The table presents crude comparisons and adjusted associations for the prespecified outcomes. Continuous outcomes are shown as weighted means. The adjusted estimate compares the odds or mean outcome for hospitalizations with AWS versus those without AWS, after covariate adjustment.</w:t>
      </w:r>
    </w:p>
    <w:tbl>
      <w:tblPr>
        <w:tblStyle w:val="Table"/>
        <w:tblW w:type="pct" w:w="5000"/>
        <w:tblLayout w:type="fixed"/>
        <w:tblLook w:firstRow="0" w:lastRow="0" w:firstColumn="0" w:lastColumn="0" w:noHBand="0" w:noVBand="0" w:val="0000"/>
      </w:tblPr>
      <w:tblGrid>
        <w:gridCol w:w="7920"/>
      </w:tblGrid>
      <w:tr>
        <w:tc>
          <w:tcPr/>
          <w:bookmarkStart w:id="24" w:name="tbl-outcomes"/>
          <w:p>
            <w:pPr>
              <w:jc w:val="center"/>
            </w:pPr>
            <w:pPr>
              <w:jc w:val="left"/>
              <w:spacing w:before="200"/>
              <w:pStyle w:val="ImageCaption"/>
            </w:pPr>
            <w:r>
              <w:t xml:space="preserve">Table 2: Crude and adjusted in-hospital outcomes by AWS status.</w:t>
            </w:r>
          </w:p>
          <w:tbl>
            <w:tblPr>
              <w:tblStyle w:val="Table"/>
              <w:tblW w:type="pct" w:w="5000"/>
              <w:tblLayout w:type="fixed"/>
              <w:tblLook w:firstRow="1" w:lastRow="0" w:firstColumn="0" w:lastColumn="0" w:noHBand="0" w:noVBand="0" w:val="0020"/>
            </w:tblPr>
            <w:tblGrid>
              <w:gridCol w:w="2207"/>
              <w:gridCol w:w="865"/>
              <w:gridCol w:w="692"/>
              <w:gridCol w:w="1255"/>
              <w:gridCol w:w="1168"/>
              <w:gridCol w:w="1384"/>
              <w:gridCol w:w="346"/>
            </w:tblGrid>
            <w:tr>
              <w:trPr>
                <w:tblHeader w:val="on"/>
              </w:trPr>
              <w:tc>
                <w:tcPr/>
                <w:p>
                  <w:pPr>
                    <w:pStyle w:val="Compact"/>
                    <w:jc w:val="left"/>
                    <w:jc w:val="center"/>
                  </w:pPr>
                  <w:r>
                    <w:t xml:space="preserve">Outcome</w:t>
                  </w:r>
                </w:p>
              </w:tc>
              <w:tc>
                <w:tcPr/>
                <w:p>
                  <w:pPr>
                    <w:pStyle w:val="Compact"/>
                    <w:jc w:val="left"/>
                    <w:jc w:val="center"/>
                  </w:pPr>
                  <w:r>
                    <w:t xml:space="preserve">No AWS, N = 191,300</w:t>
                  </w:r>
                </w:p>
              </w:tc>
              <w:tc>
                <w:tcPr/>
                <w:p>
                  <w:pPr>
                    <w:pStyle w:val="Compact"/>
                    <w:jc w:val="left"/>
                    <w:jc w:val="center"/>
                  </w:pPr>
                  <w:r>
                    <w:t xml:space="preserve">AWS, N = 58,270</w:t>
                  </w:r>
                </w:p>
              </w:tc>
              <w:tc>
                <w:tcPr/>
                <w:p>
                  <w:pPr>
                    <w:pStyle w:val="Compact"/>
                    <w:jc w:val="left"/>
                    <w:jc w:val="center"/>
                  </w:pPr>
                  <w:r>
                    <w:t xml:space="preserve">Unadjusted OR/ratio (95% CI)</w:t>
                  </w:r>
                </w:p>
              </w:tc>
              <w:tc>
                <w:tcPr/>
                <w:p>
                  <w:pPr>
                    <w:pStyle w:val="Compact"/>
                    <w:jc w:val="left"/>
                    <w:jc w:val="center"/>
                  </w:pPr>
                  <w:r>
                    <w:t xml:space="preserve">Adjusted OR/ratio (95% CI)</w:t>
                  </w:r>
                </w:p>
              </w:tc>
              <w:tc>
                <w:tcPr/>
                <w:p>
                  <w:pPr>
                    <w:pStyle w:val="Compact"/>
                    <w:jc w:val="left"/>
                    <w:jc w:val="center"/>
                  </w:pPr>
                  <w:r>
                    <w:t xml:space="preserve">Adjusted difference (95% CI)</w:t>
                  </w:r>
                </w:p>
              </w:tc>
              <w:tc>
                <w:tcPr/>
                <w:p>
                  <w:pPr>
                    <w:pStyle w:val="Compact"/>
                    <w:jc w:val="left"/>
                    <w:jc w:val="center"/>
                  </w:pPr>
                  <w:r>
                    <w:t xml:space="preserve">p-value</w:t>
                  </w:r>
                </w:p>
              </w:tc>
            </w:tr>
            <w:tr>
              <w:tc>
                <w:tcPr/>
                <w:p>
                  <w:pPr>
                    <w:pStyle w:val="Compact"/>
                    <w:jc w:val="left"/>
                    <w:jc w:val="center"/>
                  </w:pPr>
                  <w:r>
                    <w:t xml:space="preserve">In-hospital mortality</w:t>
                  </w:r>
                </w:p>
              </w:tc>
              <w:tc>
                <w:tcPr/>
                <w:p>
                  <w:pPr>
                    <w:pStyle w:val="Compact"/>
                    <w:jc w:val="left"/>
                    <w:jc w:val="center"/>
                  </w:pPr>
                  <w:r>
                    <w:t xml:space="preserve">10,140 (5.3%)</w:t>
                  </w:r>
                </w:p>
              </w:tc>
              <w:tc>
                <w:tcPr/>
                <w:p>
                  <w:pPr>
                    <w:pStyle w:val="Compact"/>
                    <w:jc w:val="left"/>
                    <w:jc w:val="center"/>
                  </w:pPr>
                  <w:r>
                    <w:t xml:space="preserve">2,330 (4.0%)</w:t>
                  </w:r>
                </w:p>
              </w:tc>
              <w:tc>
                <w:tcPr/>
                <w:p>
                  <w:pPr>
                    <w:pStyle w:val="Compact"/>
                    <w:jc w:val="left"/>
                    <w:jc w:val="center"/>
                  </w:pPr>
                  <w:r>
                    <w:t xml:space="preserve">0.74 (0.67–0.83)</w:t>
                  </w:r>
                </w:p>
              </w:tc>
              <w:tc>
                <w:tcPr/>
                <w:p>
                  <w:pPr>
                    <w:pStyle w:val="Compact"/>
                    <w:jc w:val="left"/>
                    <w:jc w:val="center"/>
                  </w:pPr>
                  <w:r>
                    <w:t xml:space="preserve">0.60 (0.53–0.67)</w:t>
                  </w:r>
                </w:p>
              </w:tc>
              <w:tc>
                <w:tcPr/>
                <w:p>
                  <w:pPr>
                    <w:pStyle w:val="Compact"/>
                    <w:jc w:val="left"/>
                    <w:jc w:val="center"/>
                  </w:pPr>
                  <w:r>
                    <w:t xml:space="preserve">-2.04% (-2.46% to -1.63%)</w:t>
                  </w:r>
                </w:p>
              </w:tc>
              <w:tc>
                <w:tcPr/>
                <w:p>
                  <w:pPr>
                    <w:pStyle w:val="Compact"/>
                    <w:jc w:val="left"/>
                    <w:jc w:val="center"/>
                  </w:pPr>
                  <w:r>
                    <w:t xml:space="preserve">&lt;0.001</w:t>
                  </w:r>
                </w:p>
              </w:tc>
            </w:tr>
            <w:tr>
              <w:tc>
                <w:tcPr/>
                <w:p>
                  <w:pPr>
                    <w:pStyle w:val="Compact"/>
                    <w:jc w:val="left"/>
                    <w:jc w:val="center"/>
                  </w:pPr>
                  <w:r>
                    <w:t xml:space="preserve">Invasive mechanical ventilation</w:t>
                  </w:r>
                </w:p>
              </w:tc>
              <w:tc>
                <w:tcPr/>
                <w:p>
                  <w:pPr>
                    <w:pStyle w:val="Compact"/>
                    <w:jc w:val="left"/>
                    <w:jc w:val="center"/>
                  </w:pPr>
                  <w:r>
                    <w:t xml:space="preserve">42,330 (22.1%)</w:t>
                  </w:r>
                </w:p>
              </w:tc>
              <w:tc>
                <w:tcPr/>
                <w:p>
                  <w:pPr>
                    <w:pStyle w:val="Compact"/>
                    <w:jc w:val="left"/>
                    <w:jc w:val="center"/>
                  </w:pPr>
                  <w:r>
                    <w:t xml:space="preserve">15,150 (26.0%)</w:t>
                  </w:r>
                </w:p>
              </w:tc>
              <w:tc>
                <w:tcPr/>
                <w:p>
                  <w:pPr>
                    <w:pStyle w:val="Compact"/>
                    <w:jc w:val="left"/>
                    <w:jc w:val="center"/>
                  </w:pPr>
                  <w:r>
                    <w:t xml:space="preserve">1.24 (1.18–1.30)</w:t>
                  </w:r>
                </w:p>
              </w:tc>
              <w:tc>
                <w:tcPr/>
                <w:p>
                  <w:pPr>
                    <w:pStyle w:val="Compact"/>
                    <w:jc w:val="left"/>
                    <w:jc w:val="center"/>
                  </w:pPr>
                  <w:r>
                    <w:t xml:space="preserve">1.42 (1.34–1.50)</w:t>
                  </w:r>
                </w:p>
              </w:tc>
              <w:tc>
                <w:tcPr/>
                <w:p>
                  <w:pPr>
                    <w:pStyle w:val="Compact"/>
                    <w:jc w:val="left"/>
                    <w:jc w:val="center"/>
                  </w:pPr>
                  <w:r>
                    <w:t xml:space="preserve">+5.97% (+4.94% to +7.00%)</w:t>
                  </w:r>
                </w:p>
              </w:tc>
              <w:tc>
                <w:tcPr/>
                <w:p>
                  <w:pPr>
                    <w:pStyle w:val="Compact"/>
                    <w:jc w:val="left"/>
                    <w:jc w:val="center"/>
                  </w:pPr>
                  <w:r>
                    <w:t xml:space="preserve">&lt;0.001</w:t>
                  </w:r>
                </w:p>
              </w:tc>
            </w:tr>
            <w:tr>
              <w:tc>
                <w:tcPr/>
                <w:p>
                  <w:pPr>
                    <w:pStyle w:val="Compact"/>
                    <w:jc w:val="left"/>
                    <w:jc w:val="center"/>
                  </w:pPr>
                  <w:r>
                    <w:t xml:space="preserve">Pneumonia or aspiration pneumonitis</w:t>
                  </w:r>
                </w:p>
              </w:tc>
              <w:tc>
                <w:tcPr/>
                <w:p>
                  <w:pPr>
                    <w:pStyle w:val="Compact"/>
                    <w:jc w:val="left"/>
                    <w:jc w:val="center"/>
                  </w:pPr>
                  <w:r>
                    <w:t xml:space="preserve">15,000 (7.8%)</w:t>
                  </w:r>
                </w:p>
              </w:tc>
              <w:tc>
                <w:tcPr/>
                <w:p>
                  <w:pPr>
                    <w:pStyle w:val="Compact"/>
                    <w:jc w:val="left"/>
                    <w:jc w:val="center"/>
                  </w:pPr>
                  <w:r>
                    <w:t xml:space="preserve">10,480 (18.0%)</w:t>
                  </w:r>
                </w:p>
              </w:tc>
              <w:tc>
                <w:tcPr/>
                <w:p>
                  <w:pPr>
                    <w:pStyle w:val="Compact"/>
                    <w:jc w:val="left"/>
                    <w:jc w:val="center"/>
                  </w:pPr>
                  <w:r>
                    <w:t xml:space="preserve">2.58 (2.43–2.74)</w:t>
                  </w:r>
                </w:p>
              </w:tc>
              <w:tc>
                <w:tcPr/>
                <w:p>
                  <w:pPr>
                    <w:pStyle w:val="Compact"/>
                    <w:jc w:val="left"/>
                    <w:jc w:val="center"/>
                  </w:pPr>
                  <w:r>
                    <w:t xml:space="preserve">2.32 (2.17–2.49)</w:t>
                  </w:r>
                </w:p>
              </w:tc>
              <w:tc>
                <w:tcPr/>
                <w:p>
                  <w:pPr>
                    <w:pStyle w:val="Compact"/>
                    <w:jc w:val="left"/>
                    <w:jc w:val="center"/>
                  </w:pPr>
                  <w:r>
                    <w:t xml:space="preserve">+8.49% (+7.70% to +9.29%)</w:t>
                  </w:r>
                </w:p>
              </w:tc>
              <w:tc>
                <w:tcPr/>
                <w:p>
                  <w:pPr>
                    <w:pStyle w:val="Compact"/>
                    <w:jc w:val="left"/>
                    <w:jc w:val="center"/>
                  </w:pPr>
                  <w:r>
                    <w:t xml:space="preserve">&lt;0.001</w:t>
                  </w:r>
                </w:p>
              </w:tc>
            </w:tr>
            <w:tr>
              <w:tc>
                <w:tcPr/>
                <w:p>
                  <w:pPr>
                    <w:pStyle w:val="Compact"/>
                    <w:jc w:val="left"/>
                    <w:jc w:val="center"/>
                  </w:pPr>
                  <w:r>
                    <w:t xml:space="preserve">Institutional discharge (among survivors)</w:t>
                  </w:r>
                </w:p>
              </w:tc>
              <w:tc>
                <w:tcPr/>
                <w:p>
                  <w:pPr>
                    <w:pStyle w:val="Compact"/>
                    <w:jc w:val="left"/>
                    <w:jc w:val="center"/>
                  </w:pPr>
                  <w:r>
                    <w:t xml:space="preserve">46,550 (25.7%)</w:t>
                  </w:r>
                </w:p>
              </w:tc>
              <w:tc>
                <w:tcPr/>
                <w:p>
                  <w:pPr>
                    <w:pStyle w:val="Compact"/>
                    <w:jc w:val="left"/>
                    <w:jc w:val="center"/>
                  </w:pPr>
                  <w:r>
                    <w:t xml:space="preserve">22,310 (39.9%)</w:t>
                  </w:r>
                </w:p>
              </w:tc>
              <w:tc>
                <w:tcPr/>
                <w:p>
                  <w:pPr>
                    <w:pStyle w:val="Compact"/>
                    <w:jc w:val="left"/>
                    <w:jc w:val="center"/>
                  </w:pPr>
                  <w:r>
                    <w:t xml:space="preserve">1.92 (1.83–2.01)</w:t>
                  </w:r>
                </w:p>
              </w:tc>
              <w:tc>
                <w:tcPr/>
                <w:p>
                  <w:pPr>
                    <w:pStyle w:val="Compact"/>
                    <w:jc w:val="left"/>
                    <w:jc w:val="center"/>
                  </w:pPr>
                  <w:r>
                    <w:t xml:space="preserve">1.74 (1.65–1.84)</w:t>
                  </w:r>
                </w:p>
              </w:tc>
              <w:tc>
                <w:tcPr/>
                <w:p>
                  <w:pPr>
                    <w:pStyle w:val="Compact"/>
                    <w:jc w:val="left"/>
                    <w:jc w:val="center"/>
                  </w:pPr>
                  <w:r>
                    <w:t xml:space="preserve">+10.38% (+9.35% to +11.40%)</w:t>
                  </w:r>
                </w:p>
              </w:tc>
              <w:tc>
                <w:tcPr/>
                <w:p>
                  <w:pPr>
                    <w:pStyle w:val="Compact"/>
                    <w:jc w:val="left"/>
                    <w:jc w:val="center"/>
                  </w:pPr>
                  <w:r>
                    <w:t xml:space="preserve">&lt;0.001</w:t>
                  </w:r>
                </w:p>
              </w:tc>
            </w:tr>
            <w:tr>
              <w:tc>
                <w:tcPr/>
                <w:p>
                  <w:pPr>
                    <w:pStyle w:val="Compact"/>
                    <w:jc w:val="left"/>
                    <w:jc w:val="center"/>
                  </w:pPr>
                  <w:r>
                    <w:t xml:space="preserve">Discharge against medical advice (among survivors)</w:t>
                  </w:r>
                </w:p>
              </w:tc>
              <w:tc>
                <w:tcPr/>
                <w:p>
                  <w:pPr>
                    <w:pStyle w:val="Compact"/>
                    <w:jc w:val="left"/>
                    <w:jc w:val="center"/>
                  </w:pPr>
                  <w:r>
                    <w:t xml:space="preserve">7,530 (4.2%)</w:t>
                  </w:r>
                </w:p>
              </w:tc>
              <w:tc>
                <w:tcPr/>
                <w:p>
                  <w:pPr>
                    <w:pStyle w:val="Compact"/>
                    <w:jc w:val="left"/>
                    <w:jc w:val="center"/>
                  </w:pPr>
                  <w:r>
                    <w:t xml:space="preserve">3,150 (5.6%)</w:t>
                  </w:r>
                </w:p>
              </w:tc>
              <w:tc>
                <w:tcPr/>
                <w:p>
                  <w:pPr>
                    <w:pStyle w:val="Compact"/>
                    <w:jc w:val="left"/>
                    <w:jc w:val="center"/>
                  </w:pPr>
                  <w:r>
                    <w:t xml:space="preserve">1.38 (1.25–1.52)</w:t>
                  </w:r>
                </w:p>
              </w:tc>
              <w:tc>
                <w:tcPr/>
                <w:p>
                  <w:pPr>
                    <w:pStyle w:val="Compact"/>
                    <w:jc w:val="left"/>
                    <w:jc w:val="center"/>
                  </w:pPr>
                  <w:r>
                    <w:t xml:space="preserve">1.49 (1.34–1.66)</w:t>
                  </w:r>
                </w:p>
              </w:tc>
              <w:tc>
                <w:tcPr/>
                <w:p>
                  <w:pPr>
                    <w:pStyle w:val="Compact"/>
                    <w:jc w:val="left"/>
                    <w:jc w:val="center"/>
                  </w:pPr>
                  <w:r>
                    <w:t xml:space="preserve">+1.75% (+1.23% to +2.27%)</w:t>
                  </w:r>
                </w:p>
              </w:tc>
              <w:tc>
                <w:tcPr/>
                <w:p>
                  <w:pPr>
                    <w:pStyle w:val="Compact"/>
                    <w:jc w:val="left"/>
                    <w:jc w:val="center"/>
                  </w:pPr>
                  <w:r>
                    <w:t xml:space="preserve">&lt;0.001</w:t>
                  </w:r>
                </w:p>
              </w:tc>
            </w:tr>
            <w:tr>
              <w:tc>
                <w:tcPr/>
                <w:p>
                  <w:pPr>
                    <w:pStyle w:val="Compact"/>
                    <w:jc w:val="left"/>
                    <w:jc w:val="center"/>
                  </w:pPr>
                  <w:r>
                    <w:t xml:space="preserve">Length of stay</w:t>
                  </w:r>
                </w:p>
              </w:tc>
              <w:tc>
                <w:tcPr/>
                <w:p>
                  <w:pPr>
                    <w:pStyle w:val="Compact"/>
                    <w:jc w:val="left"/>
                    <w:jc w:val="center"/>
                  </w:pPr>
                  <w:r>
                    <w:t xml:space="preserve">6.7 days</w:t>
                  </w:r>
                </w:p>
              </w:tc>
              <w:tc>
                <w:tcPr/>
                <w:p>
                  <w:pPr>
                    <w:pStyle w:val="Compact"/>
                    <w:jc w:val="left"/>
                    <w:jc w:val="center"/>
                  </w:pPr>
                  <w:r>
                    <w:t xml:space="preserve">12.1 days</w:t>
                  </w:r>
                </w:p>
              </w:tc>
              <w:tc>
                <w:tcPr/>
                <w:p>
                  <w:pPr>
                    <w:pStyle w:val="Compact"/>
                    <w:jc w:val="left"/>
                    <w:jc w:val="center"/>
                  </w:pPr>
                  <w:r>
                    <w:t xml:space="preserve">1.80 (1.75–1.86)</w:t>
                  </w:r>
                </w:p>
              </w:tc>
              <w:tc>
                <w:tcPr/>
                <w:p>
                  <w:pPr>
                    <w:pStyle w:val="Compact"/>
                    <w:jc w:val="left"/>
                    <w:jc w:val="center"/>
                  </w:pPr>
                  <w:r>
                    <w:t xml:space="preserve">1.70 (1.64–1.75)</w:t>
                  </w:r>
                </w:p>
              </w:tc>
              <w:tc>
                <w:tcPr/>
                <w:p>
                  <w:pPr>
                    <w:pStyle w:val="Compact"/>
                    <w:jc w:val="left"/>
                    <w:jc w:val="center"/>
                  </w:pPr>
                  <w:r>
                    <w:t xml:space="preserve">+4.69 days (+4.38 to +5.00)</w:t>
                  </w:r>
                </w:p>
              </w:tc>
              <w:tc>
                <w:tcPr/>
                <w:p>
                  <w:pPr>
                    <w:pStyle w:val="Compact"/>
                    <w:jc w:val="left"/>
                    <w:jc w:val="center"/>
                  </w:pPr>
                  <w:r>
                    <w:t xml:space="preserve">&lt;0.001</w:t>
                  </w:r>
                </w:p>
              </w:tc>
            </w:tr>
            <w:tr>
              <w:tc>
                <w:tcPr/>
                <w:p>
                  <w:pPr>
                    <w:pStyle w:val="Compact"/>
                    <w:jc w:val="left"/>
                    <w:jc w:val="center"/>
                  </w:pPr>
                  <w:r>
                    <w:t xml:space="preserve">Hospital cost</w:t>
                  </w:r>
                </w:p>
              </w:tc>
              <w:tc>
                <w:tcPr/>
                <w:p>
                  <w:pPr>
                    <w:pStyle w:val="Compact"/>
                    <w:jc w:val="left"/>
                    <w:jc w:val="center"/>
                  </w:pPr>
                  <w:r>
                    <w:t xml:space="preserve">$29,446</w:t>
                  </w:r>
                </w:p>
              </w:tc>
              <w:tc>
                <w:tcPr/>
                <w:p>
                  <w:pPr>
                    <w:pStyle w:val="Compact"/>
                    <w:jc w:val="left"/>
                    <w:jc w:val="center"/>
                  </w:pPr>
                  <w:r>
                    <w:t xml:space="preserve">$42,535</w:t>
                  </w:r>
                </w:p>
              </w:tc>
              <w:tc>
                <w:tcPr/>
                <w:p>
                  <w:pPr>
                    <w:pStyle w:val="Compact"/>
                    <w:jc w:val="left"/>
                    <w:jc w:val="center"/>
                  </w:pPr>
                  <w:r>
                    <w:t xml:space="preserve">1.44 (1.41–1.48)</w:t>
                  </w:r>
                </w:p>
              </w:tc>
              <w:tc>
                <w:tcPr/>
                <w:p>
                  <w:pPr>
                    <w:pStyle w:val="Compact"/>
                    <w:jc w:val="left"/>
                    <w:jc w:val="center"/>
                  </w:pPr>
                  <w:r>
                    <w:t xml:space="preserve">1.46 (1.42–1.51)</w:t>
                  </w:r>
                </w:p>
              </w:tc>
              <w:tc>
                <w:tcPr/>
                <w:p>
                  <w:pPr>
                    <w:pStyle w:val="Compact"/>
                    <w:jc w:val="left"/>
                    <w:jc w:val="center"/>
                  </w:pPr>
                  <w:r>
                    <w:t xml:space="preserve">+$13,543 (+$12,456 to +$14,630)</w:t>
                  </w:r>
                </w:p>
              </w:tc>
              <w:tc>
                <w:tcPr/>
                <w:p>
                  <w:pPr>
                    <w:pStyle w:val="Compact"/>
                    <w:jc w:val="left"/>
                    <w:jc w:val="center"/>
                  </w:pPr>
                  <w:r>
                    <w:t xml:space="preserve">&lt;0.001</w:t>
                  </w:r>
                </w:p>
              </w:tc>
            </w:tr>
          </w:tbl>
          <w:bookmarkEnd w:id="24"/>
          <w:p/>
        </w:tc>
      </w:tr>
    </w:tbl>
    <w:p>
      <w:pPr>
        <w:pStyle w:val="BodyText"/>
      </w:pPr>
      <w:r>
        <w:rPr>
          <w:i/>
          <w:iCs/>
        </w:rPr>
        <w:t xml:space="preserve">Values are survey-weighted national estimates, n (%), unless stated otherwise.</w:t>
      </w:r>
    </w:p>
    <w:bookmarkEnd w:id="25"/>
    <w:bookmarkStart w:id="30" w:name="X221dde27c5c3da44535c0e2cf5f7c00f4106517"/>
    <w:p>
      <w:pPr>
        <w:pStyle w:val="Heading2"/>
      </w:pPr>
      <w:r>
        <w:t xml:space="preserve">Adjusted Odds Ratios for In-Hospital Outcomes</w:t>
      </w:r>
    </w:p>
    <w:p>
      <w:pPr>
        <w:pStyle w:val="FirstParagraph"/>
      </w:pPr>
      <w:r>
        <w:t xml:space="preserve">The estimates summarize adjusted associations between coded AWS and five binary outcomes. The vertical reference line at 1 marks equal odds between groups; confidence intervals crossing 1 are compatible with no difference at the 95% confidence level.</w:t>
      </w:r>
    </w:p>
    <w:tbl>
      <w:tblPr>
        <w:tblStyle w:val="Table"/>
        <w:tblW w:type="pct" w:w="5000"/>
        <w:tblLayout w:type="fixed"/>
        <w:tblLook w:firstRow="0" w:lastRow="0" w:firstColumn="0" w:lastColumn="0" w:noHBand="0" w:noVBand="0" w:val="0000"/>
      </w:tblPr>
      <w:tblGrid>
        <w:gridCol w:w="7920"/>
      </w:tblGrid>
      <w:tr>
        <w:tc>
          <w:tcPr/>
          <w:bookmarkStart w:id="29" w:name="fig-forest"/>
          <w:p>
            <w:pPr>
              <w:pStyle w:val="Compact"/>
              <w:jc w:val="center"/>
            </w:pPr>
            <w:r>
              <w:drawing>
                <wp:inline>
                  <wp:extent cx="5334000" cy="2592916"/>
                  <wp:effectExtent b="0" l="0" r="0" t="0"/>
                  <wp:docPr descr="" title="" id="27" name="Picture"/>
                  <a:graphic>
                    <a:graphicData uri="http://schemas.openxmlformats.org/drawingml/2006/picture">
                      <pic:pic>
                        <pic:nvPicPr>
                          <pic:cNvPr descr="../output/public/forest_plot.png" id="28" name="Picture"/>
                          <pic:cNvPicPr>
                            <a:picLocks noChangeArrowheads="1" noChangeAspect="1"/>
                          </pic:cNvPicPr>
                        </pic:nvPicPr>
                        <pic:blipFill>
                          <a:blip r:embed="rId26"/>
                          <a:stretch>
                            <a:fillRect/>
                          </a:stretch>
                        </pic:blipFill>
                        <pic:spPr bwMode="auto">
                          <a:xfrm>
                            <a:off x="0" y="0"/>
                            <a:ext cx="5334000" cy="259291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Adjusted odds ratios and 95% confidence intervals for in-hospital outcomes.</w:t>
            </w:r>
          </w:p>
          <w:bookmarkEnd w:id="29"/>
        </w:tc>
      </w:tr>
    </w:tbl>
    <w:bookmarkEnd w:id="30"/>
    <w:bookmarkStart w:id="35" w:name="annual-trend"/>
    <w:p>
      <w:pPr>
        <w:pStyle w:val="Heading2"/>
      </w:pPr>
      <w:r>
        <w:t xml:space="preserve">Annual Trend</w:t>
      </w:r>
    </w:p>
    <w:p>
      <w:pPr>
        <w:pStyle w:val="FirstParagraph"/>
      </w:pPr>
      <w:r>
        <w:t xml:space="preserve">The figure shows the annual percentage of eligible hospitalizations with coded AWS. Changes over time may reflect coding practices as well as changes in the hospitalized population.</w:t>
      </w:r>
    </w:p>
    <w:tbl>
      <w:tblPr>
        <w:tblStyle w:val="Table"/>
        <w:tblW w:type="pct" w:w="5000"/>
        <w:tblLayout w:type="fixed"/>
        <w:tblLook w:firstRow="0" w:lastRow="0" w:firstColumn="0" w:lastColumn="0" w:noHBand="0" w:noVBand="0" w:val="0000"/>
      </w:tblPr>
      <w:tblGrid>
        <w:gridCol w:w="7920"/>
      </w:tblGrid>
      <w:tr>
        <w:tc>
          <w:tcPr/>
          <w:bookmarkStart w:id="34" w:name="fig-trend"/>
          <w:p>
            <w:pPr>
              <w:pStyle w:val="Compact"/>
              <w:jc w:val="center"/>
            </w:pPr>
            <w:r>
              <w:drawing>
                <wp:inline>
                  <wp:extent cx="4800600" cy="2880360"/>
                  <wp:effectExtent b="0" l="0" r="0" t="0"/>
                  <wp:docPr descr="" title="" id="32" name="Picture"/>
                  <a:graphic>
                    <a:graphicData uri="http://schemas.openxmlformats.org/drawingml/2006/picture">
                      <pic:pic>
                        <pic:nvPicPr>
                          <pic:cNvPr descr="../output/public/aws_trend.png" id="33" name="Picture"/>
                          <pic:cNvPicPr>
                            <a:picLocks noChangeArrowheads="1" noChangeAspect="1"/>
                          </pic:cNvPicPr>
                        </pic:nvPicPr>
                        <pic:blipFill>
                          <a:blip r:embed="rId31"/>
                          <a:stretch>
                            <a:fillRect/>
                          </a:stretch>
                        </pic:blipFill>
                        <pic:spPr bwMode="auto">
                          <a:xfrm>
                            <a:off x="0" y="0"/>
                            <a:ext cx="4800600" cy="288036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Annual prevalence of coded AWS among eligible hospitalizations.</w:t>
            </w:r>
          </w:p>
          <w:bookmarkEnd w:id="34"/>
        </w:tc>
      </w:tr>
    </w:tbl>
    <w:bookmarkEnd w:id="35"/>
    <w:bookmarkStart w:id="37" w:name="sensitivity-analyses"/>
    <w:p>
      <w:pPr>
        <w:pStyle w:val="Heading2"/>
      </w:pPr>
      <w:r>
        <w:t xml:space="preserve">Sensitivity Analyses</w:t>
      </w:r>
    </w:p>
    <w:p>
      <w:pPr>
        <w:pStyle w:val="FirstParagraph"/>
      </w:pPr>
      <w:r>
        <w:t xml:space="preserve">We repeated the mortality analysis after restricting the cohort to hospitalizations with LOS ≥2 days, requiring TBI to be the principal diagnosis, and excluding hospitalizations transferred in. The inverse association with mortality was smaller in the LOS-restricted analysis (</w:t>
      </w:r>
      <w:r>
        <w:rPr>
          <w:b/>
          <w:bCs/>
        </w:rPr>
        <w:t xml:space="preserve">0.70 (0.62–0.80)</w:t>
      </w:r>
      <w:r>
        <w:t xml:space="preserve">), a pattern consistent with early death or short stays leaving less opportunity for AWS recognition and coding. This does not identify the mechanism behind the association.</w:t>
      </w:r>
    </w:p>
    <w:tbl>
      <w:tblPr>
        <w:tblStyle w:val="Table"/>
        <w:tblW w:type="pct" w:w="5000"/>
        <w:tblLayout w:type="fixed"/>
        <w:tblLook w:firstRow="0" w:lastRow="0" w:firstColumn="0" w:lastColumn="0" w:noHBand="0" w:noVBand="0" w:val="0000"/>
      </w:tblPr>
      <w:tblGrid>
        <w:gridCol w:w="7920"/>
      </w:tblGrid>
      <w:tr>
        <w:tc>
          <w:tcPr/>
          <w:bookmarkStart w:id="36" w:name="tbl-sensitivity"/>
          <w:p>
            <w:pPr>
              <w:jc w:val="center"/>
            </w:pPr>
            <w:pPr>
              <w:jc w:val="left"/>
              <w:spacing w:before="200"/>
              <w:pStyle w:val="ImageCaption"/>
            </w:pPr>
            <w:r>
              <w:t xml:space="preserve">Table 3: Sensitivity analyses for in-hospital mortality.</w:t>
            </w:r>
          </w:p>
          <w:tbl>
            <w:tblPr>
              <w:tblStyle w:val="Table"/>
              <w:tblW w:type="pct" w:w="5000"/>
              <w:tblLayout w:type="fixed"/>
              <w:tblLook w:firstRow="1" w:lastRow="0" w:firstColumn="0" w:lastColumn="0" w:noHBand="0" w:noVBand="0" w:val="0020"/>
            </w:tblPr>
            <w:tblGrid>
              <w:gridCol w:w="2029"/>
              <w:gridCol w:w="1898"/>
              <w:gridCol w:w="2094"/>
              <w:gridCol w:w="1374"/>
              <w:gridCol w:w="523"/>
            </w:tblGrid>
            <w:tr>
              <w:trPr>
                <w:tblHeader w:val="on"/>
              </w:trPr>
              <w:tc>
                <w:tcPr/>
                <w:p>
                  <w:pPr>
                    <w:pStyle w:val="Compact"/>
                    <w:jc w:val="left"/>
                    <w:jc w:val="center"/>
                  </w:pPr>
                  <w:r>
                    <w:t xml:space="preserve">Analysis</w:t>
                  </w:r>
                </w:p>
              </w:tc>
              <w:tc>
                <w:tcPr/>
                <w:p>
                  <w:pPr>
                    <w:pStyle w:val="Compact"/>
                    <w:jc w:val="left"/>
                    <w:jc w:val="center"/>
                  </w:pPr>
                  <w:r>
                    <w:t xml:space="preserve">Hospitalizations, weighted n</w:t>
                  </w:r>
                </w:p>
              </w:tc>
              <w:tc>
                <w:tcPr/>
                <w:p>
                  <w:pPr>
                    <w:pStyle w:val="Compact"/>
                    <w:jc w:val="left"/>
                    <w:jc w:val="center"/>
                  </w:pPr>
                  <w:r>
                    <w:t xml:space="preserve">Deaths, weighted n (weighted %)</w:t>
                  </w:r>
                </w:p>
              </w:tc>
              <w:tc>
                <w:tcPr/>
                <w:p>
                  <w:pPr>
                    <w:pStyle w:val="Compact"/>
                    <w:jc w:val="left"/>
                    <w:jc w:val="center"/>
                  </w:pPr>
                  <w:r>
                    <w:t xml:space="preserve">Adjusted OR (95% CI)</w:t>
                  </w:r>
                </w:p>
              </w:tc>
              <w:tc>
                <w:tcPr/>
                <w:p>
                  <w:pPr>
                    <w:pStyle w:val="Compact"/>
                    <w:jc w:val="left"/>
                    <w:jc w:val="center"/>
                  </w:pPr>
                  <w:r>
                    <w:t xml:space="preserve">p-value</w:t>
                  </w:r>
                </w:p>
              </w:tc>
            </w:tr>
            <w:tr>
              <w:tc>
                <w:tcPr/>
                <w:p>
                  <w:pPr>
                    <w:pStyle w:val="Compact"/>
                    <w:jc w:val="left"/>
                    <w:jc w:val="center"/>
                  </w:pPr>
                  <w:r>
                    <w:t xml:space="preserve">Primary analysis (full cohort)</w:t>
                  </w:r>
                </w:p>
              </w:tc>
              <w:tc>
                <w:tcPr/>
                <w:p>
                  <w:pPr>
                    <w:pStyle w:val="Compact"/>
                    <w:jc w:val="left"/>
                    <w:jc w:val="center"/>
                  </w:pPr>
                  <w:r>
                    <w:t xml:space="preserve">229,740</w:t>
                  </w:r>
                </w:p>
              </w:tc>
              <w:tc>
                <w:tcPr/>
                <w:p>
                  <w:pPr>
                    <w:pStyle w:val="Compact"/>
                    <w:jc w:val="left"/>
                    <w:jc w:val="center"/>
                  </w:pPr>
                  <w:r>
                    <w:t xml:space="preserve">11,080 (4.8%)</w:t>
                  </w:r>
                </w:p>
              </w:tc>
              <w:tc>
                <w:tcPr/>
                <w:p>
                  <w:pPr>
                    <w:pStyle w:val="Compact"/>
                    <w:jc w:val="left"/>
                    <w:jc w:val="center"/>
                  </w:pPr>
                  <w:r>
                    <w:t xml:space="preserve">0.60 (0.53–0.67)</w:t>
                  </w:r>
                </w:p>
              </w:tc>
              <w:tc>
                <w:tcPr/>
                <w:p>
                  <w:pPr>
                    <w:pStyle w:val="Compact"/>
                    <w:jc w:val="left"/>
                    <w:jc w:val="center"/>
                  </w:pPr>
                  <w:r>
                    <w:t xml:space="preserve">&lt;0.001</w:t>
                  </w:r>
                </w:p>
              </w:tc>
            </w:tr>
            <w:tr>
              <w:tc>
                <w:tcPr/>
                <w:p>
                  <w:pPr>
                    <w:pStyle w:val="Compact"/>
                    <w:jc w:val="left"/>
                    <w:jc w:val="center"/>
                  </w:pPr>
                  <w:r>
                    <w:t xml:space="preserve">LOS ≥2 days</w:t>
                  </w:r>
                </w:p>
              </w:tc>
              <w:tc>
                <w:tcPr/>
                <w:p>
                  <w:pPr>
                    <w:pStyle w:val="Compact"/>
                    <w:jc w:val="left"/>
                    <w:jc w:val="center"/>
                  </w:pPr>
                  <w:r>
                    <w:t xml:space="preserve">187,470</w:t>
                  </w:r>
                </w:p>
              </w:tc>
              <w:tc>
                <w:tcPr/>
                <w:p>
                  <w:pPr>
                    <w:pStyle w:val="Compact"/>
                    <w:jc w:val="left"/>
                    <w:jc w:val="center"/>
                  </w:pPr>
                  <w:r>
                    <w:t xml:space="preserve">8,280 (4.4%)</w:t>
                  </w:r>
                </w:p>
              </w:tc>
              <w:tc>
                <w:tcPr/>
                <w:p>
                  <w:pPr>
                    <w:pStyle w:val="Compact"/>
                    <w:jc w:val="left"/>
                    <w:jc w:val="center"/>
                  </w:pPr>
                  <w:r>
                    <w:t xml:space="preserve">0.70 (0.62–0.80)</w:t>
                  </w:r>
                </w:p>
              </w:tc>
              <w:tc>
                <w:tcPr/>
                <w:p>
                  <w:pPr>
                    <w:pStyle w:val="Compact"/>
                    <w:jc w:val="left"/>
                    <w:jc w:val="center"/>
                  </w:pPr>
                  <w:r>
                    <w:t xml:space="preserve">&lt;0.001</w:t>
                  </w:r>
                </w:p>
              </w:tc>
            </w:tr>
            <w:tr>
              <w:tc>
                <w:tcPr/>
                <w:p>
                  <w:pPr>
                    <w:pStyle w:val="Compact"/>
                    <w:jc w:val="left"/>
                    <w:jc w:val="center"/>
                  </w:pPr>
                  <w:r>
                    <w:t xml:space="preserve">TBI as principal diagnosis</w:t>
                  </w:r>
                </w:p>
              </w:tc>
              <w:tc>
                <w:tcPr/>
                <w:p>
                  <w:pPr>
                    <w:pStyle w:val="Compact"/>
                    <w:jc w:val="left"/>
                    <w:jc w:val="center"/>
                  </w:pPr>
                  <w:r>
                    <w:t xml:space="preserve">156,170</w:t>
                  </w:r>
                </w:p>
              </w:tc>
              <w:tc>
                <w:tcPr/>
                <w:p>
                  <w:pPr>
                    <w:pStyle w:val="Compact"/>
                    <w:jc w:val="left"/>
                    <w:jc w:val="center"/>
                  </w:pPr>
                  <w:r>
                    <w:t xml:space="preserve">8,990 (5.8%)</w:t>
                  </w:r>
                </w:p>
              </w:tc>
              <w:tc>
                <w:tcPr/>
                <w:p>
                  <w:pPr>
                    <w:pStyle w:val="Compact"/>
                    <w:jc w:val="left"/>
                    <w:jc w:val="center"/>
                  </w:pPr>
                  <w:r>
                    <w:t xml:space="preserve">0.58 (0.51–0.66)</w:t>
                  </w:r>
                </w:p>
              </w:tc>
              <w:tc>
                <w:tcPr/>
                <w:p>
                  <w:pPr>
                    <w:pStyle w:val="Compact"/>
                    <w:jc w:val="left"/>
                    <w:jc w:val="center"/>
                  </w:pPr>
                  <w:r>
                    <w:t xml:space="preserve">&lt;0.001</w:t>
                  </w:r>
                </w:p>
              </w:tc>
            </w:tr>
            <w:tr>
              <w:tc>
                <w:tcPr/>
                <w:p>
                  <w:pPr>
                    <w:pStyle w:val="Compact"/>
                    <w:jc w:val="left"/>
                    <w:jc w:val="center"/>
                  </w:pPr>
                  <w:r>
                    <w:t xml:space="preserve">Exclude transferred-in</w:t>
                  </w:r>
                </w:p>
              </w:tc>
              <w:tc>
                <w:tcPr/>
                <w:p>
                  <w:pPr>
                    <w:pStyle w:val="Compact"/>
                    <w:jc w:val="left"/>
                    <w:jc w:val="center"/>
                  </w:pPr>
                  <w:r>
                    <w:t xml:space="preserve">192,550</w:t>
                  </w:r>
                </w:p>
              </w:tc>
              <w:tc>
                <w:tcPr/>
                <w:p>
                  <w:pPr>
                    <w:pStyle w:val="Compact"/>
                    <w:jc w:val="left"/>
                    <w:jc w:val="center"/>
                  </w:pPr>
                  <w:r>
                    <w:t xml:space="preserve">8,660 (4.5%)</w:t>
                  </w:r>
                </w:p>
              </w:tc>
              <w:tc>
                <w:tcPr/>
                <w:p>
                  <w:pPr>
                    <w:pStyle w:val="Compact"/>
                    <w:jc w:val="left"/>
                    <w:jc w:val="center"/>
                  </w:pPr>
                  <w:r>
                    <w:t xml:space="preserve">0.59 (0.52–0.68)</w:t>
                  </w:r>
                </w:p>
              </w:tc>
              <w:tc>
                <w:tcPr/>
                <w:p>
                  <w:pPr>
                    <w:pStyle w:val="Compact"/>
                    <w:jc w:val="left"/>
                    <w:jc w:val="center"/>
                  </w:pPr>
                  <w:r>
                    <w:t xml:space="preserve">&lt;0.001</w:t>
                  </w:r>
                </w:p>
              </w:tc>
            </w:tr>
          </w:tbl>
          <w:bookmarkEnd w:id="36"/>
          <w:p/>
        </w:tc>
      </w:tr>
    </w:tbl>
    <w:p>
      <w:pPr>
        <w:pStyle w:val="BodyText"/>
      </w:pPr>
      <w:r>
        <w:rPr>
          <w:i/>
          <w:iCs/>
        </w:rPr>
        <w:t xml:space="preserve">Values are survey-weighted national estimates, n (%), unless stated otherwise.</w:t>
      </w:r>
    </w:p>
    <w:bookmarkEnd w:id="37"/>
    <w:bookmarkStart w:id="38" w:name="limitations"/>
    <w:p>
      <w:pPr>
        <w:pStyle w:val="Heading2"/>
      </w:pPr>
      <w:r>
        <w:t xml:space="preserve">Limitations</w:t>
      </w:r>
    </w:p>
    <w:p>
      <w:pPr>
        <w:pStyle w:val="FirstParagraph"/>
      </w:pPr>
      <w:r>
        <w:t xml:space="preserve">This analysis uses administrative discharge records, so diagnoses may be missing or inconsistently coded. The NIS does not provide diagnosis timing or Present on Admission indicators; we cannot determine whether AWS or other outcomes began before or during the hospitalization. The lower mortality association may reflect survivor and coding bias: patients who die early or have short stays may have less opportunity for AWS to be recognized and coded. The LOS ≥2 days sensitivity analysis addresses part of this concern but cannot remove it. The database also lacks detailed clinical severity measures, linked records across hospitals, and inpatient medication data. Findings should therefore be interpreted as associations among hospitalizations, not treatment effects or patient-level risks.</w:t>
      </w:r>
    </w:p>
    <w:bookmarkEnd w:id="38"/>
    <w:bookmarkStart w:id="39" w:name="references-and-data-citation"/>
    <w:p>
      <w:pPr>
        <w:pStyle w:val="Heading2"/>
      </w:pPr>
      <w:r>
        <w:t xml:space="preserve">References and Data Citation</w:t>
      </w:r>
    </w:p>
    <w:p>
      <w:pPr>
        <w:pStyle w:val="FirstParagraph"/>
      </w:pPr>
      <w:r>
        <w:t xml:space="preserve">Healthcare Cost and Utilization Project (HCUP).</w:t>
      </w:r>
      <w:r>
        <w:t xml:space="preserve"> </w:t>
      </w:r>
      <w:r>
        <w:rPr>
          <w:i/>
          <w:iCs/>
        </w:rPr>
        <w:t xml:space="preserve">National Inpatient Sample (NIS), 2017–2022</w:t>
      </w:r>
      <w:r>
        <w:t xml:space="preserve">. Agency for Healthcare Research and Quality, Rockville, MD. HCUP data are made available through the HCUP Partners.</w:t>
      </w:r>
    </w:p>
    <w:bookmarkEnd w:id="39"/>
    <w:bookmarkStart w:id="40" w:name="appendix.-icd-10-cm-code-list"/>
    <w:p>
      <w:pPr>
        <w:pStyle w:val="Heading2"/>
      </w:pPr>
      <w:r>
        <w:t xml:space="preserve">Appendix. ICD-10-CM Code List</w:t>
      </w:r>
    </w:p>
    <w:p>
      <w:pPr>
        <w:pStyle w:val="FirstParagraph"/>
      </w:pPr>
      <w:r>
        <w:rPr>
          <w:b/>
          <w:bCs/>
        </w:rPr>
        <w:t xml:space="preserve">Table A1. ICD-10-CM code groups used to identify the cohort and study conditions.</w:t>
      </w:r>
    </w:p>
    <w:tbl>
      <w:tblPr>
        <w:tblStyle w:val="Table"/>
        <w:tblW w:type="pct" w:w="5000"/>
        <w:tblLayout w:type="fixed"/>
        <w:tblLook w:firstRow="1" w:lastRow="0" w:firstColumn="0" w:lastColumn="0" w:noHBand="0" w:noVBand="0" w:val="0020"/>
      </w:tblPr>
      <w:tblGrid>
        <w:gridCol w:w="1760"/>
        <w:gridCol w:w="1528"/>
        <w:gridCol w:w="4631"/>
      </w:tblGrid>
      <w:tr>
        <w:trPr>
          <w:tblHeader w:val="on"/>
        </w:trPr>
        <w:tc>
          <w:tcPr/>
          <w:p>
            <w:pPr>
              <w:pStyle w:val="Compact"/>
              <w:jc w:val="left"/>
            </w:pPr>
            <w:r>
              <w:t xml:space="preserve">Condition</w:t>
            </w:r>
          </w:p>
        </w:tc>
        <w:tc>
          <w:tcPr/>
          <w:p>
            <w:pPr>
              <w:pStyle w:val="Compact"/>
              <w:jc w:val="left"/>
            </w:pPr>
            <w:r>
              <w:t xml:space="preserve">ICD-10 code(s)</w:t>
            </w:r>
          </w:p>
        </w:tc>
        <w:tc>
          <w:tcPr/>
          <w:p>
            <w:pPr>
              <w:pStyle w:val="Compact"/>
              <w:jc w:val="left"/>
            </w:pPr>
            <w:r>
              <w:t xml:space="preserve">Description</w:t>
            </w:r>
          </w:p>
        </w:tc>
      </w:tr>
      <w:tr>
        <w:tc>
          <w:tcPr/>
          <w:p>
            <w:pPr>
              <w:pStyle w:val="Compact"/>
              <w:jc w:val="left"/>
            </w:pPr>
            <w:r>
              <w:t xml:space="preserve">Acute traumatic brain injury (TBI)</w:t>
            </w:r>
          </w:p>
        </w:tc>
        <w:tc>
          <w:tcPr/>
          <w:p>
            <w:pPr>
              <w:pStyle w:val="Compact"/>
              <w:jc w:val="left"/>
            </w:pPr>
            <w:r>
              <w:t xml:space="preserve">S06.xxxA</w:t>
            </w:r>
          </w:p>
        </w:tc>
        <w:tc>
          <w:tcPr/>
          <w:p>
            <w:pPr>
              <w:pStyle w:val="Compact"/>
              <w:jc w:val="left"/>
            </w:pPr>
            <w:r>
              <w:t xml:space="preserve">Intracranial injury, initial encounter (7th character A, length 7)</w:t>
            </w:r>
          </w:p>
        </w:tc>
      </w:tr>
      <w:tr>
        <w:tc>
          <w:tcPr/>
          <w:p>
            <w:pPr>
              <w:pStyle w:val="Compact"/>
              <w:jc w:val="left"/>
            </w:pPr>
            <w:r>
              <w:t xml:space="preserve">Active alcohol use disorder (AUD)</w:t>
            </w:r>
          </w:p>
        </w:tc>
        <w:tc>
          <w:tcPr/>
          <w:p>
            <w:pPr>
              <w:pStyle w:val="Compact"/>
              <w:jc w:val="left"/>
            </w:pPr>
            <w:r>
              <w:t xml:space="preserve">F10.1, F10.2</w:t>
            </w:r>
          </w:p>
        </w:tc>
        <w:tc>
          <w:tcPr/>
          <w:p>
            <w:pPr>
              <w:pStyle w:val="Compact"/>
              <w:jc w:val="left"/>
            </w:pPr>
            <w:r>
              <w:t xml:space="preserve">Alcohol abuse or dependence (excluding remission-only codes F10.11, F10.21)</w:t>
            </w:r>
          </w:p>
        </w:tc>
      </w:tr>
      <w:tr>
        <w:tc>
          <w:tcPr/>
          <w:p>
            <w:pPr>
              <w:pStyle w:val="Compact"/>
              <w:jc w:val="left"/>
            </w:pPr>
            <w:r>
              <w:t xml:space="preserve">Alcohol withdrawal syndrome (AWS)</w:t>
            </w:r>
          </w:p>
        </w:tc>
        <w:tc>
          <w:tcPr/>
          <w:p>
            <w:pPr>
              <w:pStyle w:val="Compact"/>
              <w:jc w:val="left"/>
            </w:pPr>
            <w:r>
              <w:t xml:space="preserve">F10.230–F10.239, F10.130–F10.139</w:t>
            </w:r>
          </w:p>
        </w:tc>
        <w:tc>
          <w:tcPr/>
          <w:p>
            <w:pPr>
              <w:pStyle w:val="Compact"/>
              <w:jc w:val="left"/>
            </w:pPr>
            <w:r>
              <w:t xml:space="preserve">Alcohol withdrawal with or without delirium or perceptual disturbance (F10.13x valid from Oct 2020)</w:t>
            </w:r>
          </w:p>
        </w:tc>
      </w:tr>
      <w:tr>
        <w:tc>
          <w:tcPr/>
          <w:p>
            <w:pPr>
              <w:pStyle w:val="Compact"/>
              <w:jc w:val="left"/>
            </w:pPr>
            <w:r>
              <w:t xml:space="preserve">Invasive mechanical ventilation (IMV)</w:t>
            </w:r>
          </w:p>
        </w:tc>
        <w:tc>
          <w:tcPr/>
          <w:p>
            <w:pPr>
              <w:pStyle w:val="Compact"/>
              <w:jc w:val="left"/>
            </w:pPr>
            <w:r>
              <w:t xml:space="preserve">5A1935Z, 5A1945Z, 5A1955Z</w:t>
            </w:r>
          </w:p>
        </w:tc>
        <w:tc>
          <w:tcPr/>
          <w:p>
            <w:pPr>
              <w:pStyle w:val="Compact"/>
              <w:jc w:val="left"/>
            </w:pPr>
            <w:r>
              <w:t xml:space="preserve">Invasive mechanical ventilation (&lt;24h, 24–96h, &gt;96h; ICD-10-PCS)</w:t>
            </w:r>
          </w:p>
        </w:tc>
      </w:tr>
      <w:tr>
        <w:tc>
          <w:tcPr/>
          <w:p>
            <w:pPr>
              <w:pStyle w:val="Compact"/>
              <w:jc w:val="left"/>
            </w:pPr>
            <w:r>
              <w:t xml:space="preserve">Pneumonia</w:t>
            </w:r>
          </w:p>
        </w:tc>
        <w:tc>
          <w:tcPr/>
          <w:p>
            <w:pPr>
              <w:pStyle w:val="Compact"/>
              <w:jc w:val="left"/>
            </w:pPr>
            <w:r>
              <w:t xml:space="preserve">J12–J18</w:t>
            </w:r>
          </w:p>
        </w:tc>
        <w:tc>
          <w:tcPr/>
          <w:p>
            <w:pPr>
              <w:pStyle w:val="Compact"/>
              <w:jc w:val="left"/>
            </w:pPr>
            <w:r>
              <w:t xml:space="preserve">Viral, bacterial, or unspecified pneumonia</w:t>
            </w:r>
          </w:p>
        </w:tc>
      </w:tr>
      <w:tr>
        <w:tc>
          <w:tcPr/>
          <w:p>
            <w:pPr>
              <w:pStyle w:val="Compact"/>
              <w:jc w:val="left"/>
            </w:pPr>
            <w:r>
              <w:t xml:space="preserve">Aspiration pneumonitis</w:t>
            </w:r>
          </w:p>
        </w:tc>
        <w:tc>
          <w:tcPr/>
          <w:p>
            <w:pPr>
              <w:pStyle w:val="Compact"/>
              <w:jc w:val="left"/>
            </w:pPr>
            <w:r>
              <w:t xml:space="preserve">J69.0</w:t>
            </w:r>
          </w:p>
        </w:tc>
        <w:tc>
          <w:tcPr/>
          <w:p>
            <w:pPr>
              <w:pStyle w:val="Compact"/>
              <w:jc w:val="left"/>
            </w:pPr>
            <w:r>
              <w:t xml:space="preserve">Pneumonitis due to inhalation of food and vomit</w:t>
            </w:r>
          </w:p>
        </w:tc>
      </w:tr>
      <w:tr>
        <w:tc>
          <w:tcPr/>
          <w:p>
            <w:pPr>
              <w:pStyle w:val="Compact"/>
              <w:jc w:val="left"/>
            </w:pPr>
            <w:r>
              <w:t xml:space="preserve">Other substance use disorder</w:t>
            </w:r>
          </w:p>
        </w:tc>
        <w:tc>
          <w:tcPr/>
          <w:p>
            <w:pPr>
              <w:pStyle w:val="Compact"/>
              <w:jc w:val="left"/>
            </w:pPr>
            <w:r>
              <w:t xml:space="preserve">F11–F16, F18, F19</w:t>
            </w:r>
          </w:p>
        </w:tc>
        <w:tc>
          <w:tcPr/>
          <w:p>
            <w:pPr>
              <w:pStyle w:val="Compact"/>
              <w:jc w:val="left"/>
            </w:pPr>
            <w:r>
              <w:t xml:space="preserve">Other drug abuse or dependence (excluding remission-only codes)</w:t>
            </w:r>
          </w:p>
        </w:tc>
      </w:tr>
      <w:tr>
        <w:tc>
          <w:tcPr/>
          <w:p>
            <w:pPr>
              <w:pStyle w:val="Compact"/>
              <w:jc w:val="left"/>
            </w:pPr>
            <w:r>
              <w:t xml:space="preserve">Any liver disease</w:t>
            </w:r>
          </w:p>
        </w:tc>
        <w:tc>
          <w:tcPr/>
          <w:p>
            <w:pPr>
              <w:pStyle w:val="Compact"/>
              <w:jc w:val="left"/>
            </w:pPr>
            <w:r>
              <w:t xml:space="preserve">K70–K77</w:t>
            </w:r>
          </w:p>
        </w:tc>
        <w:tc>
          <w:tcPr/>
          <w:p>
            <w:pPr>
              <w:pStyle w:val="Compact"/>
              <w:jc w:val="left"/>
            </w:pPr>
            <w:r>
              <w:t xml:space="preserve">Any acute or chronic liver disease</w:t>
            </w:r>
          </w:p>
        </w:tc>
      </w:tr>
      <w:tr>
        <w:tc>
          <w:tcPr/>
          <w:p>
            <w:pPr>
              <w:pStyle w:val="Compact"/>
              <w:jc w:val="left"/>
            </w:pPr>
            <w:r>
              <w:t xml:space="preserve">Alcoholic liver disease</w:t>
            </w:r>
          </w:p>
        </w:tc>
        <w:tc>
          <w:tcPr/>
          <w:p>
            <w:pPr>
              <w:pStyle w:val="Compact"/>
              <w:jc w:val="left"/>
            </w:pPr>
            <w:r>
              <w:t xml:space="preserve">K70</w:t>
            </w:r>
          </w:p>
        </w:tc>
        <w:tc>
          <w:tcPr/>
          <w:p>
            <w:pPr>
              <w:pStyle w:val="Compact"/>
              <w:jc w:val="left"/>
            </w:pPr>
            <w:r>
              <w:t xml:space="preserve">Alcoholic liver disease</w:t>
            </w:r>
          </w:p>
        </w:tc>
      </w:tr>
      <w:tr>
        <w:tc>
          <w:tcPr/>
          <w:p>
            <w:pPr>
              <w:pStyle w:val="Compact"/>
              <w:jc w:val="left"/>
            </w:pPr>
            <w:r>
              <w:t xml:space="preserve">Skull fracture</w:t>
            </w:r>
          </w:p>
        </w:tc>
        <w:tc>
          <w:tcPr/>
          <w:p>
            <w:pPr>
              <w:pStyle w:val="Compact"/>
              <w:jc w:val="left"/>
            </w:pPr>
            <w:r>
              <w:t xml:space="preserve">S02.0, S02.1, S02.91</w:t>
            </w:r>
          </w:p>
        </w:tc>
        <w:tc>
          <w:tcPr/>
          <w:p>
            <w:pPr>
              <w:pStyle w:val="Compact"/>
              <w:jc w:val="left"/>
            </w:pPr>
            <w:r>
              <w:t xml:space="preserve">Fracture of vault, base, or unspecified skull (7th character A or B)</w:t>
            </w:r>
          </w:p>
        </w:tc>
      </w:tr>
      <w:tr>
        <w:tc>
          <w:tcPr/>
          <w:p>
            <w:pPr>
              <w:pStyle w:val="Compact"/>
              <w:jc w:val="left"/>
            </w:pPr>
            <w:r>
              <w:t xml:space="preserve">Extracranial injury</w:t>
            </w:r>
          </w:p>
        </w:tc>
        <w:tc>
          <w:tcPr/>
          <w:p>
            <w:pPr>
              <w:pStyle w:val="Compact"/>
              <w:jc w:val="left"/>
            </w:pPr>
            <w:r>
              <w:t xml:space="preserve">S10–S99</w:t>
            </w:r>
          </w:p>
        </w:tc>
        <w:tc>
          <w:tcPr/>
          <w:p>
            <w:pPr>
              <w:pStyle w:val="Compact"/>
              <w:jc w:val="left"/>
            </w:pPr>
            <w:r>
              <w:t xml:space="preserve">Trauma outside the head (initial encounter; 7th character A, B, or C)</w:t>
            </w:r>
          </w:p>
        </w:tc>
      </w:tr>
      <w:tr>
        <w:tc>
          <w:tcPr/>
          <w:p>
            <w:pPr>
              <w:pStyle w:val="Compact"/>
              <w:jc w:val="left"/>
            </w:pPr>
            <w:r>
              <w:t xml:space="preserve">Tobacco use</w:t>
            </w:r>
          </w:p>
        </w:tc>
        <w:tc>
          <w:tcPr/>
          <w:p>
            <w:pPr>
              <w:pStyle w:val="Compact"/>
              <w:jc w:val="left"/>
            </w:pPr>
            <w:r>
              <w:t xml:space="preserve">F17, Z72.0, Z87.891</w:t>
            </w:r>
          </w:p>
        </w:tc>
        <w:tc>
          <w:tcPr/>
          <w:p>
            <w:pPr>
              <w:pStyle w:val="Compact"/>
              <w:jc w:val="left"/>
            </w:pPr>
            <w:r>
              <w:t xml:space="preserve">Current nicotine dependence or documented tobacco use history</w:t>
            </w:r>
          </w:p>
        </w:tc>
      </w:tr>
    </w:tbl>
    <w:p>
      <w:pPr>
        <w:pStyle w:val="BodyText"/>
      </w:pPr>
      <w:r>
        <w:rPr>
          <w:i/>
          <w:iCs/>
        </w:rPr>
        <w:t xml:space="preserve">Values are survey-weighted national estimates, n (%), unless stated otherwise.</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17" Target="media/rId17.png" /><Relationship Type="http://schemas.openxmlformats.org/officeDocument/2006/relationships/image" Id="rId26" Target="media/rId26.pn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Alcohol Withdrawal Syndrome in Adult Traumatic Brain Injury with Alcohol Use Disorder</dc:title>
  <dc:creator>Muhammad Saad</dc:creator>
  <cp:keywords/>
  <dcterms:created xsi:type="dcterms:W3CDTF">2026-10-26T02:27:09Z</dcterms:created>
  <dcterms:modified xsi:type="dcterms:W3CDTF">2026-10-26T02:27:09Z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National Inpatient Sample, 2017–2022</vt:lpwstr>
  </property>
  <property fmtid="{D5CDD505-2E9C-101B-9397-08002B2CF9AE}" pid="13" name="toc-title">
    <vt:lpwstr>Table of contents</vt:lpwstr>
  </property>
</Properties>
</file>