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1.png" ContentType="image/png"/>
  <Override PartName="/word/media/rId3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cohort represented</w:t>
            </w:r>
            <w:r>
              <w:t xml:space="preserve"> </w:t>
            </w:r>
            <w:r>
              <w:rPr>
                <w:b/>
                <w:bCs/>
              </w:rPr>
              <w:t xml:space="preserve">249,570</w:t>
            </w:r>
            <w:r>
              <w:t xml:space="preserve"> </w:t>
            </w:r>
            <w:r>
              <w:t xml:space="preserve">hospitalizations nationally;</w:t>
            </w:r>
            <w:r>
              <w:t xml:space="preserve"> </w:t>
            </w:r>
            <w:r>
              <w:rPr>
                <w:b/>
                <w:bCs/>
              </w:rPr>
              <w:t xml:space="preserve">58,270</w:t>
            </w:r>
            <w:r>
              <w:t xml:space="preserve"> </w:t>
            </w:r>
            <w:r>
              <w:t xml:space="preserve">(</w:t>
            </w:r>
            <w:r>
              <w:rPr>
                <w:b/>
                <w:bCs/>
              </w:rPr>
              <w:t xml:space="preserve">23.3%</w:t>
            </w:r>
            <w:r>
              <w:t xml:space="preserve">) 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2"/>
    <w:bookmarkStart w:id="20" w:name="methods"/>
    <w:p>
      <w:pPr>
        <w:pStyle w:val="Heading2"/>
      </w:pPr>
      <w:r>
        <w:t xml:space="preserve">Methods</w:t>
      </w:r>
    </w:p>
    <w:bookmarkStart w:id="13" w:name="data-source-and-ethics"/>
    <w:p>
      <w:pPr>
        <w:pStyle w:val="Heading3"/>
      </w:pPr>
      <w:r>
        <w:t xml:space="preserve">Data source and ethics</w:t>
      </w:r>
    </w:p>
    <w:p>
      <w:pPr>
        <w:pStyle w:val="FirstParagraph"/>
      </w:pPr>
      <w:r>
        <w:t xml:space="preserve">The Healthcare Cost and Utilization Project (HCUP) National Inpatient Sample (NIS), developed by the Agency for Healthcare Research and Quality (AHRQ), is an all-payer database built from a stratified sample of approximately 20% of discharges from U.S. community hospitals and weighted to national estimates. We analyzed 2017–2022, the ICD-10-CM/PCS era. The unit was a hospitalization, not a person. The data are de-identified and publicly available under the HCUP Data Use Agreement; this secondary analysis did not require institutional review board review or informed consent. Small cells are suppressed under HCUP disclosure rules. This study follows the RECORD (Reporting of studies Conducted using Observational Routinely-collected Data) extension of STROBE.</w:t>
      </w:r>
    </w:p>
    <w:bookmarkEnd w:id="13"/>
    <w:bookmarkStart w:id="14" w:name="study-population"/>
    <w:p>
      <w:pPr>
        <w:pStyle w:val="Heading3"/>
      </w:pPr>
      <w:r>
        <w:t xml:space="preserve">Study population</w:t>
      </w:r>
    </w:p>
    <w:p>
      <w:pPr>
        <w:pStyle w:val="FirstParagraph"/>
      </w:pPr>
      <w:r>
        <w:t xml:space="preserve">We selected hospitalizations in this order: age 18 years or older; acute TBI in any of 40 diagnosis fields, defined by an S06 code with seventh character A and seven characters total; active alcohol use disorder (AUD), defined by F10.1 or F10.2 codes after excluding remission-only F10.11/F10.21; and known in-hospital mortality status (DIED 0 or 1). The unit remained a hospitalization throughout. The cohort selection appears in Figure 1; Table S1 lists the ICD-10-CM/PCS definitions.</w:t>
      </w:r>
    </w:p>
    <w:bookmarkEnd w:id="14"/>
    <w:bookmarkStart w:id="15" w:name="exposure"/>
    <w:p>
      <w:pPr>
        <w:pStyle w:val="Heading3"/>
      </w:pPr>
      <w:r>
        <w:t xml:space="preserve">Exposure</w:t>
      </w:r>
    </w:p>
    <w:p>
      <w:pPr>
        <w:pStyle w:val="FirstParagraph"/>
      </w:pPr>
      <w:r>
        <w:t xml:space="preserve">AWS was defined by any of F10.230, F10.231, F10.232, F10.239, F10.130, F10.131, F10.132, or F10.139 in any diagnosis field. Withdrawal delirium codes (F10.231 and F10.131) were included. F10.13x codes were counted when present; the code audit verifies that they do not appear before October 2020.</w:t>
      </w:r>
    </w:p>
    <w:bookmarkEnd w:id="15"/>
    <w:bookmarkStart w:id="16" w:name="outcomes"/>
    <w:p>
      <w:pPr>
        <w:pStyle w:val="Heading3"/>
      </w:pPr>
      <w:r>
        <w:t xml:space="preserve">Outcomes</w:t>
      </w:r>
    </w:p>
    <w:p>
      <w:pPr>
        <w:pStyle w:val="FirstParagraph"/>
      </w:pPr>
      <w:r>
        <w:t xml:space="preserve">In-hospital death was DIED. Invasive mechanical ventilation (IMV) was identified with ICD-10-PCS 5A1935Z, 5A1945Z, or 5A1955Z. Pneumonia included diagnosis prefixes J12–J18; aspiration pneumonitis was J69.0, and the combined outcome was either. Institutional discharge was DISPUNIFORM 2 or 5; discharge against medical advice (AMA) was DISPUNIFORM 7. Both disposition outcomes were analyzed among survivors with known disposition (DISPUNIFORM 1, 2, 5, 6, or 7); home health (6) was not institutional. LOS was the recorded length of stay in days. Hospital cost was TOTCHG multiplied by CCR_NIS and adjusted to 2022 U.S. dollars using the CPI-U medical-care index implemented in easyNIS. Cost was unavailable when TOTCHG or CCR_NIS was missing or CCR_NIS was non-positive; zero or negative cost values were excluded from the cost model.</w:t>
      </w:r>
    </w:p>
    <w:bookmarkEnd w:id="16"/>
    <w:bookmarkStart w:id="17" w:name="covariates"/>
    <w:p>
      <w:pPr>
        <w:pStyle w:val="Heading3"/>
      </w:pPr>
      <w:r>
        <w:t xml:space="preserve">Covariates</w:t>
      </w:r>
    </w:p>
    <w:p>
      <w:pPr>
        <w:pStyle w:val="FirstParagraph"/>
      </w:pPr>
      <w:r>
        <w:t xml:space="preserve">The adjustment set was age per 10 years, sex, race/ethnicity (RACE), primary expected payer (PAY1), ZIP-code income quartile (ZIPINC_QRTL), discharge year, hospital census region, bed size, location/teaching status, TBI subtype, skull fracture, extracranial injury, TBI as the principal diagnosis, chronic Elixhauser burden, liver disease, and other substance use disorder (SUD). The mutually exclusive TBI hierarchy assigned the most severe observed qualifying subtype: diffuse injury/brain compression (S06.2 or S06.A), epidural hemorrhage (S06.4), subdural hemorrhage (S06.5), contusion/focal injury/subarachnoid hemorrhage/edema (S06.1, S06.3, or S06.6), then concussion/other/unspecified (S06.0, S06.8, or S06.9). Skull fracture used S02.0, S02.1, or S02.91 with seventh character A or B; extracranial injury used S10–S99 with seventh character A, B, or C. Other SUD used F11–F16, F18, or F19, excluding remission-only codes. Liver disease used K70–K77.</w:t>
      </w:r>
    </w:p>
    <w:p>
      <w:pPr>
        <w:pStyle w:val="BodyText"/>
      </w:pPr>
      <w:r>
        <w:t xml:space="preserve">The chronic comorbidity count was based on AHRQ Elixhauser Refined ICD-10 conditions scored by easyNIS/medicalcoder, grouped as 0, 1, 2, or 3 or more. The 29 conditions retained are listed in protocol/decisions.md; alcohol, liver disease, and other SUD were excluded because they were cohort features or separately adjusted, while acute trauma-related, neurologic, cerebrovascular, psychosis, blood-loss anemia, coagulopathy, fluid/electrolyte, and weight-loss conditions were excluded because NIS has no present-on-admission indicator to distinguish pre-existing illness from acute sequelae. Ventilation, pneumonia, neurosurgery, severity scores, and LOS were not adjustment variables because they may follow AWS or reflect the hospitalization course; the analysis did not measure neurosurgery.</w:t>
      </w:r>
    </w:p>
    <w:bookmarkEnd w:id="17"/>
    <w:bookmarkStart w:id="18" w:name="missing-data"/>
    <w:p>
      <w:pPr>
        <w:pStyle w:val="Heading3"/>
      </w:pPr>
      <w:r>
        <w:t xml:space="preserve">Missing data</w:t>
      </w:r>
    </w:p>
    <w:p>
      <w:pPr>
        <w:pStyle w:val="FirstParagraph"/>
      </w:pPr>
      <w:r>
        <w:t xml:space="preserve">Adjusted models used complete cases. Table 2 gives each model’s weighted analytic N and percentage of outcome-eligible weighted discharges retained; Table S3 shows weighted missingness by AWS group for each adjustment variable and outcome. Table 1 displays observed missing categories as “Unknown” for payer, income, race, and other categorical variables with missing values; those records are excluded from adjusted models. Continuous age and sex are not recoded as Unknown.</w:t>
      </w:r>
    </w:p>
    <w:bookmarkEnd w:id="18"/>
    <w:bookmarkStart w:id="19" w:name="statistical-analysis"/>
    <w:p>
      <w:pPr>
        <w:pStyle w:val="Heading3"/>
      </w:pPr>
      <w:r>
        <w:t xml:space="preserve">Statistical analysis</w:t>
      </w:r>
    </w:p>
    <w:p>
      <w:pPr>
        <w:pStyle w:val="FirstParagraph"/>
      </w:pPr>
      <w:r>
        <w:t xml:space="preserve">The NIS survey design used hospital clusters (HOSP_NIS), strata (NIS_STRATUM), and discharge weights (DISCWT); cohort analyses were domain analyses on the full survey design. Lonely primary sampling units were handled with the survey option</w:t>
      </w:r>
      <w:r>
        <w:t xml:space="preserve"> </w:t>
      </w:r>
      <w:r>
        <w:rPr>
          <w:rStyle w:val="VerbatimChar"/>
        </w:rPr>
        <w:t xml:space="preserve">survey.lonely.psu = "adjust"</w:t>
      </w:r>
      <w:r>
        <w:t xml:space="preserve"> </w:t>
      </w:r>
      <w:r>
        <w:t xml:space="preserve">(and</w:t>
      </w:r>
      <w:r>
        <w:t xml:space="preserve"> </w:t>
      </w:r>
      <w:r>
        <w:rPr>
          <w:rStyle w:val="VerbatimChar"/>
        </w:rPr>
        <w:t xml:space="preserve">survey.adjust.domain.lonely = TRUE</w:t>
      </w:r>
      <w:r>
        <w:t xml:space="preserve">). Table 1 group comparisons used the</w:t>
      </w:r>
      <w:r>
        <w:t xml:space="preserve"> </w:t>
      </w:r>
      <w:r>
        <w:rPr>
          <w:rStyle w:val="VerbatimChar"/>
        </w:rPr>
        <w:t xml:space="preserve">gtsummary::add_p()</w:t>
      </w:r>
      <w:r>
        <w:t xml:space="preserve"> </w:t>
      </w:r>
      <w:r>
        <w:t xml:space="preserve">survey defaults: Rao–Scott chi-square tests for categorical variables and design-based Wilcoxon rank-sum tests for continuous variables. Binary outcomes used survey-weighted quasibinomial logistic regression and are reported as adjusted odds ratios (ORs) with 95% confidence intervals. The model code also computes standardized probabilities by setting AWS to each level for the complete-case records, averaging predictions with normalized survey weights, and using a delta-method variance with t-based confidence limits from survey design degrees of freedom; Table 2 reports binary ORs and does not display those probability margins. LOS used a quasipoisson log-link model; cost used a Gamma log-link model among positive costs. Continuous outcomes are summarized by median (IQR), with adjusted differences in mean outcomes from predictive margins. Table S4 reports annual weighted prevalence and a survey logistic trend test with year as a continuous term; the vertical marker denotes October 2020, when the additional F10.13x codes became valid. Sensitivity analyses restricted the cohort to LOS ≥2 days to assess short-stay coding opportunity, required TBI as the principal diagnosis to assess diagnosis position, and excluded transferred-in discharges to assess transfer-related case mix. Tests were two-sided with α=0.05 and no multiplicity adjustment. Analyses used R 4.6.1, with the survey, gtsummary, and easyNIS packages. All counts are weighted national estimates and are shown as weighted n (weighted %); cells with unweighted counts ≤10 are suppressed. The analysis included 49,914 sampled hospitalizations, representing 249,570 hospitalizations nationally.</w:t>
      </w:r>
    </w:p>
    <w:bookmarkEnd w:id="19"/>
    <w:bookmarkEnd w:id="20"/>
    <w:bookmarkStart w:id="25" w:name="cohort-flow"/>
    <w:p>
      <w:pPr>
        <w:pStyle w:val="Heading2"/>
      </w:pPr>
      <w:r>
        <w:t xml:space="preserve">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24" w:name="fig-cohort-flow"/>
          <w:p>
            <w:pPr>
              <w:pStyle w:val="Compact"/>
              <w:jc w:val="center"/>
            </w:pPr>
            <w:r>
              <w:drawing>
                <wp:inline>
                  <wp:extent cx="4800600" cy="3840480"/>
                  <wp:effectExtent b="0" l="0" r="0" t="0"/>
                  <wp:docPr descr="" title="" id="22" name="Picture"/>
                  <a:graphic>
                    <a:graphicData uri="http://schemas.openxmlformats.org/drawingml/2006/picture">
                      <pic:pic>
                        <pic:nvPicPr>
                          <pic:cNvPr descr="../output/public/cohort_flow.png" id="23" name="Picture"/>
                          <pic:cNvPicPr>
                            <a:picLocks noChangeArrowheads="1" noChangeAspect="1"/>
                          </pic:cNvPicPr>
                        </pic:nvPicPr>
                        <pic:blipFill>
                          <a:blip r:embed="rId21"/>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Cohort flow for adult TBI hospitalizations with alcohol use disorder, NIS 2017–2022.</w:t>
            </w:r>
          </w:p>
          <w:bookmarkEnd w:id="24"/>
        </w:tc>
      </w:tr>
    </w:tbl>
    <w:p>
      <w:pPr>
        <w:pStyle w:val="BodyText"/>
      </w:pPr>
      <w:r>
        <w:t xml:space="preserve">Figure 1 summarizes the sequential cohort selection. The weighted number of hospitalizations in the final cohort was</w:t>
      </w:r>
      <w:r>
        <w:t xml:space="preserve"> </w:t>
      </w:r>
      <w:r>
        <w:rPr>
          <w:b/>
          <w:bCs/>
        </w:rPr>
        <w:t xml:space="preserve">249,570</w:t>
      </w:r>
      <w:r>
        <w:t xml:space="preserve">.</w:t>
      </w:r>
    </w:p>
    <w:bookmarkEnd w:id="25"/>
    <w:bookmarkStart w:id="27" w:name="baseline-characteristics"/>
    <w:p>
      <w:pPr>
        <w:pStyle w:val="Heading2"/>
      </w:pPr>
      <w:r>
        <w:t xml:space="preserve">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6" w:name="tbl-baseline"/>
          <w:p>
            <w:pPr>
              <w:jc w:val="center"/>
            </w:pPr>
            <w:pPr>
              <w:jc w:val="left"/>
              <w:spacing w:before="200"/>
              <w:pStyle w:val="ImageCaption"/>
            </w:pPr>
            <w:r>
              <w:t xml:space="preserve">Table 1: Baseline characteristics of adult TBI hospitalizations by AWS status.</w:t>
            </w:r>
          </w:p>
          <w:tbl>
            <w:tblPr>
              <w:tblStyle w:val="Table"/>
              <w:tblW w:type="pct" w:w="5000"/>
              <w:tblLayout w:type="fixed"/>
              <w:tblLook w:firstRow="1" w:lastRow="0" w:firstColumn="0" w:lastColumn="0" w:noHBand="0" w:noVBand="0" w:val="0020"/>
            </w:tblPr>
            <w:tblGrid>
              <w:gridCol w:w="3593"/>
              <w:gridCol w:w="1397"/>
              <w:gridCol w:w="1331"/>
              <w:gridCol w:w="1064"/>
              <w:gridCol w:w="532"/>
            </w:tblGrid>
            <w:tr>
              <w:trPr>
                <w:tblHeader w:val="on"/>
              </w:trPr>
              <w:tc>
                <w:tcPr/>
                <w:p>
                  <w:pPr>
                    <w:pStyle w:val="Compact"/>
                    <w:jc w:val="left"/>
                    <w:jc w:val="center"/>
                  </w:pPr>
                  <w:r>
                    <w:t xml:space="preserve">Characteristic</w:t>
                  </w:r>
                </w:p>
              </w:tc>
              <w:tc>
                <w:tcPr/>
                <w:p>
                  <w:pPr>
                    <w:pStyle w:val="Compact"/>
                    <w:jc w:val="left"/>
                    <w:jc w:val="center"/>
                  </w:pPr>
                  <w:r>
                    <w:t xml:space="preserve">Overall, N = 249,570</w:t>
                  </w:r>
                </w:p>
              </w:tc>
              <w:tc>
                <w:tcPr/>
                <w:p>
                  <w:pPr>
                    <w:pStyle w:val="Compact"/>
                    <w:jc w:val="left"/>
                    <w:jc w:val="center"/>
                  </w:pPr>
                  <w:r>
                    <w:t xml:space="preserve">No AWS, N = 191,300</w:t>
                  </w:r>
                </w:p>
              </w:tc>
              <w:tc>
                <w:tcPr/>
                <w:p>
                  <w:pPr>
                    <w:pStyle w:val="Compact"/>
                    <w:jc w:val="left"/>
                    <w:jc w:val="center"/>
                  </w:pPr>
                  <w:r>
                    <w:t xml:space="preserve">AWS, N = 58,270</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Female, n (%)</w:t>
                  </w:r>
                </w:p>
              </w:tc>
              <w:tc>
                <w:tcPr/>
                <w:p>
                  <w:pPr>
                    <w:pStyle w:val="Compact"/>
                    <w:jc w:val="left"/>
                    <w:jc w:val="center"/>
                  </w:pPr>
                  <w:r>
                    <w:t xml:space="preserve">55,260 (22.2%)</w:t>
                  </w:r>
                </w:p>
              </w:tc>
              <w:tc>
                <w:tcPr/>
                <w:p>
                  <w:pPr>
                    <w:pStyle w:val="Compact"/>
                    <w:jc w:val="left"/>
                    <w:jc w:val="center"/>
                  </w:pPr>
                  <w:r>
                    <w:t xml:space="preserve">44,425 (23.2%)</w:t>
                  </w:r>
                </w:p>
              </w:tc>
              <w:tc>
                <w:tcPr/>
                <w:p>
                  <w:pPr>
                    <w:pStyle w:val="Compact"/>
                    <w:jc w:val="left"/>
                    <w:jc w:val="center"/>
                  </w:pPr>
                  <w:r>
                    <w:t xml:space="preserve">10,835 (18.6%)</w:t>
                  </w:r>
                </w:p>
              </w:tc>
              <w:tc>
                <w:tcPr/>
                <w:p>
                  <w:pPr>
                    <w:pStyle w:val="Compact"/>
                    <w:jc w:val="left"/>
                    <w:jc w:val="center"/>
                  </w:pPr>
                  <w:r>
                    <w:t xml:space="preserve">&lt;0.001</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155,975 (62.5%)</w:t>
                  </w:r>
                </w:p>
              </w:tc>
              <w:tc>
                <w:tcPr/>
                <w:p>
                  <w:pPr>
                    <w:pStyle w:val="Compact"/>
                    <w:jc w:val="left"/>
                    <w:jc w:val="center"/>
                  </w:pPr>
                  <w:r>
                    <w:t xml:space="preserve">116,220 (60.8%)</w:t>
                  </w:r>
                </w:p>
              </w:tc>
              <w:tc>
                <w:tcPr/>
                <w:p>
                  <w:pPr>
                    <w:pStyle w:val="Compact"/>
                    <w:jc w:val="left"/>
                    <w:jc w:val="center"/>
                  </w:pPr>
                  <w:r>
                    <w:t xml:space="preserve">39,755 (68.2%)</w:t>
                  </w:r>
                </w:p>
              </w:tc>
              <w:tc>
                <w:tcPr/>
                <w:p>
                  <w:pPr>
                    <w:pStyle w:val="Compact"/>
                  </w:pPr>
                </w:p>
              </w:tc>
            </w:tr>
            <w:tr>
              <w:tc>
                <w:tcPr/>
                <w:p>
                  <w:pPr>
                    <w:pStyle w:val="Compact"/>
                    <w:jc w:val="left"/>
                    <w:jc w:val="center"/>
                  </w:pPr>
                  <w:r>
                    <w:t xml:space="preserve">Black</w:t>
                  </w:r>
                </w:p>
              </w:tc>
              <w:tc>
                <w:tcPr/>
                <w:p>
                  <w:pPr>
                    <w:pStyle w:val="Compact"/>
                    <w:jc w:val="left"/>
                    <w:jc w:val="center"/>
                  </w:pPr>
                  <w:r>
                    <w:t xml:space="preserve">31,640 (12.7%)</w:t>
                  </w:r>
                </w:p>
              </w:tc>
              <w:tc>
                <w:tcPr/>
                <w:p>
                  <w:pPr>
                    <w:pStyle w:val="Compact"/>
                    <w:jc w:val="left"/>
                    <w:jc w:val="center"/>
                  </w:pPr>
                  <w:r>
                    <w:t xml:space="preserve">26,040 (13.6%)</w:t>
                  </w:r>
                </w:p>
              </w:tc>
              <w:tc>
                <w:tcPr/>
                <w:p>
                  <w:pPr>
                    <w:pStyle w:val="Compact"/>
                    <w:jc w:val="left"/>
                    <w:jc w:val="center"/>
                  </w:pPr>
                  <w:r>
                    <w:t xml:space="preserve">5,600 (9.6%)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34,230 (13.7%)</w:t>
                  </w:r>
                </w:p>
              </w:tc>
              <w:tc>
                <w:tcPr/>
                <w:p>
                  <w:pPr>
                    <w:pStyle w:val="Compact"/>
                    <w:jc w:val="left"/>
                    <w:jc w:val="center"/>
                  </w:pPr>
                  <w:r>
                    <w:t xml:space="preserve">27,185 (14.2%)</w:t>
                  </w:r>
                </w:p>
              </w:tc>
              <w:tc>
                <w:tcPr/>
                <w:p>
                  <w:pPr>
                    <w:pStyle w:val="Compact"/>
                    <w:jc w:val="left"/>
                    <w:jc w:val="center"/>
                  </w:pPr>
                  <w:r>
                    <w:t xml:space="preserve">7,045 (12.1%)</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3,400 (1.4%)</w:t>
                  </w:r>
                </w:p>
              </w:tc>
              <w:tc>
                <w:tcPr/>
                <w:p>
                  <w:pPr>
                    <w:pStyle w:val="Compact"/>
                    <w:jc w:val="left"/>
                    <w:jc w:val="center"/>
                  </w:pPr>
                  <w:r>
                    <w:t xml:space="preserve">2,765 (1.4%)</w:t>
                  </w:r>
                </w:p>
              </w:tc>
              <w:tc>
                <w:tcPr/>
                <w:p>
                  <w:pPr>
                    <w:pStyle w:val="Compact"/>
                    <w:jc w:val="left"/>
                    <w:jc w:val="center"/>
                  </w:pPr>
                  <w:r>
                    <w:t xml:space="preserve">635 (1.1%)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5,510 (2.2%)</w:t>
                  </w:r>
                </w:p>
              </w:tc>
              <w:tc>
                <w:tcPr/>
                <w:p>
                  <w:pPr>
                    <w:pStyle w:val="Compact"/>
                    <w:jc w:val="left"/>
                    <w:jc w:val="center"/>
                  </w:pPr>
                  <w:r>
                    <w:t xml:space="preserve">4,105 (2.1%)</w:t>
                  </w:r>
                </w:p>
              </w:tc>
              <w:tc>
                <w:tcPr/>
                <w:p>
                  <w:pPr>
                    <w:pStyle w:val="Compact"/>
                    <w:jc w:val="left"/>
                    <w:jc w:val="center"/>
                  </w:pPr>
                  <w:r>
                    <w:t xml:space="preserve">1,405 (2.4%)</w:t>
                  </w:r>
                </w:p>
              </w:tc>
              <w:tc>
                <w:tcPr/>
                <w:p>
                  <w:pPr>
                    <w:pStyle w:val="Compact"/>
                  </w:pPr>
                </w:p>
              </w:tc>
            </w:tr>
            <w:tr>
              <w:tc>
                <w:tcPr/>
                <w:p>
                  <w:pPr>
                    <w:pStyle w:val="Compact"/>
                    <w:jc w:val="left"/>
                    <w:jc w:val="center"/>
                  </w:pPr>
                  <w:r>
                    <w:t xml:space="preserve">Other</w:t>
                  </w:r>
                </w:p>
              </w:tc>
              <w:tc>
                <w:tcPr/>
                <w:p>
                  <w:pPr>
                    <w:pStyle w:val="Compact"/>
                    <w:jc w:val="left"/>
                    <w:jc w:val="center"/>
                  </w:pPr>
                  <w:r>
                    <w:t xml:space="preserve">9,305 (3.7%)</w:t>
                  </w:r>
                </w:p>
              </w:tc>
              <w:tc>
                <w:tcPr/>
                <w:p>
                  <w:pPr>
                    <w:pStyle w:val="Compact"/>
                    <w:jc w:val="left"/>
                    <w:jc w:val="center"/>
                  </w:pPr>
                  <w:r>
                    <w:t xml:space="preserve">7,420 (3.9%)</w:t>
                  </w:r>
                </w:p>
              </w:tc>
              <w:tc>
                <w:tcPr/>
                <w:p>
                  <w:pPr>
                    <w:pStyle w:val="Compact"/>
                    <w:jc w:val="left"/>
                    <w:jc w:val="center"/>
                  </w:pPr>
                  <w:r>
                    <w:t xml:space="preserve">1,885 (3.2%)</w:t>
                  </w:r>
                </w:p>
              </w:tc>
              <w:tc>
                <w:tcPr/>
                <w:p>
                  <w:pPr>
                    <w:pStyle w:val="Compact"/>
                  </w:pPr>
                </w:p>
              </w:tc>
            </w:tr>
            <w:tr>
              <w:tc>
                <w:tcPr/>
                <w:p>
                  <w:pPr>
                    <w:pStyle w:val="Compact"/>
                    <w:jc w:val="left"/>
                    <w:jc w:val="center"/>
                  </w:pPr>
                  <w:r>
                    <w:t xml:space="preserve">Unknown</w:t>
                  </w:r>
                </w:p>
              </w:tc>
              <w:tc>
                <w:tcPr/>
                <w:p>
                  <w:pPr>
                    <w:pStyle w:val="Compact"/>
                    <w:jc w:val="left"/>
                    <w:jc w:val="center"/>
                  </w:pPr>
                  <w:r>
                    <w:t xml:space="preserve">9,510 (3.8%)</w:t>
                  </w:r>
                </w:p>
              </w:tc>
              <w:tc>
                <w:tcPr/>
                <w:p>
                  <w:pPr>
                    <w:pStyle w:val="Compact"/>
                    <w:jc w:val="left"/>
                    <w:jc w:val="center"/>
                  </w:pPr>
                  <w:r>
                    <w:t xml:space="preserve">7,565 (4.0%)</w:t>
                  </w:r>
                </w:p>
              </w:tc>
              <w:tc>
                <w:tcPr/>
                <w:p>
                  <w:pPr>
                    <w:pStyle w:val="Compact"/>
                    <w:jc w:val="left"/>
                    <w:jc w:val="center"/>
                  </w:pPr>
                  <w:r>
                    <w:t xml:space="preserve">1,945 (3.3%)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62,235 (24.9%)</w:t>
                  </w:r>
                </w:p>
              </w:tc>
              <w:tc>
                <w:tcPr/>
                <w:p>
                  <w:pPr>
                    <w:pStyle w:val="Compact"/>
                    <w:jc w:val="left"/>
                    <w:jc w:val="center"/>
                  </w:pPr>
                  <w:r>
                    <w:t xml:space="preserve">46,655 (24.4%)</w:t>
                  </w:r>
                </w:p>
              </w:tc>
              <w:tc>
                <w:tcPr/>
                <w:p>
                  <w:pPr>
                    <w:pStyle w:val="Compact"/>
                    <w:jc w:val="left"/>
                    <w:jc w:val="center"/>
                  </w:pPr>
                  <w:r>
                    <w:t xml:space="preserve">15,580 (26.7%)</w:t>
                  </w:r>
                </w:p>
              </w:tc>
              <w:tc>
                <w:tcPr/>
                <w:p>
                  <w:pPr>
                    <w:pStyle w:val="Compact"/>
                  </w:pPr>
                </w:p>
              </w:tc>
            </w:tr>
            <w:tr>
              <w:tc>
                <w:tcPr/>
                <w:p>
                  <w:pPr>
                    <w:pStyle w:val="Compact"/>
                    <w:jc w:val="left"/>
                    <w:jc w:val="center"/>
                  </w:pPr>
                  <w:r>
                    <w:t xml:space="preserve">Medicaid</w:t>
                  </w:r>
                </w:p>
              </w:tc>
              <w:tc>
                <w:tcPr/>
                <w:p>
                  <w:pPr>
                    <w:pStyle w:val="Compact"/>
                    <w:jc w:val="left"/>
                    <w:jc w:val="center"/>
                  </w:pPr>
                  <w:r>
                    <w:t xml:space="preserve">72,170 (28.9%)</w:t>
                  </w:r>
                </w:p>
              </w:tc>
              <w:tc>
                <w:tcPr/>
                <w:p>
                  <w:pPr>
                    <w:pStyle w:val="Compact"/>
                    <w:jc w:val="left"/>
                    <w:jc w:val="center"/>
                  </w:pPr>
                  <w:r>
                    <w:t xml:space="preserve">52,335 (27.4%)</w:t>
                  </w:r>
                </w:p>
              </w:tc>
              <w:tc>
                <w:tcPr/>
                <w:p>
                  <w:pPr>
                    <w:pStyle w:val="Compact"/>
                    <w:jc w:val="left"/>
                    <w:jc w:val="center"/>
                  </w:pPr>
                  <w:r>
                    <w:t xml:space="preserve">19,835 (34.0%)</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70,490 (28.2%)</w:t>
                  </w:r>
                </w:p>
              </w:tc>
              <w:tc>
                <w:tcPr/>
                <w:p>
                  <w:pPr>
                    <w:pStyle w:val="Compact"/>
                    <w:jc w:val="left"/>
                    <w:jc w:val="center"/>
                  </w:pPr>
                  <w:r>
                    <w:t xml:space="preserve">56,710 (29.6%)</w:t>
                  </w:r>
                </w:p>
              </w:tc>
              <w:tc>
                <w:tcPr/>
                <w:p>
                  <w:pPr>
                    <w:pStyle w:val="Compact"/>
                    <w:jc w:val="left"/>
                    <w:jc w:val="center"/>
                  </w:pPr>
                  <w:r>
                    <w:t xml:space="preserve">13,780 (23.6%)</w:t>
                  </w:r>
                </w:p>
              </w:tc>
              <w:tc>
                <w:tcPr/>
                <w:p>
                  <w:pPr>
                    <w:pStyle w:val="Compact"/>
                  </w:pPr>
                </w:p>
              </w:tc>
            </w:tr>
            <w:tr>
              <w:tc>
                <w:tcPr/>
                <w:p>
                  <w:pPr>
                    <w:pStyle w:val="Compact"/>
                    <w:jc w:val="left"/>
                    <w:jc w:val="center"/>
                  </w:pPr>
                  <w:r>
                    <w:t xml:space="preserve">Self-pay</w:t>
                  </w:r>
                </w:p>
              </w:tc>
              <w:tc>
                <w:tcPr/>
                <w:p>
                  <w:pPr>
                    <w:pStyle w:val="Compact"/>
                    <w:jc w:val="left"/>
                    <w:jc w:val="center"/>
                  </w:pPr>
                  <w:r>
                    <w:t xml:space="preserve">29,185 (11.7%)</w:t>
                  </w:r>
                </w:p>
              </w:tc>
              <w:tc>
                <w:tcPr/>
                <w:p>
                  <w:pPr>
                    <w:pStyle w:val="Compact"/>
                    <w:jc w:val="left"/>
                    <w:jc w:val="center"/>
                  </w:pPr>
                  <w:r>
                    <w:t xml:space="preserve">23,665 (12.4%)</w:t>
                  </w:r>
                </w:p>
              </w:tc>
              <w:tc>
                <w:tcPr/>
                <w:p>
                  <w:pPr>
                    <w:pStyle w:val="Compact"/>
                    <w:jc w:val="left"/>
                    <w:jc w:val="center"/>
                  </w:pPr>
                  <w:r>
                    <w:t xml:space="preserve">5,520 (9.5%)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2,720 (1.1%)</w:t>
                  </w:r>
                </w:p>
              </w:tc>
              <w:tc>
                <w:tcPr/>
                <w:p>
                  <w:pPr>
                    <w:pStyle w:val="Compact"/>
                    <w:jc w:val="left"/>
                    <w:jc w:val="center"/>
                  </w:pPr>
                  <w:r>
                    <w:t xml:space="preserve">2,160 (1.1%)</w:t>
                  </w:r>
                </w:p>
              </w:tc>
              <w:tc>
                <w:tcPr/>
                <w:p>
                  <w:pPr>
                    <w:pStyle w:val="Compact"/>
                    <w:jc w:val="left"/>
                    <w:jc w:val="center"/>
                  </w:pPr>
                  <w:r>
                    <w:t xml:space="preserve">560 (1.0%)</w:t>
                  </w:r>
                </w:p>
              </w:tc>
              <w:tc>
                <w:tcPr/>
                <w:p>
                  <w:pPr>
                    <w:pStyle w:val="Compact"/>
                  </w:pPr>
                </w:p>
              </w:tc>
            </w:tr>
            <w:tr>
              <w:tc>
                <w:tcPr/>
                <w:p>
                  <w:pPr>
                    <w:pStyle w:val="Compact"/>
                    <w:jc w:val="left"/>
                    <w:jc w:val="center"/>
                  </w:pPr>
                  <w:r>
                    <w:t xml:space="preserve">Other</w:t>
                  </w:r>
                </w:p>
              </w:tc>
              <w:tc>
                <w:tcPr/>
                <w:p>
                  <w:pPr>
                    <w:pStyle w:val="Compact"/>
                    <w:jc w:val="left"/>
                    <w:jc w:val="center"/>
                  </w:pPr>
                  <w:r>
                    <w:t xml:space="preserve">12,000 (4.8%)</w:t>
                  </w:r>
                </w:p>
              </w:tc>
              <w:tc>
                <w:tcPr/>
                <w:p>
                  <w:pPr>
                    <w:pStyle w:val="Compact"/>
                    <w:jc w:val="left"/>
                    <w:jc w:val="center"/>
                  </w:pPr>
                  <w:r>
                    <w:t xml:space="preserve">9,150 (4.8%)</w:t>
                  </w:r>
                </w:p>
              </w:tc>
              <w:tc>
                <w:tcPr/>
                <w:p>
                  <w:pPr>
                    <w:pStyle w:val="Compact"/>
                    <w:jc w:val="left"/>
                    <w:jc w:val="center"/>
                  </w:pPr>
                  <w:r>
                    <w:t xml:space="preserve">2,850 (4.9%)</w:t>
                  </w:r>
                </w:p>
              </w:tc>
              <w:tc>
                <w:tcPr/>
                <w:p>
                  <w:pPr>
                    <w:pStyle w:val="Compact"/>
                  </w:pPr>
                </w:p>
              </w:tc>
            </w:tr>
            <w:tr>
              <w:tc>
                <w:tcPr/>
                <w:p>
                  <w:pPr>
                    <w:pStyle w:val="Compact"/>
                    <w:jc w:val="left"/>
                    <w:jc w:val="center"/>
                  </w:pPr>
                  <w:r>
                    <w:t xml:space="preserve">Unknown</w:t>
                  </w:r>
                </w:p>
              </w:tc>
              <w:tc>
                <w:tcPr/>
                <w:p>
                  <w:pPr>
                    <w:pStyle w:val="Compact"/>
                    <w:jc w:val="left"/>
                    <w:jc w:val="center"/>
                  </w:pPr>
                  <w:r>
                    <w:t xml:space="preserve">770 (0.3%)</w:t>
                  </w:r>
                </w:p>
              </w:tc>
              <w:tc>
                <w:tcPr/>
                <w:p>
                  <w:pPr>
                    <w:pStyle w:val="Compact"/>
                    <w:jc w:val="left"/>
                    <w:jc w:val="center"/>
                  </w:pPr>
                  <w:r>
                    <w:t xml:space="preserve">625 (0.3%)</w:t>
                  </w:r>
                </w:p>
              </w:tc>
              <w:tc>
                <w:tcPr/>
                <w:p>
                  <w:pPr>
                    <w:pStyle w:val="Compact"/>
                    <w:jc w:val="left"/>
                    <w:jc w:val="center"/>
                  </w:pPr>
                  <w:r>
                    <w:t xml:space="preserve">145 (0.2%)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75,235 (30.1%)</w:t>
                  </w:r>
                </w:p>
              </w:tc>
              <w:tc>
                <w:tcPr/>
                <w:p>
                  <w:pPr>
                    <w:pStyle w:val="Compact"/>
                    <w:jc w:val="left"/>
                    <w:jc w:val="center"/>
                  </w:pPr>
                  <w:r>
                    <w:t xml:space="preserve">59,195 (30.9%)</w:t>
                  </w:r>
                </w:p>
              </w:tc>
              <w:tc>
                <w:tcPr/>
                <w:p>
                  <w:pPr>
                    <w:pStyle w:val="Compact"/>
                    <w:jc w:val="left"/>
                    <w:jc w:val="center"/>
                  </w:pPr>
                  <w:r>
                    <w:t xml:space="preserve">16,040 (27.5%)</w:t>
                  </w:r>
                </w:p>
              </w:tc>
              <w:tc>
                <w:tcPr/>
                <w:p>
                  <w:pPr>
                    <w:pStyle w:val="Compact"/>
                  </w:pPr>
                </w:p>
              </w:tc>
            </w:tr>
            <w:tr>
              <w:tc>
                <w:tcPr/>
                <w:p>
                  <w:pPr>
                    <w:pStyle w:val="Compact"/>
                    <w:jc w:val="left"/>
                    <w:jc w:val="center"/>
                  </w:pPr>
                  <w:r>
                    <w:t xml:space="preserve">Q2</w:t>
                  </w:r>
                </w:p>
              </w:tc>
              <w:tc>
                <w:tcPr/>
                <w:p>
                  <w:pPr>
                    <w:pStyle w:val="Compact"/>
                    <w:jc w:val="left"/>
                    <w:jc w:val="center"/>
                  </w:pPr>
                  <w:r>
                    <w:t xml:space="preserve">59,755 (23.9%)</w:t>
                  </w:r>
                </w:p>
              </w:tc>
              <w:tc>
                <w:tcPr/>
                <w:p>
                  <w:pPr>
                    <w:pStyle w:val="Compact"/>
                    <w:jc w:val="left"/>
                    <w:jc w:val="center"/>
                  </w:pPr>
                  <w:r>
                    <w:t xml:space="preserve">46,300 (24.2%)</w:t>
                  </w:r>
                </w:p>
              </w:tc>
              <w:tc>
                <w:tcPr/>
                <w:p>
                  <w:pPr>
                    <w:pStyle w:val="Compact"/>
                    <w:jc w:val="left"/>
                    <w:jc w:val="center"/>
                  </w:pPr>
                  <w:r>
                    <w:t xml:space="preserve">13,455 (23.1%)</w:t>
                  </w:r>
                </w:p>
              </w:tc>
              <w:tc>
                <w:tcPr/>
                <w:p>
                  <w:pPr>
                    <w:pStyle w:val="Compact"/>
                  </w:pPr>
                </w:p>
              </w:tc>
            </w:tr>
            <w:tr>
              <w:tc>
                <w:tcPr/>
                <w:p>
                  <w:pPr>
                    <w:pStyle w:val="Compact"/>
                    <w:jc w:val="left"/>
                    <w:jc w:val="center"/>
                  </w:pPr>
                  <w:r>
                    <w:t xml:space="preserve">Q3</w:t>
                  </w:r>
                </w:p>
              </w:tc>
              <w:tc>
                <w:tcPr/>
                <w:p>
                  <w:pPr>
                    <w:pStyle w:val="Compact"/>
                    <w:jc w:val="left"/>
                    <w:jc w:val="center"/>
                  </w:pPr>
                  <w:r>
                    <w:t xml:space="preserve">57,325 (23.0%)</w:t>
                  </w:r>
                </w:p>
              </w:tc>
              <w:tc>
                <w:tcPr/>
                <w:p>
                  <w:pPr>
                    <w:pStyle w:val="Compact"/>
                    <w:jc w:val="left"/>
                    <w:jc w:val="center"/>
                  </w:pPr>
                  <w:r>
                    <w:t xml:space="preserve">43,500 (22.7%)</w:t>
                  </w:r>
                </w:p>
              </w:tc>
              <w:tc>
                <w:tcPr/>
                <w:p>
                  <w:pPr>
                    <w:pStyle w:val="Compact"/>
                    <w:jc w:val="left"/>
                    <w:jc w:val="center"/>
                  </w:pPr>
                  <w:r>
                    <w:t xml:space="preserve">13,825 (23.7%)</w:t>
                  </w:r>
                </w:p>
              </w:tc>
              <w:tc>
                <w:tcPr/>
                <w:p>
                  <w:pPr>
                    <w:pStyle w:val="Compact"/>
                  </w:pPr>
                </w:p>
              </w:tc>
            </w:tr>
            <w:tr>
              <w:tc>
                <w:tcPr/>
                <w:p>
                  <w:pPr>
                    <w:pStyle w:val="Compact"/>
                    <w:jc w:val="left"/>
                    <w:jc w:val="center"/>
                  </w:pPr>
                  <w:r>
                    <w:t xml:space="preserve">Q4</w:t>
                  </w:r>
                </w:p>
              </w:tc>
              <w:tc>
                <w:tcPr/>
                <w:p>
                  <w:pPr>
                    <w:pStyle w:val="Compact"/>
                    <w:jc w:val="left"/>
                    <w:jc w:val="center"/>
                  </w:pPr>
                  <w:r>
                    <w:t xml:space="preserve">47,240 (18.9%)</w:t>
                  </w:r>
                </w:p>
              </w:tc>
              <w:tc>
                <w:tcPr/>
                <w:p>
                  <w:pPr>
                    <w:pStyle w:val="Compact"/>
                    <w:jc w:val="left"/>
                    <w:jc w:val="center"/>
                  </w:pPr>
                  <w:r>
                    <w:t xml:space="preserve">35,295 (18.5%)</w:t>
                  </w:r>
                </w:p>
              </w:tc>
              <w:tc>
                <w:tcPr/>
                <w:p>
                  <w:pPr>
                    <w:pStyle w:val="Compact"/>
                    <w:jc w:val="left"/>
                    <w:jc w:val="center"/>
                  </w:pPr>
                  <w:r>
                    <w:t xml:space="preserve">11,945 (20.5%)</w:t>
                  </w:r>
                </w:p>
              </w:tc>
              <w:tc>
                <w:tcPr/>
                <w:p>
                  <w:pPr>
                    <w:pStyle w:val="Compact"/>
                  </w:pPr>
                </w:p>
              </w:tc>
            </w:tr>
            <w:tr>
              <w:tc>
                <w:tcPr/>
                <w:p>
                  <w:pPr>
                    <w:pStyle w:val="Compact"/>
                    <w:jc w:val="left"/>
                    <w:jc w:val="center"/>
                  </w:pPr>
                  <w:r>
                    <w:t xml:space="preserve">Unknown</w:t>
                  </w:r>
                </w:p>
              </w:tc>
              <w:tc>
                <w:tcPr/>
                <w:p>
                  <w:pPr>
                    <w:pStyle w:val="Compact"/>
                    <w:jc w:val="left"/>
                    <w:jc w:val="center"/>
                  </w:pPr>
                  <w:r>
                    <w:t xml:space="preserve">10,015 (4.0%)</w:t>
                  </w:r>
                </w:p>
              </w:tc>
              <w:tc>
                <w:tcPr/>
                <w:p>
                  <w:pPr>
                    <w:pStyle w:val="Compact"/>
                    <w:jc w:val="left"/>
                    <w:jc w:val="center"/>
                  </w:pPr>
                  <w:r>
                    <w:t xml:space="preserve">7,010 (3.7%)</w:t>
                  </w:r>
                </w:p>
              </w:tc>
              <w:tc>
                <w:tcPr/>
                <w:p>
                  <w:pPr>
                    <w:pStyle w:val="Compact"/>
                    <w:jc w:val="left"/>
                    <w:jc w:val="center"/>
                  </w:pPr>
                  <w:r>
                    <w:t xml:space="preserve">3,005 (5.2%)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2017–2019</w:t>
                  </w:r>
                </w:p>
              </w:tc>
              <w:tc>
                <w:tcPr/>
                <w:p>
                  <w:pPr>
                    <w:pStyle w:val="Compact"/>
                    <w:jc w:val="left"/>
                    <w:jc w:val="center"/>
                  </w:pPr>
                  <w:r>
                    <w:t xml:space="preserve">123,830 (49.6%)</w:t>
                  </w:r>
                </w:p>
              </w:tc>
              <w:tc>
                <w:tcPr/>
                <w:p>
                  <w:pPr>
                    <w:pStyle w:val="Compact"/>
                    <w:jc w:val="left"/>
                    <w:jc w:val="center"/>
                  </w:pPr>
                  <w:r>
                    <w:t xml:space="preserve">97,035 (50.7%)</w:t>
                  </w:r>
                </w:p>
              </w:tc>
              <w:tc>
                <w:tcPr/>
                <w:p>
                  <w:pPr>
                    <w:pStyle w:val="Compact"/>
                    <w:jc w:val="left"/>
                    <w:jc w:val="center"/>
                  </w:pPr>
                  <w:r>
                    <w:t xml:space="preserve">26,795 (46.0%)</w:t>
                  </w:r>
                </w:p>
              </w:tc>
              <w:tc>
                <w:tcPr/>
                <w:p>
                  <w:pPr>
                    <w:pStyle w:val="Compact"/>
                  </w:pPr>
                </w:p>
              </w:tc>
            </w:tr>
            <w:tr>
              <w:tc>
                <w:tcPr/>
                <w:p>
                  <w:pPr>
                    <w:pStyle w:val="Compact"/>
                    <w:jc w:val="left"/>
                    <w:jc w:val="center"/>
                  </w:pPr>
                  <w:r>
                    <w:t xml:space="preserve">2020</w:t>
                  </w:r>
                </w:p>
              </w:tc>
              <w:tc>
                <w:tcPr/>
                <w:p>
                  <w:pPr>
                    <w:pStyle w:val="Compact"/>
                    <w:jc w:val="left"/>
                    <w:jc w:val="center"/>
                  </w:pPr>
                  <w:r>
                    <w:t xml:space="preserve">43,375 (17.4%)</w:t>
                  </w:r>
                </w:p>
              </w:tc>
              <w:tc>
                <w:tcPr/>
                <w:p>
                  <w:pPr>
                    <w:pStyle w:val="Compact"/>
                    <w:jc w:val="left"/>
                    <w:jc w:val="center"/>
                  </w:pPr>
                  <w:r>
                    <w:t xml:space="preserve">32,850 (17.2%)</w:t>
                  </w:r>
                </w:p>
              </w:tc>
              <w:tc>
                <w:tcPr/>
                <w:p>
                  <w:pPr>
                    <w:pStyle w:val="Compact"/>
                    <w:jc w:val="left"/>
                    <w:jc w:val="center"/>
                  </w:pPr>
                  <w:r>
                    <w:t xml:space="preserve">10,525 (18.1%)</w:t>
                  </w:r>
                </w:p>
              </w:tc>
              <w:tc>
                <w:tcPr/>
                <w:p>
                  <w:pPr>
                    <w:pStyle w:val="Compact"/>
                  </w:pPr>
                </w:p>
              </w:tc>
            </w:tr>
            <w:tr>
              <w:tc>
                <w:tcPr/>
                <w:p>
                  <w:pPr>
                    <w:pStyle w:val="Compact"/>
                    <w:jc w:val="left"/>
                    <w:jc w:val="center"/>
                  </w:pPr>
                  <w:r>
                    <w:t xml:space="preserve">2021–2022</w:t>
                  </w:r>
                </w:p>
              </w:tc>
              <w:tc>
                <w:tcPr/>
                <w:p>
                  <w:pPr>
                    <w:pStyle w:val="Compact"/>
                    <w:jc w:val="left"/>
                    <w:jc w:val="center"/>
                  </w:pPr>
                  <w:r>
                    <w:t xml:space="preserve">82,365 (33.0%)</w:t>
                  </w:r>
                </w:p>
              </w:tc>
              <w:tc>
                <w:tcPr/>
                <w:p>
                  <w:pPr>
                    <w:pStyle w:val="Compact"/>
                    <w:jc w:val="left"/>
                    <w:jc w:val="center"/>
                  </w:pPr>
                  <w:r>
                    <w:t xml:space="preserve">61,415 (32.1%)</w:t>
                  </w:r>
                </w:p>
              </w:tc>
              <w:tc>
                <w:tcPr/>
                <w:p>
                  <w:pPr>
                    <w:pStyle w:val="Compact"/>
                    <w:jc w:val="left"/>
                    <w:jc w:val="center"/>
                  </w:pPr>
                  <w:r>
                    <w:t xml:space="preserve">20,950 (36.0%)</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Northeast</w:t>
                  </w:r>
                </w:p>
              </w:tc>
              <w:tc>
                <w:tcPr/>
                <w:p>
                  <w:pPr>
                    <w:pStyle w:val="Compact"/>
                    <w:jc w:val="left"/>
                    <w:jc w:val="center"/>
                  </w:pPr>
                  <w:r>
                    <w:t xml:space="preserve">42,520 (17.0%)</w:t>
                  </w:r>
                </w:p>
              </w:tc>
              <w:tc>
                <w:tcPr/>
                <w:p>
                  <w:pPr>
                    <w:pStyle w:val="Compact"/>
                    <w:jc w:val="left"/>
                    <w:jc w:val="center"/>
                  </w:pPr>
                  <w:r>
                    <w:t xml:space="preserve">31,325 (16.4%)</w:t>
                  </w:r>
                </w:p>
              </w:tc>
              <w:tc>
                <w:tcPr/>
                <w:p>
                  <w:pPr>
                    <w:pStyle w:val="Compact"/>
                    <w:jc w:val="left"/>
                    <w:jc w:val="center"/>
                  </w:pPr>
                  <w:r>
                    <w:t xml:space="preserve">11,195 (19.2%)</w:t>
                  </w:r>
                </w:p>
              </w:tc>
              <w:tc>
                <w:tcPr/>
                <w:p>
                  <w:pPr>
                    <w:pStyle w:val="Compact"/>
                  </w:pPr>
                </w:p>
              </w:tc>
            </w:tr>
            <w:tr>
              <w:tc>
                <w:tcPr/>
                <w:p>
                  <w:pPr>
                    <w:pStyle w:val="Compact"/>
                    <w:jc w:val="left"/>
                    <w:jc w:val="center"/>
                  </w:pPr>
                  <w:r>
                    <w:t xml:space="preserve">Midwest</w:t>
                  </w:r>
                </w:p>
              </w:tc>
              <w:tc>
                <w:tcPr/>
                <w:p>
                  <w:pPr>
                    <w:pStyle w:val="Compact"/>
                    <w:jc w:val="left"/>
                    <w:jc w:val="center"/>
                  </w:pPr>
                  <w:r>
                    <w:t xml:space="preserve">57,745 (23.1%)</w:t>
                  </w:r>
                </w:p>
              </w:tc>
              <w:tc>
                <w:tcPr/>
                <w:p>
                  <w:pPr>
                    <w:pStyle w:val="Compact"/>
                    <w:jc w:val="left"/>
                    <w:jc w:val="center"/>
                  </w:pPr>
                  <w:r>
                    <w:t xml:space="preserve">45,160 (23.6%)</w:t>
                  </w:r>
                </w:p>
              </w:tc>
              <w:tc>
                <w:tcPr/>
                <w:p>
                  <w:pPr>
                    <w:pStyle w:val="Compact"/>
                    <w:jc w:val="left"/>
                    <w:jc w:val="center"/>
                  </w:pPr>
                  <w:r>
                    <w:t xml:space="preserve">12,585 (21.6%)</w:t>
                  </w:r>
                </w:p>
              </w:tc>
              <w:tc>
                <w:tcPr/>
                <w:p>
                  <w:pPr>
                    <w:pStyle w:val="Compact"/>
                  </w:pPr>
                </w:p>
              </w:tc>
            </w:tr>
            <w:tr>
              <w:tc>
                <w:tcPr/>
                <w:p>
                  <w:pPr>
                    <w:pStyle w:val="Compact"/>
                    <w:jc w:val="left"/>
                    <w:jc w:val="center"/>
                  </w:pPr>
                  <w:r>
                    <w:t xml:space="preserve">South</w:t>
                  </w:r>
                </w:p>
              </w:tc>
              <w:tc>
                <w:tcPr/>
                <w:p>
                  <w:pPr>
                    <w:pStyle w:val="Compact"/>
                    <w:jc w:val="left"/>
                    <w:jc w:val="center"/>
                  </w:pPr>
                  <w:r>
                    <w:t xml:space="preserve">81,475 (32.6%)</w:t>
                  </w:r>
                </w:p>
              </w:tc>
              <w:tc>
                <w:tcPr/>
                <w:p>
                  <w:pPr>
                    <w:pStyle w:val="Compact"/>
                    <w:jc w:val="left"/>
                    <w:jc w:val="center"/>
                  </w:pPr>
                  <w:r>
                    <w:t xml:space="preserve">63,950 (33.4%)</w:t>
                  </w:r>
                </w:p>
              </w:tc>
              <w:tc>
                <w:tcPr/>
                <w:p>
                  <w:pPr>
                    <w:pStyle w:val="Compact"/>
                    <w:jc w:val="left"/>
                    <w:jc w:val="center"/>
                  </w:pPr>
                  <w:r>
                    <w:t xml:space="preserve">17,525 (30.1%)</w:t>
                  </w:r>
                </w:p>
              </w:tc>
              <w:tc>
                <w:tcPr/>
                <w:p>
                  <w:pPr>
                    <w:pStyle w:val="Compact"/>
                  </w:pPr>
                </w:p>
              </w:tc>
            </w:tr>
            <w:tr>
              <w:tc>
                <w:tcPr/>
                <w:p>
                  <w:pPr>
                    <w:pStyle w:val="Compact"/>
                    <w:jc w:val="left"/>
                    <w:jc w:val="center"/>
                  </w:pPr>
                  <w:r>
                    <w:t xml:space="preserve">West</w:t>
                  </w:r>
                </w:p>
              </w:tc>
              <w:tc>
                <w:tcPr/>
                <w:p>
                  <w:pPr>
                    <w:pStyle w:val="Compact"/>
                    <w:jc w:val="left"/>
                    <w:jc w:val="center"/>
                  </w:pPr>
                  <w:r>
                    <w:t xml:space="preserve">67,830 (27.2%)</w:t>
                  </w:r>
                </w:p>
              </w:tc>
              <w:tc>
                <w:tcPr/>
                <w:p>
                  <w:pPr>
                    <w:pStyle w:val="Compact"/>
                    <w:jc w:val="left"/>
                    <w:jc w:val="center"/>
                  </w:pPr>
                  <w:r>
                    <w:t xml:space="preserve">50,865 (26.6%)</w:t>
                  </w:r>
                </w:p>
              </w:tc>
              <w:tc>
                <w:tcPr/>
                <w:p>
                  <w:pPr>
                    <w:pStyle w:val="Compact"/>
                    <w:jc w:val="left"/>
                    <w:jc w:val="center"/>
                  </w:pPr>
                  <w:r>
                    <w:t xml:space="preserve">16,965 (29.1%)</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jc w:val="left"/>
                    <w:jc w:val="center"/>
                  </w:pPr>
                  <w:r>
                    <w:t xml:space="preserve">0.001</w:t>
                  </w:r>
                </w:p>
              </w:tc>
            </w:tr>
            <w:tr>
              <w:tc>
                <w:tcPr/>
                <w:p>
                  <w:pPr>
                    <w:pStyle w:val="Compact"/>
                    <w:jc w:val="left"/>
                    <w:jc w:val="center"/>
                  </w:pPr>
                  <w:r>
                    <w:t xml:space="preserve">Small</w:t>
                  </w:r>
                </w:p>
              </w:tc>
              <w:tc>
                <w:tcPr/>
                <w:p>
                  <w:pPr>
                    <w:pStyle w:val="Compact"/>
                    <w:jc w:val="left"/>
                    <w:jc w:val="center"/>
                  </w:pPr>
                  <w:r>
                    <w:t xml:space="preserve">25,450 (10.2%)</w:t>
                  </w:r>
                </w:p>
              </w:tc>
              <w:tc>
                <w:tcPr/>
                <w:p>
                  <w:pPr>
                    <w:pStyle w:val="Compact"/>
                    <w:jc w:val="left"/>
                    <w:jc w:val="center"/>
                  </w:pPr>
                  <w:r>
                    <w:t xml:space="preserve">18,955 (9.9%)</w:t>
                  </w:r>
                </w:p>
              </w:tc>
              <w:tc>
                <w:tcPr/>
                <w:p>
                  <w:pPr>
                    <w:pStyle w:val="Compact"/>
                    <w:jc w:val="left"/>
                    <w:jc w:val="center"/>
                  </w:pPr>
                  <w:r>
                    <w:t xml:space="preserve">6,495 (11.1%)</w:t>
                  </w:r>
                </w:p>
              </w:tc>
              <w:tc>
                <w:tcPr/>
                <w:p>
                  <w:pPr>
                    <w:pStyle w:val="Compact"/>
                  </w:pPr>
                </w:p>
              </w:tc>
            </w:tr>
            <w:tr>
              <w:tc>
                <w:tcPr/>
                <w:p>
                  <w:pPr>
                    <w:pStyle w:val="Compact"/>
                    <w:jc w:val="left"/>
                    <w:jc w:val="center"/>
                  </w:pPr>
                  <w:r>
                    <w:t xml:space="preserve">Medium</w:t>
                  </w:r>
                </w:p>
              </w:tc>
              <w:tc>
                <w:tcPr/>
                <w:p>
                  <w:pPr>
                    <w:pStyle w:val="Compact"/>
                    <w:jc w:val="left"/>
                    <w:jc w:val="center"/>
                  </w:pPr>
                  <w:r>
                    <w:t xml:space="preserve">65,185 (26.1%)</w:t>
                  </w:r>
                </w:p>
              </w:tc>
              <w:tc>
                <w:tcPr/>
                <w:p>
                  <w:pPr>
                    <w:pStyle w:val="Compact"/>
                    <w:jc w:val="left"/>
                    <w:jc w:val="center"/>
                  </w:pPr>
                  <w:r>
                    <w:t xml:space="preserve">49,750 (26.0%)</w:t>
                  </w:r>
                </w:p>
              </w:tc>
              <w:tc>
                <w:tcPr/>
                <w:p>
                  <w:pPr>
                    <w:pStyle w:val="Compact"/>
                    <w:jc w:val="left"/>
                    <w:jc w:val="center"/>
                  </w:pPr>
                  <w:r>
                    <w:t xml:space="preserve">15,435 (26.5%)</w:t>
                  </w:r>
                </w:p>
              </w:tc>
              <w:tc>
                <w:tcPr/>
                <w:p>
                  <w:pPr>
                    <w:pStyle w:val="Compact"/>
                  </w:pPr>
                </w:p>
              </w:tc>
            </w:tr>
            <w:tr>
              <w:tc>
                <w:tcPr/>
                <w:p>
                  <w:pPr>
                    <w:pStyle w:val="Compact"/>
                    <w:jc w:val="left"/>
                    <w:jc w:val="center"/>
                  </w:pPr>
                  <w:r>
                    <w:t xml:space="preserve">Large</w:t>
                  </w:r>
                </w:p>
              </w:tc>
              <w:tc>
                <w:tcPr/>
                <w:p>
                  <w:pPr>
                    <w:pStyle w:val="Compact"/>
                    <w:jc w:val="left"/>
                    <w:jc w:val="center"/>
                  </w:pPr>
                  <w:r>
                    <w:t xml:space="preserve">158,935 (63.7%)</w:t>
                  </w:r>
                </w:p>
              </w:tc>
              <w:tc>
                <w:tcPr/>
                <w:p>
                  <w:pPr>
                    <w:pStyle w:val="Compact"/>
                    <w:jc w:val="left"/>
                    <w:jc w:val="center"/>
                  </w:pPr>
                  <w:r>
                    <w:t xml:space="preserve">122,595 (64.1%)</w:t>
                  </w:r>
                </w:p>
              </w:tc>
              <w:tc>
                <w:tcPr/>
                <w:p>
                  <w:pPr>
                    <w:pStyle w:val="Compact"/>
                    <w:jc w:val="left"/>
                    <w:jc w:val="center"/>
                  </w:pPr>
                  <w:r>
                    <w:t xml:space="preserve">36,340 (62.4%)</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Rural</w:t>
                  </w:r>
                </w:p>
              </w:tc>
              <w:tc>
                <w:tcPr/>
                <w:p>
                  <w:pPr>
                    <w:pStyle w:val="Compact"/>
                    <w:jc w:val="left"/>
                    <w:jc w:val="center"/>
                  </w:pPr>
                  <w:r>
                    <w:t xml:space="preserve">5,605 (2.2%)</w:t>
                  </w:r>
                </w:p>
              </w:tc>
              <w:tc>
                <w:tcPr/>
                <w:p>
                  <w:pPr>
                    <w:pStyle w:val="Compact"/>
                    <w:jc w:val="left"/>
                    <w:jc w:val="center"/>
                  </w:pPr>
                  <w:r>
                    <w:t xml:space="preserve">4,190 (2.2%)</w:t>
                  </w:r>
                </w:p>
              </w:tc>
              <w:tc>
                <w:tcPr/>
                <w:p>
                  <w:pPr>
                    <w:pStyle w:val="Compact"/>
                    <w:jc w:val="left"/>
                    <w:jc w:val="center"/>
                  </w:pPr>
                  <w:r>
                    <w:t xml:space="preserve">1,415 (2.4%)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24,335 (9.8%)</w:t>
                  </w:r>
                </w:p>
              </w:tc>
              <w:tc>
                <w:tcPr/>
                <w:p>
                  <w:pPr>
                    <w:pStyle w:val="Compact"/>
                    <w:jc w:val="left"/>
                    <w:jc w:val="center"/>
                  </w:pPr>
                  <w:r>
                    <w:t xml:space="preserve">17,945 (9.4%)</w:t>
                  </w:r>
                </w:p>
              </w:tc>
              <w:tc>
                <w:tcPr/>
                <w:p>
                  <w:pPr>
                    <w:pStyle w:val="Compact"/>
                    <w:jc w:val="left"/>
                    <w:jc w:val="center"/>
                  </w:pPr>
                  <w:r>
                    <w:t xml:space="preserve">6,390 (11.0%)</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219,630 (88.0%)</w:t>
                  </w:r>
                </w:p>
              </w:tc>
              <w:tc>
                <w:tcPr/>
                <w:p>
                  <w:pPr>
                    <w:pStyle w:val="Compact"/>
                    <w:jc w:val="left"/>
                    <w:jc w:val="center"/>
                  </w:pPr>
                  <w:r>
                    <w:t xml:space="preserve">169,165 (88.4%)</w:t>
                  </w:r>
                </w:p>
              </w:tc>
              <w:tc>
                <w:tcPr/>
                <w:p>
                  <w:pPr>
                    <w:pStyle w:val="Compact"/>
                    <w:jc w:val="left"/>
                    <w:jc w:val="center"/>
                  </w:pPr>
                  <w:r>
                    <w:t xml:space="preserve">50,465 (86.6%)</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Concussion, other or unspecified only</w:t>
                  </w:r>
                </w:p>
              </w:tc>
              <w:tc>
                <w:tcPr/>
                <w:p>
                  <w:pPr>
                    <w:pStyle w:val="Compact"/>
                    <w:jc w:val="left"/>
                    <w:jc w:val="center"/>
                  </w:pPr>
                  <w:r>
                    <w:t xml:space="preserve">59,690 (23.9%)</w:t>
                  </w:r>
                </w:p>
              </w:tc>
              <w:tc>
                <w:tcPr/>
                <w:p>
                  <w:pPr>
                    <w:pStyle w:val="Compact"/>
                    <w:jc w:val="left"/>
                    <w:jc w:val="center"/>
                  </w:pPr>
                  <w:r>
                    <w:t xml:space="preserve">48,555 (25.4%)</w:t>
                  </w:r>
                </w:p>
              </w:tc>
              <w:tc>
                <w:tcPr/>
                <w:p>
                  <w:pPr>
                    <w:pStyle w:val="Compact"/>
                    <w:jc w:val="left"/>
                    <w:jc w:val="center"/>
                  </w:pPr>
                  <w:r>
                    <w:t xml:space="preserve">11,135 (19.1%)</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17,425 (7.0%)</w:t>
                  </w:r>
                </w:p>
              </w:tc>
              <w:tc>
                <w:tcPr/>
                <w:p>
                  <w:pPr>
                    <w:pStyle w:val="Compact"/>
                    <w:jc w:val="left"/>
                    <w:jc w:val="center"/>
                  </w:pPr>
                  <w:r>
                    <w:t xml:space="preserve">13,230 (6.9%)</w:t>
                  </w:r>
                </w:p>
              </w:tc>
              <w:tc>
                <w:tcPr/>
                <w:p>
                  <w:pPr>
                    <w:pStyle w:val="Compact"/>
                    <w:jc w:val="left"/>
                    <w:jc w:val="center"/>
                  </w:pPr>
                  <w:r>
                    <w:t xml:space="preserve">4,195 (7.2%)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10,290 (4.1%)</w:t>
                  </w:r>
                </w:p>
              </w:tc>
              <w:tc>
                <w:tcPr/>
                <w:p>
                  <w:pPr>
                    <w:pStyle w:val="Compact"/>
                    <w:jc w:val="left"/>
                    <w:jc w:val="center"/>
                  </w:pPr>
                  <w:r>
                    <w:t xml:space="preserve">8,075 (4.2%)</w:t>
                  </w:r>
                </w:p>
              </w:tc>
              <w:tc>
                <w:tcPr/>
                <w:p>
                  <w:pPr>
                    <w:pStyle w:val="Compact"/>
                    <w:jc w:val="left"/>
                    <w:jc w:val="center"/>
                  </w:pPr>
                  <w:r>
                    <w:t xml:space="preserve">2,215 (3.8%)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102,945 (41.2%)</w:t>
                  </w:r>
                </w:p>
              </w:tc>
              <w:tc>
                <w:tcPr/>
                <w:p>
                  <w:pPr>
                    <w:pStyle w:val="Compact"/>
                    <w:jc w:val="left"/>
                    <w:jc w:val="center"/>
                  </w:pPr>
                  <w:r>
                    <w:t xml:space="preserve">75,315 (39.4%)</w:t>
                  </w:r>
                </w:p>
              </w:tc>
              <w:tc>
                <w:tcPr/>
                <w:p>
                  <w:pPr>
                    <w:pStyle w:val="Compact"/>
                    <w:jc w:val="left"/>
                    <w:jc w:val="center"/>
                  </w:pPr>
                  <w:r>
                    <w:t xml:space="preserve">27,630 (47.4%)</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59,220 (23.7%)</w:t>
                  </w:r>
                </w:p>
              </w:tc>
              <w:tc>
                <w:tcPr/>
                <w:p>
                  <w:pPr>
                    <w:pStyle w:val="Compact"/>
                    <w:jc w:val="left"/>
                    <w:jc w:val="center"/>
                  </w:pPr>
                  <w:r>
                    <w:t xml:space="preserve">46,125 (24.1%)</w:t>
                  </w:r>
                </w:p>
              </w:tc>
              <w:tc>
                <w:tcPr/>
                <w:p>
                  <w:pPr>
                    <w:pStyle w:val="Compact"/>
                    <w:jc w:val="left"/>
                    <w:jc w:val="center"/>
                  </w:pPr>
                  <w:r>
                    <w:t xml:space="preserve">13,095 (22.5%)</w:t>
                  </w:r>
                </w:p>
              </w:tc>
              <w:tc>
                <w:tcPr/>
                <w:p>
                  <w:pPr>
                    <w:pStyle w:val="Compact"/>
                  </w:pPr>
                </w:p>
              </w:tc>
            </w:tr>
            <w:tr>
              <w:tc>
                <w:tcPr/>
                <w:p>
                  <w:pPr>
                    <w:pStyle w:val="Compact"/>
                    <w:jc w:val="left"/>
                    <w:jc w:val="center"/>
                  </w:pPr>
                  <w:r>
                    <w:t xml:space="preserve">Skull fracture</w:t>
                  </w:r>
                </w:p>
              </w:tc>
              <w:tc>
                <w:tcPr/>
                <w:p>
                  <w:pPr>
                    <w:pStyle w:val="Compact"/>
                    <w:jc w:val="left"/>
                    <w:jc w:val="center"/>
                  </w:pPr>
                  <w:r>
                    <w:t xml:space="preserve">50,520 (20.2%)</w:t>
                  </w:r>
                </w:p>
              </w:tc>
              <w:tc>
                <w:tcPr/>
                <w:p>
                  <w:pPr>
                    <w:pStyle w:val="Compact"/>
                    <w:jc w:val="left"/>
                    <w:jc w:val="center"/>
                  </w:pPr>
                  <w:r>
                    <w:t xml:space="preserve">41,215 (21.5%)</w:t>
                  </w:r>
                </w:p>
              </w:tc>
              <w:tc>
                <w:tcPr/>
                <w:p>
                  <w:pPr>
                    <w:pStyle w:val="Compact"/>
                    <w:jc w:val="left"/>
                    <w:jc w:val="center"/>
                  </w:pPr>
                  <w:r>
                    <w:t xml:space="preserve">9,305 (16.0%)</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jc w:val="left"/>
                    <w:jc w:val="center"/>
                  </w:pPr>
                  <w:r>
                    <w:t xml:space="preserve">113,500 (45.5%)</w:t>
                  </w:r>
                </w:p>
              </w:tc>
              <w:tc>
                <w:tcPr/>
                <w:p>
                  <w:pPr>
                    <w:pStyle w:val="Compact"/>
                    <w:jc w:val="left"/>
                    <w:jc w:val="center"/>
                  </w:pPr>
                  <w:r>
                    <w:t xml:space="preserve">91,155 (47.7%)</w:t>
                  </w:r>
                </w:p>
              </w:tc>
              <w:tc>
                <w:tcPr/>
                <w:p>
                  <w:pPr>
                    <w:pStyle w:val="Compact"/>
                    <w:jc w:val="left"/>
                    <w:jc w:val="center"/>
                  </w:pPr>
                  <w:r>
                    <w:t xml:space="preserve">22,345 (38.3%)</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169,495 (67.9%)</w:t>
                  </w:r>
                </w:p>
              </w:tc>
              <w:tc>
                <w:tcPr/>
                <w:p>
                  <w:pPr>
                    <w:pStyle w:val="Compact"/>
                    <w:jc w:val="left"/>
                    <w:jc w:val="center"/>
                  </w:pPr>
                  <w:r>
                    <w:t xml:space="preserve">130,580 (68.3%)</w:t>
                  </w:r>
                </w:p>
              </w:tc>
              <w:tc>
                <w:tcPr/>
                <w:p>
                  <w:pPr>
                    <w:pStyle w:val="Compact"/>
                    <w:jc w:val="left"/>
                    <w:jc w:val="center"/>
                  </w:pPr>
                  <w:r>
                    <w:t xml:space="preserve">38,915 (66.8%)</w:t>
                  </w:r>
                </w:p>
              </w:tc>
              <w:tc>
                <w:tcPr/>
                <w:p>
                  <w:pPr>
                    <w:pStyle w:val="Compact"/>
                    <w:jc w:val="left"/>
                    <w:jc w:val="center"/>
                  </w:pPr>
                  <w:r>
                    <w:t xml:space="preserve">0.004</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0</w:t>
                  </w:r>
                </w:p>
              </w:tc>
              <w:tc>
                <w:tcPr/>
                <w:p>
                  <w:pPr>
                    <w:pStyle w:val="Compact"/>
                    <w:jc w:val="left"/>
                    <w:jc w:val="center"/>
                  </w:pPr>
                  <w:r>
                    <w:t xml:space="preserve">88,240 (35.4%)</w:t>
                  </w:r>
                </w:p>
              </w:tc>
              <w:tc>
                <w:tcPr/>
                <w:p>
                  <w:pPr>
                    <w:pStyle w:val="Compact"/>
                    <w:jc w:val="left"/>
                    <w:jc w:val="center"/>
                  </w:pPr>
                  <w:r>
                    <w:t xml:space="preserve">74,960 (39.2%)</w:t>
                  </w:r>
                </w:p>
              </w:tc>
              <w:tc>
                <w:tcPr/>
                <w:p>
                  <w:pPr>
                    <w:pStyle w:val="Compact"/>
                    <w:jc w:val="left"/>
                    <w:jc w:val="center"/>
                  </w:pPr>
                  <w:r>
                    <w:t xml:space="preserve">13,280 (22.8%)</w:t>
                  </w:r>
                </w:p>
              </w:tc>
              <w:tc>
                <w:tcPr/>
                <w:p>
                  <w:pPr>
                    <w:pStyle w:val="Compact"/>
                  </w:pPr>
                </w:p>
              </w:tc>
            </w:tr>
            <w:tr>
              <w:tc>
                <w:tcPr/>
                <w:p>
                  <w:pPr>
                    <w:pStyle w:val="Compact"/>
                    <w:jc w:val="left"/>
                    <w:jc w:val="center"/>
                  </w:pPr>
                  <w:r>
                    <w:t xml:space="preserve">1</w:t>
                  </w:r>
                </w:p>
              </w:tc>
              <w:tc>
                <w:tcPr/>
                <w:p>
                  <w:pPr>
                    <w:pStyle w:val="Compact"/>
                    <w:jc w:val="left"/>
                    <w:jc w:val="center"/>
                  </w:pPr>
                  <w:r>
                    <w:t xml:space="preserve">72,700 (29.1%)</w:t>
                  </w:r>
                </w:p>
              </w:tc>
              <w:tc>
                <w:tcPr/>
                <w:p>
                  <w:pPr>
                    <w:pStyle w:val="Compact"/>
                    <w:jc w:val="left"/>
                    <w:jc w:val="center"/>
                  </w:pPr>
                  <w:r>
                    <w:t xml:space="preserve">54,345 (28.4%)</w:t>
                  </w:r>
                </w:p>
              </w:tc>
              <w:tc>
                <w:tcPr/>
                <w:p>
                  <w:pPr>
                    <w:pStyle w:val="Compact"/>
                    <w:jc w:val="left"/>
                    <w:jc w:val="center"/>
                  </w:pPr>
                  <w:r>
                    <w:t xml:space="preserve">18,355 (31.5%)</w:t>
                  </w:r>
                </w:p>
              </w:tc>
              <w:tc>
                <w:tcPr/>
                <w:p>
                  <w:pPr>
                    <w:pStyle w:val="Compact"/>
                  </w:pPr>
                </w:p>
              </w:tc>
            </w:tr>
            <w:tr>
              <w:tc>
                <w:tcPr/>
                <w:p>
                  <w:pPr>
                    <w:pStyle w:val="Compact"/>
                    <w:jc w:val="left"/>
                    <w:jc w:val="center"/>
                  </w:pPr>
                  <w:r>
                    <w:t xml:space="preserve">2</w:t>
                  </w:r>
                </w:p>
              </w:tc>
              <w:tc>
                <w:tcPr/>
                <w:p>
                  <w:pPr>
                    <w:pStyle w:val="Compact"/>
                    <w:jc w:val="left"/>
                    <w:jc w:val="center"/>
                  </w:pPr>
                  <w:r>
                    <w:t xml:space="preserve">46,225 (18.5%)</w:t>
                  </w:r>
                </w:p>
              </w:tc>
              <w:tc>
                <w:tcPr/>
                <w:p>
                  <w:pPr>
                    <w:pStyle w:val="Compact"/>
                    <w:jc w:val="left"/>
                    <w:jc w:val="center"/>
                  </w:pPr>
                  <w:r>
                    <w:t xml:space="preserve">32,285 (16.9%)</w:t>
                  </w:r>
                </w:p>
              </w:tc>
              <w:tc>
                <w:tcPr/>
                <w:p>
                  <w:pPr>
                    <w:pStyle w:val="Compact"/>
                    <w:jc w:val="left"/>
                    <w:jc w:val="center"/>
                  </w:pPr>
                  <w:r>
                    <w:t xml:space="preserve">13,940 (23.9%)</w:t>
                  </w:r>
                </w:p>
              </w:tc>
              <w:tc>
                <w:tcPr/>
                <w:p>
                  <w:pPr>
                    <w:pStyle w:val="Compact"/>
                  </w:pPr>
                </w:p>
              </w:tc>
            </w:tr>
            <w:tr>
              <w:tc>
                <w:tcPr/>
                <w:p>
                  <w:pPr>
                    <w:pStyle w:val="Compact"/>
                    <w:jc w:val="left"/>
                    <w:jc w:val="center"/>
                  </w:pPr>
                  <w:r>
                    <w:t xml:space="preserve">&gt;=3</w:t>
                  </w:r>
                </w:p>
              </w:tc>
              <w:tc>
                <w:tcPr/>
                <w:p>
                  <w:pPr>
                    <w:pStyle w:val="Compact"/>
                    <w:jc w:val="left"/>
                    <w:jc w:val="center"/>
                  </w:pPr>
                  <w:r>
                    <w:t xml:space="preserve">42,405 (17.0%)</w:t>
                  </w:r>
                </w:p>
              </w:tc>
              <w:tc>
                <w:tcPr/>
                <w:p>
                  <w:pPr>
                    <w:pStyle w:val="Compact"/>
                    <w:jc w:val="left"/>
                    <w:jc w:val="center"/>
                  </w:pPr>
                  <w:r>
                    <w:t xml:space="preserve">29,710 (15.5%)</w:t>
                  </w:r>
                </w:p>
              </w:tc>
              <w:tc>
                <w:tcPr/>
                <w:p>
                  <w:pPr>
                    <w:pStyle w:val="Compact"/>
                    <w:jc w:val="left"/>
                    <w:jc w:val="center"/>
                  </w:pPr>
                  <w:r>
                    <w:t xml:space="preserve">12,695 (21.8%)</w:t>
                  </w:r>
                </w:p>
              </w:tc>
              <w:tc>
                <w:tcPr/>
                <w:p>
                  <w:pPr>
                    <w:pStyle w:val="Compact"/>
                  </w:pPr>
                </w:p>
              </w:tc>
            </w:tr>
            <w:tr>
              <w:tc>
                <w:tcPr/>
                <w:p>
                  <w:pPr>
                    <w:pStyle w:val="Compact"/>
                    <w:jc w:val="left"/>
                    <w:jc w:val="center"/>
                  </w:pPr>
                  <w:r>
                    <w:t xml:space="preserve">Hypertension</w:t>
                  </w:r>
                </w:p>
              </w:tc>
              <w:tc>
                <w:tcPr/>
                <w:p>
                  <w:pPr>
                    <w:pStyle w:val="Compact"/>
                    <w:jc w:val="left"/>
                    <w:jc w:val="center"/>
                  </w:pPr>
                  <w:r>
                    <w:t xml:space="preserve">110,430 (44.2%)</w:t>
                  </w:r>
                </w:p>
              </w:tc>
              <w:tc>
                <w:tcPr/>
                <w:p>
                  <w:pPr>
                    <w:pStyle w:val="Compact"/>
                    <w:jc w:val="left"/>
                    <w:jc w:val="center"/>
                  </w:pPr>
                  <w:r>
                    <w:t xml:space="preserve">78,965 (41.3%)</w:t>
                  </w:r>
                </w:p>
              </w:tc>
              <w:tc>
                <w:tcPr/>
                <w:p>
                  <w:pPr>
                    <w:pStyle w:val="Compact"/>
                    <w:jc w:val="left"/>
                    <w:jc w:val="center"/>
                  </w:pPr>
                  <w:r>
                    <w:t xml:space="preserve">31,465 (54.0%)</w:t>
                  </w:r>
                </w:p>
              </w:tc>
              <w:tc>
                <w:tcPr/>
                <w:p>
                  <w:pPr>
                    <w:pStyle w:val="Compact"/>
                    <w:jc w:val="left"/>
                    <w:jc w:val="center"/>
                  </w:pPr>
                  <w:r>
                    <w:t xml:space="preserve">&lt;0.001</w:t>
                  </w:r>
                </w:p>
              </w:tc>
            </w:tr>
            <w:tr>
              <w:tc>
                <w:tcPr/>
                <w:p>
                  <w:pPr>
                    <w:pStyle w:val="Compact"/>
                    <w:jc w:val="left"/>
                    <w:jc w:val="center"/>
                  </w:pPr>
                  <w:r>
                    <w:t xml:space="preserve">Diabetes mellitus</w:t>
                  </w:r>
                </w:p>
              </w:tc>
              <w:tc>
                <w:tcPr/>
                <w:p>
                  <w:pPr>
                    <w:pStyle w:val="Compact"/>
                    <w:jc w:val="left"/>
                    <w:jc w:val="center"/>
                  </w:pPr>
                  <w:r>
                    <w:t xml:space="preserve">26,935 (10.8%)</w:t>
                  </w:r>
                </w:p>
              </w:tc>
              <w:tc>
                <w:tcPr/>
                <w:p>
                  <w:pPr>
                    <w:pStyle w:val="Compact"/>
                    <w:jc w:val="left"/>
                    <w:jc w:val="center"/>
                  </w:pPr>
                  <w:r>
                    <w:t xml:space="preserve">20,550 (10.7%)</w:t>
                  </w:r>
                </w:p>
              </w:tc>
              <w:tc>
                <w:tcPr/>
                <w:p>
                  <w:pPr>
                    <w:pStyle w:val="Compact"/>
                    <w:jc w:val="left"/>
                    <w:jc w:val="center"/>
                  </w:pPr>
                  <w:r>
                    <w:t xml:space="preserve">6,385 (11.0%)</w:t>
                  </w:r>
                </w:p>
              </w:tc>
              <w:tc>
                <w:tcPr/>
                <w:p>
                  <w:pPr>
                    <w:pStyle w:val="Compact"/>
                    <w:jc w:val="left"/>
                    <w:jc w:val="center"/>
                  </w:pPr>
                  <w:r>
                    <w:t xml:space="preserve">0.5</w:t>
                  </w:r>
                </w:p>
              </w:tc>
            </w:tr>
            <w:tr>
              <w:tc>
                <w:tcPr/>
                <w:p>
                  <w:pPr>
                    <w:pStyle w:val="Compact"/>
                    <w:jc w:val="left"/>
                    <w:jc w:val="center"/>
                  </w:pPr>
                  <w:r>
                    <w:t xml:space="preserve">Chronic pulmonary disease</w:t>
                  </w:r>
                </w:p>
              </w:tc>
              <w:tc>
                <w:tcPr/>
                <w:p>
                  <w:pPr>
                    <w:pStyle w:val="Compact"/>
                    <w:jc w:val="left"/>
                    <w:jc w:val="center"/>
                  </w:pPr>
                  <w:r>
                    <w:t xml:space="preserve">30,550 (12.2%)</w:t>
                  </w:r>
                </w:p>
              </w:tc>
              <w:tc>
                <w:tcPr/>
                <w:p>
                  <w:pPr>
                    <w:pStyle w:val="Compact"/>
                    <w:jc w:val="left"/>
                    <w:jc w:val="center"/>
                  </w:pPr>
                  <w:r>
                    <w:t xml:space="preserve">22,120 (11.6%)</w:t>
                  </w:r>
                </w:p>
              </w:tc>
              <w:tc>
                <w:tcPr/>
                <w:p>
                  <w:pPr>
                    <w:pStyle w:val="Compact"/>
                    <w:jc w:val="left"/>
                    <w:jc w:val="center"/>
                  </w:pPr>
                  <w:r>
                    <w:t xml:space="preserve">8,430 (14.5%)</w:t>
                  </w:r>
                </w:p>
              </w:tc>
              <w:tc>
                <w:tcPr/>
                <w:p>
                  <w:pPr>
                    <w:pStyle w:val="Compact"/>
                    <w:jc w:val="left"/>
                    <w:jc w:val="center"/>
                  </w:pPr>
                  <w:r>
                    <w:t xml:space="preserve">&lt;0.001</w:t>
                  </w:r>
                </w:p>
              </w:tc>
            </w:tr>
            <w:tr>
              <w:tc>
                <w:tcPr/>
                <w:p>
                  <w:pPr>
                    <w:pStyle w:val="Compact"/>
                    <w:jc w:val="left"/>
                    <w:jc w:val="center"/>
                  </w:pPr>
                  <w:r>
                    <w:t xml:space="preserve">Heart failure</w:t>
                  </w:r>
                </w:p>
              </w:tc>
              <w:tc>
                <w:tcPr/>
                <w:p>
                  <w:pPr>
                    <w:pStyle w:val="Compact"/>
                    <w:jc w:val="left"/>
                    <w:jc w:val="center"/>
                  </w:pPr>
                  <w:r>
                    <w:t xml:space="preserve">12,130 (4.9%)</w:t>
                  </w:r>
                </w:p>
              </w:tc>
              <w:tc>
                <w:tcPr/>
                <w:p>
                  <w:pPr>
                    <w:pStyle w:val="Compact"/>
                    <w:jc w:val="left"/>
                    <w:jc w:val="center"/>
                  </w:pPr>
                  <w:r>
                    <w:t xml:space="preserve">8,245 (4.3%)</w:t>
                  </w:r>
                </w:p>
              </w:tc>
              <w:tc>
                <w:tcPr/>
                <w:p>
                  <w:pPr>
                    <w:pStyle w:val="Compact"/>
                    <w:jc w:val="left"/>
                    <w:jc w:val="center"/>
                  </w:pPr>
                  <w:r>
                    <w:t xml:space="preserve">3,885 (6.7%)</w:t>
                  </w:r>
                </w:p>
              </w:tc>
              <w:tc>
                <w:tcPr/>
                <w:p>
                  <w:pPr>
                    <w:pStyle w:val="Compact"/>
                    <w:jc w:val="left"/>
                    <w:jc w:val="center"/>
                  </w:pPr>
                  <w:r>
                    <w:t xml:space="preserve">&lt;0.001</w:t>
                  </w:r>
                </w:p>
              </w:tc>
            </w:tr>
            <w:tr>
              <w:tc>
                <w:tcPr/>
                <w:p>
                  <w:pPr>
                    <w:pStyle w:val="Compact"/>
                    <w:jc w:val="left"/>
                    <w:jc w:val="center"/>
                  </w:pPr>
                  <w:r>
                    <w:t xml:space="preserve">Chronic kidney disease</w:t>
                  </w:r>
                </w:p>
              </w:tc>
              <w:tc>
                <w:tcPr/>
                <w:p>
                  <w:pPr>
                    <w:pStyle w:val="Compact"/>
                    <w:jc w:val="left"/>
                    <w:jc w:val="center"/>
                  </w:pPr>
                  <w:r>
                    <w:t xml:space="preserve">7,815 (3.1%)</w:t>
                  </w:r>
                </w:p>
              </w:tc>
              <w:tc>
                <w:tcPr/>
                <w:p>
                  <w:pPr>
                    <w:pStyle w:val="Compact"/>
                    <w:jc w:val="left"/>
                    <w:jc w:val="center"/>
                  </w:pPr>
                  <w:r>
                    <w:t xml:space="preserve">6,055 (3.2%)</w:t>
                  </w:r>
                </w:p>
              </w:tc>
              <w:tc>
                <w:tcPr/>
                <w:p>
                  <w:pPr>
                    <w:pStyle w:val="Compact"/>
                    <w:jc w:val="left"/>
                    <w:jc w:val="center"/>
                  </w:pPr>
                  <w:r>
                    <w:t xml:space="preserve">1,760 (3.0%)</w:t>
                  </w:r>
                </w:p>
              </w:tc>
              <w:tc>
                <w:tcPr/>
                <w:p>
                  <w:pPr>
                    <w:pStyle w:val="Compact"/>
                    <w:jc w:val="left"/>
                    <w:jc w:val="center"/>
                  </w:pPr>
                  <w:r>
                    <w:t xml:space="preserve">0.4</w:t>
                  </w:r>
                </w:p>
              </w:tc>
            </w:tr>
            <w:tr>
              <w:tc>
                <w:tcPr/>
                <w:p>
                  <w:pPr>
                    <w:pStyle w:val="Compact"/>
                    <w:jc w:val="left"/>
                    <w:jc w:val="center"/>
                  </w:pPr>
                  <w:r>
                    <w:t xml:space="preserve">Depression</w:t>
                  </w:r>
                </w:p>
              </w:tc>
              <w:tc>
                <w:tcPr/>
                <w:p>
                  <w:pPr>
                    <w:pStyle w:val="Compact"/>
                    <w:jc w:val="left"/>
                    <w:jc w:val="center"/>
                  </w:pPr>
                  <w:r>
                    <w:t xml:space="preserve">33,620 (13.5%)</w:t>
                  </w:r>
                </w:p>
              </w:tc>
              <w:tc>
                <w:tcPr/>
                <w:p>
                  <w:pPr>
                    <w:pStyle w:val="Compact"/>
                    <w:jc w:val="left"/>
                    <w:jc w:val="center"/>
                  </w:pPr>
                  <w:r>
                    <w:t xml:space="preserve">23,235 (12.1%)</w:t>
                  </w:r>
                </w:p>
              </w:tc>
              <w:tc>
                <w:tcPr/>
                <w:p>
                  <w:pPr>
                    <w:pStyle w:val="Compact"/>
                    <w:jc w:val="left"/>
                    <w:jc w:val="center"/>
                  </w:pPr>
                  <w:r>
                    <w:t xml:space="preserve">10,385 (17.8%)</w:t>
                  </w:r>
                </w:p>
              </w:tc>
              <w:tc>
                <w:tcPr/>
                <w:p>
                  <w:pPr>
                    <w:pStyle w:val="Compact"/>
                    <w:jc w:val="left"/>
                    <w:jc w:val="center"/>
                  </w:pPr>
                  <w:r>
                    <w:t xml:space="preserve">&lt;0.001</w:t>
                  </w:r>
                </w:p>
              </w:tc>
            </w:tr>
            <w:tr>
              <w:tc>
                <w:tcPr/>
                <w:p>
                  <w:pPr>
                    <w:pStyle w:val="Compact"/>
                    <w:jc w:val="left"/>
                    <w:jc w:val="center"/>
                  </w:pPr>
                  <w:r>
                    <w:t xml:space="preserve">Obesity</w:t>
                  </w:r>
                </w:p>
              </w:tc>
              <w:tc>
                <w:tcPr/>
                <w:p>
                  <w:pPr>
                    <w:pStyle w:val="Compact"/>
                    <w:jc w:val="left"/>
                    <w:jc w:val="center"/>
                  </w:pPr>
                  <w:r>
                    <w:t xml:space="preserve">13,865 (5.6%)</w:t>
                  </w:r>
                </w:p>
              </w:tc>
              <w:tc>
                <w:tcPr/>
                <w:p>
                  <w:pPr>
                    <w:pStyle w:val="Compact"/>
                    <w:jc w:val="left"/>
                    <w:jc w:val="center"/>
                  </w:pPr>
                  <w:r>
                    <w:t xml:space="preserve">10,705 (5.6%)</w:t>
                  </w:r>
                </w:p>
              </w:tc>
              <w:tc>
                <w:tcPr/>
                <w:p>
                  <w:pPr>
                    <w:pStyle w:val="Compact"/>
                    <w:jc w:val="left"/>
                    <w:jc w:val="center"/>
                  </w:pPr>
                  <w:r>
                    <w:t xml:space="preserve">3,160 (5.4%)</w:t>
                  </w:r>
                </w:p>
              </w:tc>
              <w:tc>
                <w:tcPr/>
                <w:p>
                  <w:pPr>
                    <w:pStyle w:val="Compact"/>
                    <w:jc w:val="left"/>
                    <w:jc w:val="center"/>
                  </w:pPr>
                  <w:r>
                    <w:t xml:space="preserve">0.5</w:t>
                  </w:r>
                </w:p>
              </w:tc>
            </w:tr>
            <w:tr>
              <w:tc>
                <w:tcPr/>
                <w:p>
                  <w:pPr>
                    <w:pStyle w:val="Compact"/>
                    <w:jc w:val="left"/>
                    <w:jc w:val="center"/>
                  </w:pPr>
                  <w:r>
                    <w:t xml:space="preserve">Any liver disease (K70–K77)</w:t>
                  </w:r>
                </w:p>
              </w:tc>
              <w:tc>
                <w:tcPr/>
                <w:p>
                  <w:pPr>
                    <w:pStyle w:val="Compact"/>
                    <w:jc w:val="left"/>
                    <w:jc w:val="center"/>
                  </w:pPr>
                  <w:r>
                    <w:t xml:space="preserve">35,040 (14.0%)</w:t>
                  </w:r>
                </w:p>
              </w:tc>
              <w:tc>
                <w:tcPr/>
                <w:p>
                  <w:pPr>
                    <w:pStyle w:val="Compact"/>
                    <w:jc w:val="left"/>
                    <w:jc w:val="center"/>
                  </w:pPr>
                  <w:r>
                    <w:t xml:space="preserve">19,715 (10.3%)</w:t>
                  </w:r>
                </w:p>
              </w:tc>
              <w:tc>
                <w:tcPr/>
                <w:p>
                  <w:pPr>
                    <w:pStyle w:val="Compact"/>
                    <w:jc w:val="left"/>
                    <w:jc w:val="center"/>
                  </w:pPr>
                  <w:r>
                    <w:t xml:space="preserve">15,325 (26.3%)</w:t>
                  </w:r>
                </w:p>
              </w:tc>
              <w:tc>
                <w:tcPr/>
                <w:p>
                  <w:pPr>
                    <w:pStyle w:val="Compact"/>
                    <w:jc w:val="left"/>
                    <w:jc w:val="center"/>
                  </w:pPr>
                  <w:r>
                    <w:t xml:space="preserve">&lt;0.001</w:t>
                  </w:r>
                </w:p>
              </w:tc>
            </w:tr>
            <w:tr>
              <w:tc>
                <w:tcPr/>
                <w:p>
                  <w:pPr>
                    <w:pStyle w:val="Compact"/>
                    <w:jc w:val="left"/>
                    <w:jc w:val="center"/>
                  </w:pPr>
                  <w:r>
                    <w:t xml:space="preserve">Alcoholic liver disease (K70)</w:t>
                  </w:r>
                </w:p>
              </w:tc>
              <w:tc>
                <w:tcPr/>
                <w:p>
                  <w:pPr>
                    <w:pStyle w:val="Compact"/>
                    <w:jc w:val="left"/>
                    <w:jc w:val="center"/>
                  </w:pPr>
                  <w:r>
                    <w:t xml:space="preserve">21,585 (8.6%)</w:t>
                  </w:r>
                </w:p>
              </w:tc>
              <w:tc>
                <w:tcPr/>
                <w:p>
                  <w:pPr>
                    <w:pStyle w:val="Compact"/>
                    <w:jc w:val="left"/>
                    <w:jc w:val="center"/>
                  </w:pPr>
                  <w:r>
                    <w:t xml:space="preserve">11,295 (5.9%)</w:t>
                  </w:r>
                </w:p>
              </w:tc>
              <w:tc>
                <w:tcPr/>
                <w:p>
                  <w:pPr>
                    <w:pStyle w:val="Compact"/>
                    <w:jc w:val="left"/>
                    <w:jc w:val="center"/>
                  </w:pPr>
                  <w:r>
                    <w:t xml:space="preserve">10,290 (17.7%)</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jc w:val="left"/>
                    <w:jc w:val="center"/>
                  </w:pPr>
                  <w:r>
                    <w:t xml:space="preserve">41,135 (16.5%)</w:t>
                  </w:r>
                </w:p>
              </w:tc>
              <w:tc>
                <w:tcPr/>
                <w:p>
                  <w:pPr>
                    <w:pStyle w:val="Compact"/>
                    <w:jc w:val="left"/>
                    <w:jc w:val="center"/>
                  </w:pPr>
                  <w:r>
                    <w:t xml:space="preserve">32,465 (17.0%)</w:t>
                  </w:r>
                </w:p>
              </w:tc>
              <w:tc>
                <w:tcPr/>
                <w:p>
                  <w:pPr>
                    <w:pStyle w:val="Compact"/>
                    <w:jc w:val="left"/>
                    <w:jc w:val="center"/>
                  </w:pPr>
                  <w:r>
                    <w:t xml:space="preserve">8,670 (14.9%)</w:t>
                  </w:r>
                </w:p>
              </w:tc>
              <w:tc>
                <w:tcPr/>
                <w:p>
                  <w:pPr>
                    <w:pStyle w:val="Compact"/>
                    <w:jc w:val="left"/>
                    <w:jc w:val="center"/>
                  </w:pPr>
                  <w:r>
                    <w:t xml:space="preserve">&lt;0.001</w:t>
                  </w:r>
                </w:p>
              </w:tc>
            </w:tr>
            <w:tr>
              <w:tc>
                <w:tcPr/>
                <w:p>
                  <w:pPr>
                    <w:pStyle w:val="Compact"/>
                    <w:jc w:val="left"/>
                    <w:jc w:val="center"/>
                  </w:pPr>
                  <w:r>
                    <w:t xml:space="preserve">Current or past tobacco/nicotine use</w:t>
                  </w:r>
                </w:p>
              </w:tc>
              <w:tc>
                <w:tcPr/>
                <w:p>
                  <w:pPr>
                    <w:pStyle w:val="Compact"/>
                    <w:jc w:val="left"/>
                    <w:jc w:val="center"/>
                  </w:pPr>
                  <w:r>
                    <w:t xml:space="preserve">112,100 (44.9%)</w:t>
                  </w:r>
                </w:p>
              </w:tc>
              <w:tc>
                <w:tcPr/>
                <w:p>
                  <w:pPr>
                    <w:pStyle w:val="Compact"/>
                    <w:jc w:val="left"/>
                    <w:jc w:val="center"/>
                  </w:pPr>
                  <w:r>
                    <w:t xml:space="preserve">84,825 (44.3%)</w:t>
                  </w:r>
                </w:p>
              </w:tc>
              <w:tc>
                <w:tcPr/>
                <w:p>
                  <w:pPr>
                    <w:pStyle w:val="Compact"/>
                    <w:jc w:val="left"/>
                    <w:jc w:val="center"/>
                  </w:pPr>
                  <w:r>
                    <w:t xml:space="preserve">27,275 (46.8%)</w:t>
                  </w:r>
                </w:p>
              </w:tc>
              <w:tc>
                <w:tcPr/>
                <w:p>
                  <w:pPr>
                    <w:pStyle w:val="Compact"/>
                    <w:jc w:val="left"/>
                    <w:jc w:val="center"/>
                  </w:pPr>
                  <w:r>
                    <w:t xml:space="preserve">&lt;0.001</w:t>
                  </w:r>
                </w:p>
              </w:tc>
            </w:tr>
          </w:tbl>
          <w:bookmarkEnd w:id="26"/>
          <w:p/>
        </w:tc>
      </w:tr>
    </w:tbl>
    <w:p>
      <w:pPr>
        <w:pStyle w:val="BodyText"/>
      </w:pPr>
      <w:r>
        <w:rPr>
          <w:i/>
          <w:iCs/>
        </w:rPr>
        <w:t xml:space="preserve">Values are survey-weighted national estimates, n (%), unless stated otherwise.</w:t>
      </w:r>
    </w:p>
    <w:p>
      <w:pPr>
        <w:pStyle w:val="BodyText"/>
      </w:pPr>
      <w:r>
        <w:rPr>
          <w:i/>
          <w:iCs/>
        </w:rPr>
        <w:t xml:space="preserve">Sex was missing for &lt;0.1% of hospitalizations.</w:t>
      </w:r>
    </w:p>
    <w:p>
      <w:pPr>
        <w:pStyle w:val="BodyText"/>
      </w:pPr>
      <w:r>
        <w:t xml:space="preserve">Table 1 compares weighted baseline characteristics by AWS status. Compared with hospitalizations without AWS, those with AWS had a higher median age (</w:t>
      </w:r>
      <w:r>
        <w:rPr>
          <w:b/>
          <w:bCs/>
        </w:rPr>
        <w:t xml:space="preserve">56 (46, 64)</w:t>
      </w:r>
      <w:r>
        <w:t xml:space="preserve"> </w:t>
      </w:r>
      <w:r>
        <w:t xml:space="preserve">vs</w:t>
      </w:r>
      <w:r>
        <w:t xml:space="preserve"> </w:t>
      </w:r>
      <w:r>
        <w:rPr>
          <w:b/>
          <w:bCs/>
        </w:rPr>
        <w:t xml:space="preserve">52 (36, 63)</w:t>
      </w:r>
      <w:r>
        <w:t xml:space="preserve">), a lower weighted percentage of female discharges (</w:t>
      </w:r>
      <w:r>
        <w:rPr>
          <w:b/>
          <w:bCs/>
        </w:rPr>
        <w:t xml:space="preserve">10,835 (18.6%)</w:t>
      </w:r>
      <w:r>
        <w:t xml:space="preserve"> </w:t>
      </w:r>
      <w:r>
        <w:t xml:space="preserve">vs</w:t>
      </w:r>
      <w:r>
        <w:t xml:space="preserve"> </w:t>
      </w:r>
      <w:r>
        <w:rPr>
          <w:b/>
          <w:bCs/>
        </w:rPr>
        <w:t xml:space="preserve">44,425 (23.2%)</w:t>
      </w:r>
      <w:r>
        <w:t xml:space="preserve">), a higher percentage recorded as White (</w:t>
      </w:r>
      <w:r>
        <w:rPr>
          <w:b/>
          <w:bCs/>
        </w:rPr>
        <w:t xml:space="preserve">39,755 (68.2%)</w:t>
      </w:r>
      <w:r>
        <w:t xml:space="preserve"> </w:t>
      </w:r>
      <w:r>
        <w:t xml:space="preserve">vs</w:t>
      </w:r>
      <w:r>
        <w:t xml:space="preserve"> </w:t>
      </w:r>
      <w:r>
        <w:rPr>
          <w:b/>
          <w:bCs/>
        </w:rPr>
        <w:t xml:space="preserve">116,220 (60.8%)</w:t>
      </w:r>
      <w:r>
        <w:t xml:space="preserve">), and a higher percentage with Medicaid as payer (</w:t>
      </w:r>
      <w:r>
        <w:rPr>
          <w:b/>
          <w:bCs/>
        </w:rPr>
        <w:t xml:space="preserve">19,835 (34.0%)</w:t>
      </w:r>
      <w:r>
        <w:t xml:space="preserve"> </w:t>
      </w:r>
      <w:r>
        <w:t xml:space="preserve">vs</w:t>
      </w:r>
      <w:r>
        <w:t xml:space="preserve"> </w:t>
      </w:r>
      <w:r>
        <w:rPr>
          <w:b/>
          <w:bCs/>
        </w:rPr>
        <w:t xml:space="preserve">52,335 (27.4%)</w:t>
      </w:r>
      <w:r>
        <w:t xml:space="preserve">).</w:t>
      </w:r>
    </w:p>
    <w:bookmarkEnd w:id="27"/>
    <w:bookmarkStart w:id="29" w:name="in-hospital-outcomes"/>
    <w:p>
      <w:pPr>
        <w:pStyle w:val="Heading2"/>
      </w:pPr>
      <w:r>
        <w:t xml:space="preserve">In-Hospital Outcomes</w:t>
      </w:r>
    </w:p>
    <w:p>
      <w:pPr>
        <w:pStyle w:val="FirstParagraph"/>
      </w:pPr>
      <w:r>
        <w:t xml:space="preserve">The table presents crude comparisons and adjusted associations for the prespecified outcomes. Binary outcomes are weighted counts and percentages; LOS and cost are weighted medians (IQR). The model estimates compare odds for binary outcomes and mean differences for continuous outcomes between hospitalizations with AWS and those without AWS.</w:t>
      </w:r>
    </w:p>
    <w:tbl>
      <w:tblPr>
        <w:tblStyle w:val="Table"/>
        <w:tblW w:type="pct" w:w="5000"/>
        <w:tblLayout w:type="fixed"/>
        <w:tblLook w:firstRow="0" w:lastRow="0" w:firstColumn="0" w:lastColumn="0" w:noHBand="0" w:noVBand="0" w:val="0000"/>
      </w:tblPr>
      <w:tblGrid>
        <w:gridCol w:w="7920"/>
      </w:tblGrid>
      <w:tr>
        <w:tc>
          <w:tcPr/>
          <w:bookmarkStart w:id="28" w:name="tbl-outcomes"/>
          <w:p>
            <w:pPr>
              <w:jc w:val="center"/>
            </w:pPr>
            <w:pPr>
              <w:jc w:val="left"/>
              <w:spacing w:before="200"/>
              <w:pStyle w:val="ImageCaption"/>
            </w:pPr>
            <w:r>
              <w:t xml:space="preserve">Table 2: Crude and adjusted in-hospital outcomes by AWS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No AWS, N = 191,300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AWS, N = 58,270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Adjusted model, weighted N (% of eligible)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Unadjusted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Adjusted estimate (95% CI)</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Binary outcomes: n (%); odds ratio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10,140 (5.3%)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2,330 (4.0%)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0.74 (0.67–0.83)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0.60 (0.53–0.67)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Invasive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42,330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15,150 (26.0%)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 (1.18–1.30)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1.42 (1.34–1.50)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Pneumonia or aspiration pneumonitis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15,000 (7.8%)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10,480 (18.0%)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(2.43–2.74)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2.32 (2.17–2.49)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Institutional discharge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46,550 (25.7%)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22,310 (39.9%)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218,640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(1.83–2.01)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1.74 (1.65–1.84)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against medical advice (among survivors)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7,530 (4.2%)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3,150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218,640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(1.25–1.52)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(1.34–1.66)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Continuous outcomes: median (IQR); difference in adjusted means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stay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 (4–15)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229,740 (92.1%)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 days (+5.06 to +5.69)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+4.69 days (+4.38 to +5.00)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cost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$16,326 ($9,290–$32,533)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$25,814 ($13,234–$52,889)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227,430 (92.2%)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+$13,090 (+$12,073 to +$14,106)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+$13,543 (+$12,456 to +$14,630)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bookmarkEnd w:id="28"/>
        </w:tc>
      </w:tr>
    </w:tbl>
    <w:p>
      <w:pPr>
        <w:pStyle w:val="BodyText"/>
      </w:pPr>
      <w:r>
        <w:rPr>
          <w:i/>
          <w:iCs/>
        </w:rPr>
        <w:t xml:space="preserve">Survey-weighted national estimates. Binary outcomes are shown as weighted n (%) with odds ratios from survey-weighted logistic regression. Length of stay and cost are right-skewed, so they are summarized as median (IQR). Differences are estimated with survey-weighted generalized linear models with a log link (Poisson for length of stay, gamma for cost). These models handle skewed data without transforming the outcome, and the results are reported as differences in adjusted mean values (predictive margins). Adjusted models include all covariates listed in Methods. Costs are inflation-adjusted to 2022 US dollars. Institutional discharge and discharge against medical advice are among survivors.</w:t>
      </w:r>
    </w:p>
    <w:p>
      <w:pPr>
        <w:pStyle w:val="BodyText"/>
      </w:pPr>
      <w:r>
        <w:t xml:space="preserve">In the adjusted models, the aOR was</w:t>
      </w:r>
      <w:r>
        <w:t xml:space="preserve"> </w:t>
      </w:r>
      <w:r>
        <w:rPr>
          <w:b/>
          <w:bCs/>
        </w:rPr>
        <w:t xml:space="preserve">0.60 (0.53–0.67)</w:t>
      </w:r>
      <w:r>
        <w:t xml:space="preserve"> </w:t>
      </w:r>
      <w:r>
        <w:t xml:space="preserve">for death,</w:t>
      </w:r>
      <w:r>
        <w:t xml:space="preserve"> </w:t>
      </w:r>
      <w:r>
        <w:rPr>
          <w:b/>
          <w:bCs/>
        </w:rPr>
        <w:t xml:space="preserve">1.42 (1.34–1.50)</w:t>
      </w:r>
      <w:r>
        <w:t xml:space="preserve"> </w:t>
      </w:r>
      <w:r>
        <w:t xml:space="preserve">for IMV,</w:t>
      </w:r>
      <w:r>
        <w:t xml:space="preserve"> </w:t>
      </w:r>
      <w:r>
        <w:rPr>
          <w:b/>
          <w:bCs/>
        </w:rPr>
        <w:t xml:space="preserve">2.32 (2.17–2.49)</w:t>
      </w:r>
      <w:r>
        <w:t xml:space="preserve"> </w:t>
      </w:r>
      <w:r>
        <w:t xml:space="preserve">for pneumonia/aspiration,</w:t>
      </w:r>
      <w:r>
        <w:t xml:space="preserve"> </w:t>
      </w:r>
      <w:r>
        <w:rPr>
          <w:b/>
          <w:bCs/>
        </w:rPr>
        <w:t xml:space="preserve">1.74 (1.65–1.84)</w:t>
      </w:r>
      <w:r>
        <w:t xml:space="preserve"> </w:t>
      </w:r>
      <w:r>
        <w:t xml:space="preserve">for institutional discharge, and</w:t>
      </w:r>
      <w:r>
        <w:t xml:space="preserve"> </w:t>
      </w:r>
      <w:r>
        <w:rPr>
          <w:b/>
          <w:bCs/>
        </w:rPr>
        <w:t xml:space="preserve">1.49 (1.34–1.66)</w:t>
      </w:r>
      <w:r>
        <w:t xml:space="preserve"> </w:t>
      </w:r>
      <w:r>
        <w:t xml:space="preserve">for AMA. Adjusted mean differences were</w:t>
      </w:r>
      <w:r>
        <w:t xml:space="preserve"> </w:t>
      </w:r>
      <w:r>
        <w:rPr>
          <w:b/>
          <w:bCs/>
        </w:rPr>
        <w:t xml:space="preserve">+4.69 days (+4.38 to +5.00)</w:t>
      </w:r>
      <w:r>
        <w:t xml:space="preserve"> </w:t>
      </w:r>
      <w:r>
        <w:t xml:space="preserve">days for LOS and</w:t>
      </w:r>
      <w:r>
        <w:t xml:space="preserve"> </w:t>
      </w:r>
      <w:r>
        <w:rPr>
          <w:b/>
          <w:bCs/>
        </w:rPr>
        <w:t xml:space="preserve">+$13,543 (+$12,456 to +$14,630)</w:t>
      </w:r>
      <w:r>
        <w:t xml:space="preserve"> </w:t>
      </w:r>
      <w:r>
        <w:t xml:space="preserve">for cost.</w:t>
      </w:r>
    </w:p>
    <w:bookmarkEnd w:id="29"/>
    <w:bookmarkStart w:id="34" w:name="X221dde27c5c3da44535c0e2cf5f7c00f4106517"/>
    <w:p>
      <w:pPr>
        <w:pStyle w:val="Heading2"/>
      </w:pPr>
      <w:r>
        <w:t xml:space="preserve">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33" w:name="fig-forest"/>
          <w:p>
            <w:pPr>
              <w:pStyle w:val="Compact"/>
              <w:jc w:val="center"/>
            </w:pPr>
            <w:r>
              <w:drawing>
                <wp:inline>
                  <wp:extent cx="5334000" cy="2592916"/>
                  <wp:effectExtent b="0" l="0" r="0" t="0"/>
                  <wp:docPr descr="" title="" id="31" name="Picture"/>
                  <a:graphic>
                    <a:graphicData uri="http://schemas.openxmlformats.org/drawingml/2006/picture">
                      <pic:pic>
                        <pic:nvPicPr>
                          <pic:cNvPr descr="../output/public/forest_plot.png" id="32" name="Picture"/>
                          <pic:cNvPicPr>
                            <a:picLocks noChangeArrowheads="1" noChangeAspect="1"/>
                          </pic:cNvPicPr>
                        </pic:nvPicPr>
                        <pic:blipFill>
                          <a:blip r:embed="rId30"/>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Adjusted odds ratios and 95% confidence intervals for in-hospital outcomes.</w:t>
            </w:r>
          </w:p>
          <w:bookmarkEnd w:id="33"/>
        </w:tc>
      </w:tr>
    </w:tbl>
    <w:bookmarkEnd w:id="34"/>
    <w:bookmarkStart w:id="39"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8" w:name="fig-trend"/>
          <w:p>
            <w:pPr>
              <w:pStyle w:val="Compact"/>
              <w:jc w:val="center"/>
            </w:pPr>
            <w:r>
              <w:drawing>
                <wp:inline>
                  <wp:extent cx="4800600" cy="2880360"/>
                  <wp:effectExtent b="0" l="0" r="0" t="0"/>
                  <wp:docPr descr="" title="" id="36" name="Picture"/>
                  <a:graphic>
                    <a:graphicData uri="http://schemas.openxmlformats.org/drawingml/2006/picture">
                      <pic:pic>
                        <pic:nvPicPr>
                          <pic:cNvPr descr="../output/public/aws_trend.png" id="37" name="Picture"/>
                          <pic:cNvPicPr>
                            <a:picLocks noChangeArrowheads="1" noChangeAspect="1"/>
                          </pic:cNvPicPr>
                        </pic:nvPicPr>
                        <pic:blipFill>
                          <a:blip r:embed="rId3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8"/>
        </w:tc>
      </w:tr>
    </w:tbl>
    <w:p>
      <w:pPr>
        <w:pStyle w:val="BodyText"/>
      </w:pPr>
      <w:r>
        <w:t xml:space="preserve">The weighted prevalence increased from</w:t>
      </w:r>
      <w:r>
        <w:t xml:space="preserve"> </w:t>
      </w:r>
      <w:r>
        <w:rPr>
          <w:b/>
          <w:bCs/>
        </w:rPr>
        <w:t xml:space="preserve">20.7%</w:t>
      </w:r>
      <w:r>
        <w:t xml:space="preserve"> </w:t>
      </w:r>
      <w:r>
        <w:t xml:space="preserve">in 2017 to</w:t>
      </w:r>
      <w:r>
        <w:t xml:space="preserve"> </w:t>
      </w:r>
      <w:r>
        <w:rPr>
          <w:b/>
          <w:bCs/>
        </w:rPr>
        <w:t xml:space="preserve">25.4%</w:t>
      </w:r>
      <w:r>
        <w:t xml:space="preserve"> </w:t>
      </w:r>
      <w:r>
        <w:t xml:space="preserve">in 2022. The annual estimates and confidence intervals are listed in Table S4; the linear survey-logistic trend test gave p-for-trend</w:t>
      </w:r>
      <w:r>
        <w:t xml:space="preserve"> </w:t>
      </w:r>
      <w:r>
        <w:rPr>
          <w:b/>
          <w:bCs/>
        </w:rPr>
        <w:t xml:space="preserve">&lt;0.001</w:t>
      </w:r>
      <w:r>
        <w:t xml:space="preserve">.</w:t>
      </w:r>
    </w:p>
    <w:bookmarkEnd w:id="39"/>
    <w:bookmarkStart w:id="41"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adjusted estimates for all three sensitivity analyses are reported below.</w:t>
      </w:r>
    </w:p>
    <w:tbl>
      <w:tblPr>
        <w:tblStyle w:val="Table"/>
        <w:tblW w:type="pct" w:w="5000"/>
        <w:tblLayout w:type="fixed"/>
        <w:tblLook w:firstRow="0" w:lastRow="0" w:firstColumn="0" w:lastColumn="0" w:noHBand="0" w:noVBand="0" w:val="0000"/>
      </w:tblPr>
      <w:tblGrid>
        <w:gridCol w:w="7920"/>
      </w:tblGrid>
      <w:tr>
        <w:tc>
          <w:tcPr/>
          <w:bookmarkStart w:id="40" w:name="tbl-sensitivity"/>
          <w:p>
            <w:pPr>
              <w:jc w:val="center"/>
            </w:pPr>
            <w:pPr>
              <w:jc w:val="left"/>
              <w:spacing w:before="200"/>
              <w:pStyle w:val="ImageCaption"/>
            </w:pPr>
            <w:r>
              <w:t xml:space="preserve">Table 3: Sensitivity analyses for in-hospital mortality.</w:t>
            </w:r>
          </w:p>
          <w:tbl>
            <w:tblPr>
              <w:tblStyle w:val="Table"/>
              <w:tblW w:type="pct" w:w="5000"/>
              <w:tblLayout w:type="fixed"/>
              <w:tblLook w:firstRow="1" w:lastRow="0" w:firstColumn="0" w:lastColumn="0" w:noHBand="0" w:noVBand="0" w:val="0020"/>
            </w:tblPr>
            <w:tblGrid>
              <w:gridCol w:w="2029"/>
              <w:gridCol w:w="1898"/>
              <w:gridCol w:w="2094"/>
              <w:gridCol w:w="1374"/>
              <w:gridCol w:w="523"/>
            </w:tblGrid>
            <w:tr>
              <w:trPr>
                <w:tblHeader w:val="on"/>
              </w:trPr>
              <w:tc>
                <w:tcPr/>
                <w:p>
                  <w:pPr>
                    <w:pStyle w:val="Compact"/>
                    <w:jc w:val="left"/>
                    <w:jc w:val="center"/>
                  </w:pPr>
                  <w:r>
                    <w:t xml:space="preserve">Analysis</w:t>
                  </w:r>
                </w:p>
              </w:tc>
              <w:tc>
                <w:tcPr/>
                <w:p>
                  <w:pPr>
                    <w:pStyle w:val="Compact"/>
                    <w:jc w:val="left"/>
                    <w:jc w:val="center"/>
                  </w:pPr>
                  <w:r>
                    <w:t xml:space="preserve">Hospitalizations, weighted n</w:t>
                  </w:r>
                </w:p>
              </w:tc>
              <w:tc>
                <w:tcPr/>
                <w:p>
                  <w:pPr>
                    <w:pStyle w:val="Compact"/>
                    <w:jc w:val="left"/>
                    <w:jc w:val="center"/>
                  </w:pPr>
                  <w:r>
                    <w:t xml:space="preserve">Deaths, weighted n (weighted %)</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left"/>
                    <w:jc w:val="center"/>
                  </w:pPr>
                  <w:r>
                    <w:t xml:space="preserve">229,740</w:t>
                  </w:r>
                </w:p>
              </w:tc>
              <w:tc>
                <w:tcPr/>
                <w:p>
                  <w:pPr>
                    <w:pStyle w:val="Compact"/>
                    <w:jc w:val="left"/>
                    <w:jc w:val="center"/>
                  </w:pPr>
                  <w:r>
                    <w:t xml:space="preserve">11,080 (4.8%)</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left"/>
                    <w:jc w:val="center"/>
                  </w:pPr>
                  <w:r>
                    <w:t xml:space="preserve">187,470</w:t>
                  </w:r>
                </w:p>
              </w:tc>
              <w:tc>
                <w:tcPr/>
                <w:p>
                  <w:pPr>
                    <w:pStyle w:val="Compact"/>
                    <w:jc w:val="left"/>
                    <w:jc w:val="center"/>
                  </w:pPr>
                  <w:r>
                    <w:t xml:space="preserve">8,280 (4.4%)</w:t>
                  </w:r>
                </w:p>
              </w:tc>
              <w:tc>
                <w:tcPr/>
                <w:p>
                  <w:pPr>
                    <w:pStyle w:val="Compact"/>
                    <w:jc w:val="left"/>
                    <w:jc w:val="center"/>
                  </w:pPr>
                  <w:r>
                    <w:t xml:space="preserve">0.70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156,170</w:t>
                  </w:r>
                </w:p>
              </w:tc>
              <w:tc>
                <w:tcPr/>
                <w:p>
                  <w:pPr>
                    <w:pStyle w:val="Compact"/>
                    <w:jc w:val="left"/>
                    <w:jc w:val="center"/>
                  </w:pPr>
                  <w:r>
                    <w:t xml:space="preserve">8,990 (5.8%)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left"/>
                    <w:jc w:val="center"/>
                  </w:pPr>
                  <w:r>
                    <w:t xml:space="preserve">192,550</w:t>
                  </w:r>
                </w:p>
              </w:tc>
              <w:tc>
                <w:tcPr/>
                <w:p>
                  <w:pPr>
                    <w:pStyle w:val="Compact"/>
                    <w:jc w:val="left"/>
                    <w:jc w:val="center"/>
                  </w:pPr>
                  <w:r>
                    <w:t xml:space="preserve">8,660 (4.5%)</w:t>
                  </w:r>
                </w:p>
              </w:tc>
              <w:tc>
                <w:tcPr/>
                <w:p>
                  <w:pPr>
                    <w:pStyle w:val="Compact"/>
                    <w:jc w:val="left"/>
                    <w:jc w:val="center"/>
                  </w:pPr>
                  <w:r>
                    <w:t xml:space="preserve">0.59 (0.52–0.68)</w:t>
                  </w:r>
                </w:p>
              </w:tc>
              <w:tc>
                <w:tcPr/>
                <w:p>
                  <w:pPr>
                    <w:pStyle w:val="Compact"/>
                    <w:jc w:val="left"/>
                    <w:jc w:val="center"/>
                  </w:pPr>
                  <w:r>
                    <w:t xml:space="preserve">&lt;0.001</w:t>
                  </w:r>
                </w:p>
              </w:tc>
            </w:tr>
          </w:tbl>
          <w:bookmarkEnd w:id="40"/>
          <w:p/>
        </w:tc>
      </w:tr>
    </w:tbl>
    <w:p>
      <w:pPr>
        <w:pStyle w:val="BodyText"/>
      </w:pPr>
      <w:r>
        <w:rPr>
          <w:i/>
          <w:iCs/>
        </w:rPr>
        <w:t xml:space="preserve">Values are survey-weighted national estimates, n (%), unless stated otherwise.</w:t>
      </w:r>
    </w:p>
    <w:p>
      <w:pPr>
        <w:pStyle w:val="BodyText"/>
      </w:pPr>
      <w:r>
        <w:t xml:space="preserve">The mortality association remained inverse across the three prespecified sensitivity analyses: LOS ≥2 days</w:t>
      </w:r>
      <w:r>
        <w:t xml:space="preserve"> </w:t>
      </w:r>
      <w:r>
        <w:rPr>
          <w:b/>
          <w:bCs/>
        </w:rPr>
        <w:t xml:space="preserve">0.70 (0.62–0.80)</w:t>
      </w:r>
      <w:r>
        <w:t xml:space="preserve">, TBI principal diagnosis</w:t>
      </w:r>
      <w:r>
        <w:t xml:space="preserve"> </w:t>
      </w:r>
      <w:r>
        <w:rPr>
          <w:b/>
          <w:bCs/>
        </w:rPr>
        <w:t xml:space="preserve">0.58 (0.51–0.66)</w:t>
      </w:r>
      <w:r>
        <w:t xml:space="preserve">, and excluding transferred-in hospitalizations</w:t>
      </w:r>
      <w:r>
        <w:t xml:space="preserve"> </w:t>
      </w:r>
      <w:r>
        <w:rPr>
          <w:b/>
          <w:bCs/>
        </w:rPr>
        <w:t xml:space="preserve">0.59 (0.52–0.68)</w:t>
      </w:r>
      <w:r>
        <w:t xml:space="preserve">.</w:t>
      </w:r>
    </w:p>
    <w:bookmarkEnd w:id="41"/>
    <w:bookmarkStart w:id="42"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42"/>
    <w:bookmarkStart w:id="43"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43"/>
    <w:bookmarkStart w:id="52" w:name="supplementary-material"/>
    <w:p>
      <w:pPr>
        <w:pStyle w:val="Heading2"/>
      </w:pPr>
      <w:r>
        <w:t xml:space="preserve">Supplementary Material</w:t>
      </w:r>
    </w:p>
    <w:bookmarkStart w:id="45" w:name="table-s1.-icd-10-cmpcs-code-list"/>
    <w:p>
      <w:pPr>
        <w:pStyle w:val="Heading3"/>
      </w:pPr>
      <w:r>
        <w:t xml:space="preserve">Table S1. ICD-10-CM/PCS code list</w:t>
      </w:r>
    </w:p>
    <w:p>
      <w:pPr>
        <w:pStyle w:val="FirstParagraph"/>
      </w:pPr>
      <w:r>
        <w:rPr>
          <w:b/>
          <w:bCs/>
        </w:rPr>
        <w:t xml:space="preserve">Table S1. ICD-10-CM and ICD-10-PCS definitions used for cohort, exposure, outcomes, and covariates.</w:t>
      </w:r>
    </w:p>
    <w:tbl>
      <w:tblPr>
        <w:tblStyle w:val="Table"/>
        <w:tblW w:type="pct" w:w="5000"/>
        <w:tblLayout w:type="fixed"/>
        <w:tblLook w:firstRow="0" w:lastRow="0" w:firstColumn="0" w:lastColumn="0" w:noHBand="0" w:noVBand="0" w:val="0000"/>
      </w:tblPr>
      <w:tblGrid>
        <w:gridCol w:w="7920"/>
      </w:tblGrid>
      <w:tr>
        <w:tc>
          <w:tcPr/>
          <w:bookmarkStart w:id="44" w:name="tbl-s1"/>
          <w:p>
            <w:pPr>
              <w:jc w:val="center"/>
            </w:pPr>
            <w:pPr>
              <w:jc w:val="left"/>
              <w:spacing w:before="200"/>
              <w:pStyle w:val="ImageCaption"/>
            </w:pPr>
            <w:r>
              <w:t xml:space="preserve">Table 4</w:t>
            </w:r>
          </w:p>
          <w:tbl>
            <w:tblPr>
              <w:tblStyle w:val="Table"/>
              <w:tblW w:type="pct" w:w="5000"/>
              <w:tblLayout w:type="fixed"/>
              <w:tblLook w:firstRow="1" w:lastRow="0" w:firstColumn="0" w:lastColumn="0" w:noHBand="0" w:noVBand="0" w:val="0020"/>
            </w:tblPr>
            <w:tblGrid>
              <w:gridCol w:w="2625"/>
              <w:gridCol w:w="1291"/>
              <w:gridCol w:w="3056"/>
              <w:gridCol w:w="946"/>
            </w:tblGrid>
            <w:tr>
              <w:trPr>
                <w:tblHeader w:val="on"/>
              </w:trPr>
              <w:tc>
                <w:tcPr/>
                <w:p>
                  <w:pPr>
                    <w:pStyle w:val="Compact"/>
                    <w:jc w:val="left"/>
                    <w:jc w:val="center"/>
                  </w:pPr>
                  <w:r>
                    <w:t xml:space="preserve">Condition</w:t>
                  </w:r>
                </w:p>
              </w:tc>
              <w:tc>
                <w:tcPr/>
                <w:p>
                  <w:pPr>
                    <w:pStyle w:val="Compact"/>
                    <w:jc w:val="left"/>
                    <w:jc w:val="center"/>
                  </w:pPr>
                  <w:r>
                    <w:t xml:space="preserve">ICD-10-CM/PCS code or pattern</w:t>
                  </w:r>
                </w:p>
              </w:tc>
              <w:tc>
                <w:tcPr/>
                <w:p>
                  <w:pPr>
                    <w:pStyle w:val="Compact"/>
                    <w:jc w:val="left"/>
                    <w:jc w:val="center"/>
                  </w:pPr>
                  <w:r>
                    <w:t xml:space="preserve">Matching rule / description</w:t>
                  </w:r>
                </w:p>
              </w:tc>
              <w:tc>
                <w:tcPr/>
                <w:p>
                  <w:pPr>
                    <w:pStyle w:val="Compact"/>
                    <w:jc w:val="left"/>
                    <w:jc w:val="center"/>
                  </w:pPr>
                  <w:r>
                    <w:t xml:space="preserve">Valid period</w:t>
                  </w:r>
                </w:p>
              </w:tc>
            </w:tr>
            <w:tr>
              <w:tc>
                <w:tcPr/>
                <w:p>
                  <w:pPr>
                    <w:pStyle w:val="Compact"/>
                    <w:jc w:val="left"/>
                    <w:jc w:val="center"/>
                  </w:pPr>
                  <w:r>
                    <w:t xml:space="preserve">Acute TBI</w:t>
                  </w:r>
                </w:p>
              </w:tc>
              <w:tc>
                <w:tcPr/>
                <w:p>
                  <w:pPr>
                    <w:pStyle w:val="Compact"/>
                    <w:jc w:val="left"/>
                    <w:jc w:val="center"/>
                  </w:pPr>
                  <w:r>
                    <w:t xml:space="preserve">S06</w:t>
                  </w:r>
                </w:p>
              </w:tc>
              <w:tc>
                <w:tcPr/>
                <w:p>
                  <w:pPr>
                    <w:pStyle w:val="Compact"/>
                    <w:jc w:val="left"/>
                    <w:jc w:val="center"/>
                  </w:pPr>
                  <w:r>
                    <w:t xml:space="preserve">prefix; Intracranial injury (requires 7th char A and len 7)</w:t>
                  </w:r>
                </w:p>
              </w:tc>
              <w:tc>
                <w:tcPr/>
                <w:p>
                  <w:pPr>
                    <w:pStyle w:val="Compact"/>
                    <w:jc w:val="left"/>
                    <w:jc w:val="center"/>
                  </w:pPr>
                  <w:r>
                    <w:t xml:space="preserve">2017–2022</w:t>
                  </w:r>
                </w:p>
              </w:tc>
            </w:tr>
            <w:tr>
              <w:tc>
                <w:tcPr/>
                <w:p>
                  <w:pPr>
                    <w:pStyle w:val="Compact"/>
                    <w:jc w:val="left"/>
                    <w:jc w:val="center"/>
                  </w:pPr>
                  <w:r>
                    <w:t xml:space="preserve">Active AUD</w:t>
                  </w:r>
                </w:p>
              </w:tc>
              <w:tc>
                <w:tcPr/>
                <w:p>
                  <w:pPr>
                    <w:pStyle w:val="Compact"/>
                    <w:jc w:val="left"/>
                    <w:jc w:val="center"/>
                  </w:pPr>
                  <w:r>
                    <w:t xml:space="preserve">F101</w:t>
                  </w:r>
                </w:p>
              </w:tc>
              <w:tc>
                <w:tcPr/>
                <w:p>
                  <w:pPr>
                    <w:pStyle w:val="Compact"/>
                    <w:jc w:val="left"/>
                    <w:jc w:val="center"/>
                  </w:pPr>
                  <w:r>
                    <w:t xml:space="preserve">prefix; Alcohol abuse (exclude remission-only F1011)</w:t>
                  </w:r>
                </w:p>
              </w:tc>
              <w:tc>
                <w:tcPr/>
                <w:p>
                  <w:pPr>
                    <w:pStyle w:val="Compact"/>
                    <w:jc w:val="left"/>
                    <w:jc w:val="center"/>
                  </w:pPr>
                  <w:r>
                    <w:t xml:space="preserve">2017–2022</w:t>
                  </w:r>
                </w:p>
              </w:tc>
            </w:tr>
            <w:tr>
              <w:tc>
                <w:tcPr/>
                <w:p>
                  <w:pPr>
                    <w:pStyle w:val="Compact"/>
                    <w:jc w:val="left"/>
                    <w:jc w:val="center"/>
                  </w:pPr>
                  <w:r>
                    <w:t xml:space="preserve">Active AUD</w:t>
                  </w:r>
                </w:p>
              </w:tc>
              <w:tc>
                <w:tcPr/>
                <w:p>
                  <w:pPr>
                    <w:pStyle w:val="Compact"/>
                    <w:jc w:val="left"/>
                    <w:jc w:val="center"/>
                  </w:pPr>
                  <w:r>
                    <w:t xml:space="preserve">F102</w:t>
                  </w:r>
                </w:p>
              </w:tc>
              <w:tc>
                <w:tcPr/>
                <w:p>
                  <w:pPr>
                    <w:pStyle w:val="Compact"/>
                    <w:jc w:val="left"/>
                    <w:jc w:val="center"/>
                  </w:pPr>
                  <w:r>
                    <w:t xml:space="preserve">prefix; Alcohol dependence (exclude remission-only F1021)</w:t>
                  </w:r>
                </w:p>
              </w:tc>
              <w:tc>
                <w:tcPr/>
                <w:p>
                  <w:pPr>
                    <w:pStyle w:val="Compact"/>
                    <w:jc w:val="left"/>
                    <w:jc w:val="center"/>
                  </w:pPr>
                  <w:r>
                    <w:t xml:space="preserve">2017–2022</w:t>
                  </w:r>
                </w:p>
              </w:tc>
            </w:tr>
            <w:tr>
              <w:tc>
                <w:tcPr/>
                <w:p>
                  <w:pPr>
                    <w:pStyle w:val="Compact"/>
                    <w:jc w:val="left"/>
                    <w:jc w:val="center"/>
                  </w:pPr>
                  <w:r>
                    <w:t xml:space="preserve">AUD Remission</w:t>
                  </w:r>
                </w:p>
              </w:tc>
              <w:tc>
                <w:tcPr/>
                <w:p>
                  <w:pPr>
                    <w:pStyle w:val="Compact"/>
                    <w:jc w:val="left"/>
                    <w:jc w:val="center"/>
                  </w:pPr>
                  <w:r>
                    <w:t xml:space="preserve">F1011</w:t>
                  </w:r>
                </w:p>
              </w:tc>
              <w:tc>
                <w:tcPr/>
                <w:p>
                  <w:pPr>
                    <w:pStyle w:val="Compact"/>
                    <w:jc w:val="left"/>
                    <w:jc w:val="center"/>
                  </w:pPr>
                  <w:r>
                    <w:t xml:space="preserve">exact; Alcohol abuse in remission</w:t>
                  </w:r>
                </w:p>
              </w:tc>
              <w:tc>
                <w:tcPr/>
                <w:p>
                  <w:pPr>
                    <w:pStyle w:val="Compact"/>
                    <w:jc w:val="left"/>
                    <w:jc w:val="center"/>
                  </w:pPr>
                  <w:r>
                    <w:t xml:space="preserve">2017–2022</w:t>
                  </w:r>
                </w:p>
              </w:tc>
            </w:tr>
            <w:tr>
              <w:tc>
                <w:tcPr/>
                <w:p>
                  <w:pPr>
                    <w:pStyle w:val="Compact"/>
                    <w:jc w:val="left"/>
                    <w:jc w:val="center"/>
                  </w:pPr>
                  <w:r>
                    <w:t xml:space="preserve">AUD Remission</w:t>
                  </w:r>
                </w:p>
              </w:tc>
              <w:tc>
                <w:tcPr/>
                <w:p>
                  <w:pPr>
                    <w:pStyle w:val="Compact"/>
                    <w:jc w:val="left"/>
                    <w:jc w:val="center"/>
                  </w:pPr>
                  <w:r>
                    <w:t xml:space="preserve">F1021</w:t>
                  </w:r>
                </w:p>
              </w:tc>
              <w:tc>
                <w:tcPr/>
                <w:p>
                  <w:pPr>
                    <w:pStyle w:val="Compact"/>
                    <w:jc w:val="left"/>
                    <w:jc w:val="center"/>
                  </w:pPr>
                  <w:r>
                    <w:t xml:space="preserve">exact; Alcohol dependence in remission</w:t>
                  </w:r>
                </w:p>
              </w:tc>
              <w:tc>
                <w:tcPr/>
                <w:p>
                  <w:pPr>
                    <w:pStyle w:val="Compact"/>
                    <w:jc w:val="left"/>
                    <w:jc w:val="center"/>
                  </w:pPr>
                  <w:r>
                    <w:t xml:space="preserve">2017–2022</w:t>
                  </w:r>
                </w:p>
              </w:tc>
            </w:tr>
            <w:tr>
              <w:tc>
                <w:tcPr/>
                <w:p>
                  <w:pPr>
                    <w:pStyle w:val="Compact"/>
                    <w:jc w:val="left"/>
                    <w:jc w:val="center"/>
                  </w:pPr>
                  <w:r>
                    <w:t xml:space="preserve">AWS Main</w:t>
                  </w:r>
                </w:p>
              </w:tc>
              <w:tc>
                <w:tcPr/>
                <w:p>
                  <w:pPr>
                    <w:pStyle w:val="Compact"/>
                    <w:jc w:val="left"/>
                    <w:jc w:val="center"/>
                  </w:pPr>
                  <w:r>
                    <w:t xml:space="preserve">F10230</w:t>
                  </w:r>
                </w:p>
              </w:tc>
              <w:tc>
                <w:tcPr/>
                <w:p>
                  <w:pPr>
                    <w:pStyle w:val="Compact"/>
                    <w:jc w:val="left"/>
                    <w:jc w:val="center"/>
                  </w:pPr>
                  <w:r>
                    <w:t xml:space="preserve">exact; Alcohol dependence with withdrawal, uncomplicated</w:t>
                  </w:r>
                </w:p>
              </w:tc>
              <w:tc>
                <w:tcPr/>
                <w:p>
                  <w:pPr>
                    <w:pStyle w:val="Compact"/>
                    <w:jc w:val="left"/>
                    <w:jc w:val="center"/>
                  </w:pPr>
                  <w:r>
                    <w:t xml:space="preserve">2017–2022</w:t>
                  </w:r>
                </w:p>
              </w:tc>
            </w:tr>
            <w:tr>
              <w:tc>
                <w:tcPr/>
                <w:p>
                  <w:pPr>
                    <w:pStyle w:val="Compact"/>
                    <w:jc w:val="left"/>
                    <w:jc w:val="center"/>
                  </w:pPr>
                  <w:r>
                    <w:t xml:space="preserve">AWS Main</w:t>
                  </w:r>
                </w:p>
              </w:tc>
              <w:tc>
                <w:tcPr/>
                <w:p>
                  <w:pPr>
                    <w:pStyle w:val="Compact"/>
                    <w:jc w:val="left"/>
                    <w:jc w:val="center"/>
                  </w:pPr>
                  <w:r>
                    <w:t xml:space="preserve">F10231</w:t>
                  </w:r>
                </w:p>
              </w:tc>
              <w:tc>
                <w:tcPr/>
                <w:p>
                  <w:pPr>
                    <w:pStyle w:val="Compact"/>
                    <w:jc w:val="left"/>
                    <w:jc w:val="center"/>
                  </w:pPr>
                  <w:r>
                    <w:t xml:space="preserve">exact; Alcohol dependence with withdrawal delirium</w:t>
                  </w:r>
                </w:p>
              </w:tc>
              <w:tc>
                <w:tcPr/>
                <w:p>
                  <w:pPr>
                    <w:pStyle w:val="Compact"/>
                    <w:jc w:val="left"/>
                    <w:jc w:val="center"/>
                  </w:pPr>
                  <w:r>
                    <w:t xml:space="preserve">2017–2022</w:t>
                  </w:r>
                </w:p>
              </w:tc>
            </w:tr>
            <w:tr>
              <w:tc>
                <w:tcPr/>
                <w:p>
                  <w:pPr>
                    <w:pStyle w:val="Compact"/>
                    <w:jc w:val="left"/>
                    <w:jc w:val="center"/>
                  </w:pPr>
                  <w:r>
                    <w:t xml:space="preserve">AWS Main</w:t>
                  </w:r>
                </w:p>
              </w:tc>
              <w:tc>
                <w:tcPr/>
                <w:p>
                  <w:pPr>
                    <w:pStyle w:val="Compact"/>
                    <w:jc w:val="left"/>
                    <w:jc w:val="center"/>
                  </w:pPr>
                  <w:r>
                    <w:t xml:space="preserve">F10232</w:t>
                  </w:r>
                </w:p>
              </w:tc>
              <w:tc>
                <w:tcPr/>
                <w:p>
                  <w:pPr>
                    <w:pStyle w:val="Compact"/>
                    <w:jc w:val="left"/>
                    <w:jc w:val="center"/>
                  </w:pPr>
                  <w:r>
                    <w:t xml:space="preserve">exact; Alcohol dependence with withdrawal with perceptual disturbance</w:t>
                  </w:r>
                </w:p>
              </w:tc>
              <w:tc>
                <w:tcPr/>
                <w:p>
                  <w:pPr>
                    <w:pStyle w:val="Compact"/>
                    <w:jc w:val="left"/>
                    <w:jc w:val="center"/>
                  </w:pPr>
                  <w:r>
                    <w:t xml:space="preserve">2017–2022</w:t>
                  </w:r>
                </w:p>
              </w:tc>
            </w:tr>
            <w:tr>
              <w:tc>
                <w:tcPr/>
                <w:p>
                  <w:pPr>
                    <w:pStyle w:val="Compact"/>
                    <w:jc w:val="left"/>
                    <w:jc w:val="center"/>
                  </w:pPr>
                  <w:r>
                    <w:t xml:space="preserve">AWS Main</w:t>
                  </w:r>
                </w:p>
              </w:tc>
              <w:tc>
                <w:tcPr/>
                <w:p>
                  <w:pPr>
                    <w:pStyle w:val="Compact"/>
                    <w:jc w:val="left"/>
                    <w:jc w:val="center"/>
                  </w:pPr>
                  <w:r>
                    <w:t xml:space="preserve">F10239</w:t>
                  </w:r>
                </w:p>
              </w:tc>
              <w:tc>
                <w:tcPr/>
                <w:p>
                  <w:pPr>
                    <w:pStyle w:val="Compact"/>
                    <w:jc w:val="left"/>
                    <w:jc w:val="center"/>
                  </w:pPr>
                  <w:r>
                    <w:t xml:space="preserve">exact; Alcohol dependence with withdrawal, unspecified</w:t>
                  </w:r>
                </w:p>
              </w:tc>
              <w:tc>
                <w:tcPr/>
                <w:p>
                  <w:pPr>
                    <w:pStyle w:val="Compact"/>
                    <w:jc w:val="left"/>
                    <w:jc w:val="center"/>
                  </w:pPr>
                  <w:r>
                    <w:t xml:space="preserve">2017–2022</w:t>
                  </w:r>
                </w:p>
              </w:tc>
            </w:tr>
            <w:tr>
              <w:tc>
                <w:tcPr/>
                <w:p>
                  <w:pPr>
                    <w:pStyle w:val="Compact"/>
                    <w:jc w:val="left"/>
                    <w:jc w:val="center"/>
                  </w:pPr>
                  <w:r>
                    <w:t xml:space="preserve">AWS Main</w:t>
                  </w:r>
                </w:p>
              </w:tc>
              <w:tc>
                <w:tcPr/>
                <w:p>
                  <w:pPr>
                    <w:pStyle w:val="Compact"/>
                    <w:jc w:val="left"/>
                    <w:jc w:val="center"/>
                  </w:pPr>
                  <w:r>
                    <w:t xml:space="preserve">F10130</w:t>
                  </w:r>
                </w:p>
              </w:tc>
              <w:tc>
                <w:tcPr/>
                <w:p>
                  <w:pPr>
                    <w:pStyle w:val="Compact"/>
                    <w:jc w:val="left"/>
                    <w:jc w:val="center"/>
                  </w:pPr>
                  <w:r>
                    <w:t xml:space="preserve">exact; Alcohol abuse with withdrawal, uncomplicated</w:t>
                  </w:r>
                </w:p>
              </w:tc>
              <w:tc>
                <w:tcPr/>
                <w:p>
                  <w:pPr>
                    <w:pStyle w:val="Compact"/>
                    <w:jc w:val="left"/>
                    <w:jc w:val="center"/>
                  </w:pPr>
                  <w:r>
                    <w:t xml:space="preserve">2020-10-01 to present</w:t>
                  </w:r>
                </w:p>
              </w:tc>
            </w:tr>
            <w:tr>
              <w:tc>
                <w:tcPr/>
                <w:p>
                  <w:pPr>
                    <w:pStyle w:val="Compact"/>
                    <w:jc w:val="left"/>
                    <w:jc w:val="center"/>
                  </w:pPr>
                  <w:r>
                    <w:t xml:space="preserve">AWS Main</w:t>
                  </w:r>
                </w:p>
              </w:tc>
              <w:tc>
                <w:tcPr/>
                <w:p>
                  <w:pPr>
                    <w:pStyle w:val="Compact"/>
                    <w:jc w:val="left"/>
                    <w:jc w:val="center"/>
                  </w:pPr>
                  <w:r>
                    <w:t xml:space="preserve">F10131</w:t>
                  </w:r>
                </w:p>
              </w:tc>
              <w:tc>
                <w:tcPr/>
                <w:p>
                  <w:pPr>
                    <w:pStyle w:val="Compact"/>
                    <w:jc w:val="left"/>
                    <w:jc w:val="center"/>
                  </w:pPr>
                  <w:r>
                    <w:t xml:space="preserve">exact; Alcohol abuse with withdrawal delirium</w:t>
                  </w:r>
                </w:p>
              </w:tc>
              <w:tc>
                <w:tcPr/>
                <w:p>
                  <w:pPr>
                    <w:pStyle w:val="Compact"/>
                    <w:jc w:val="left"/>
                    <w:jc w:val="center"/>
                  </w:pPr>
                  <w:r>
                    <w:t xml:space="preserve">2020-10-01 to present</w:t>
                  </w:r>
                </w:p>
              </w:tc>
            </w:tr>
            <w:tr>
              <w:tc>
                <w:tcPr/>
                <w:p>
                  <w:pPr>
                    <w:pStyle w:val="Compact"/>
                    <w:jc w:val="left"/>
                    <w:jc w:val="center"/>
                  </w:pPr>
                  <w:r>
                    <w:t xml:space="preserve">AWS Main</w:t>
                  </w:r>
                </w:p>
              </w:tc>
              <w:tc>
                <w:tcPr/>
                <w:p>
                  <w:pPr>
                    <w:pStyle w:val="Compact"/>
                    <w:jc w:val="left"/>
                    <w:jc w:val="center"/>
                  </w:pPr>
                  <w:r>
                    <w:t xml:space="preserve">F10132</w:t>
                  </w:r>
                </w:p>
              </w:tc>
              <w:tc>
                <w:tcPr/>
                <w:p>
                  <w:pPr>
                    <w:pStyle w:val="Compact"/>
                    <w:jc w:val="left"/>
                    <w:jc w:val="center"/>
                  </w:pPr>
                  <w:r>
                    <w:t xml:space="preserve">exact; Alcohol abuse with withdrawal with perceptual disturbance</w:t>
                  </w:r>
                </w:p>
              </w:tc>
              <w:tc>
                <w:tcPr/>
                <w:p>
                  <w:pPr>
                    <w:pStyle w:val="Compact"/>
                    <w:jc w:val="left"/>
                    <w:jc w:val="center"/>
                  </w:pPr>
                  <w:r>
                    <w:t xml:space="preserve">2020-10-01 to present</w:t>
                  </w:r>
                </w:p>
              </w:tc>
            </w:tr>
            <w:tr>
              <w:tc>
                <w:tcPr/>
                <w:p>
                  <w:pPr>
                    <w:pStyle w:val="Compact"/>
                    <w:jc w:val="left"/>
                    <w:jc w:val="center"/>
                  </w:pPr>
                  <w:r>
                    <w:t xml:space="preserve">AWS Main</w:t>
                  </w:r>
                </w:p>
              </w:tc>
              <w:tc>
                <w:tcPr/>
                <w:p>
                  <w:pPr>
                    <w:pStyle w:val="Compact"/>
                    <w:jc w:val="left"/>
                    <w:jc w:val="center"/>
                  </w:pPr>
                  <w:r>
                    <w:t xml:space="preserve">F10139</w:t>
                  </w:r>
                </w:p>
              </w:tc>
              <w:tc>
                <w:tcPr/>
                <w:p>
                  <w:pPr>
                    <w:pStyle w:val="Compact"/>
                    <w:jc w:val="left"/>
                    <w:jc w:val="center"/>
                  </w:pPr>
                  <w:r>
                    <w:t xml:space="preserve">exact; Alcohol abuse with withdrawal, unspecified</w:t>
                  </w:r>
                </w:p>
              </w:tc>
              <w:tc>
                <w:tcPr/>
                <w:p>
                  <w:pPr>
                    <w:pStyle w:val="Compact"/>
                    <w:jc w:val="left"/>
                    <w:jc w:val="center"/>
                  </w:pPr>
                  <w:r>
                    <w:t xml:space="preserve">2020-10-01 to present</w:t>
                  </w:r>
                </w:p>
              </w:tc>
            </w:tr>
            <w:tr>
              <w:tc>
                <w:tcPr/>
                <w:p>
                  <w:pPr>
                    <w:pStyle w:val="Compact"/>
                    <w:jc w:val="left"/>
                    <w:jc w:val="center"/>
                  </w:pPr>
                  <w:r>
                    <w:t xml:space="preserve">Invasive Mechanical Ventilation</w:t>
                  </w:r>
                </w:p>
              </w:tc>
              <w:tc>
                <w:tcPr/>
                <w:p>
                  <w:pPr>
                    <w:pStyle w:val="Compact"/>
                    <w:jc w:val="left"/>
                    <w:jc w:val="center"/>
                  </w:pPr>
                  <w:r>
                    <w:t xml:space="preserve">5A1935Z</w:t>
                  </w:r>
                </w:p>
              </w:tc>
              <w:tc>
                <w:tcPr/>
                <w:p>
                  <w:pPr>
                    <w:pStyle w:val="Compact"/>
                    <w:jc w:val="left"/>
                    <w:jc w:val="center"/>
                  </w:pPr>
                  <w:r>
                    <w:t xml:space="preserve">exact; Respiratory ventilation, less than 24 consecutive hours</w:t>
                  </w:r>
                </w:p>
              </w:tc>
              <w:tc>
                <w:tcPr/>
                <w:p>
                  <w:pPr>
                    <w:pStyle w:val="Compact"/>
                    <w:jc w:val="left"/>
                    <w:jc w:val="center"/>
                  </w:pPr>
                  <w:r>
                    <w:t xml:space="preserve">2017–2022</w:t>
                  </w:r>
                </w:p>
              </w:tc>
            </w:tr>
            <w:tr>
              <w:tc>
                <w:tcPr/>
                <w:p>
                  <w:pPr>
                    <w:pStyle w:val="Compact"/>
                    <w:jc w:val="left"/>
                    <w:jc w:val="center"/>
                  </w:pPr>
                  <w:r>
                    <w:t xml:space="preserve">Invasive Mechanical Ventilation</w:t>
                  </w:r>
                </w:p>
              </w:tc>
              <w:tc>
                <w:tcPr/>
                <w:p>
                  <w:pPr>
                    <w:pStyle w:val="Compact"/>
                    <w:jc w:val="left"/>
                    <w:jc w:val="center"/>
                  </w:pPr>
                  <w:r>
                    <w:t xml:space="preserve">5A1945Z</w:t>
                  </w:r>
                </w:p>
              </w:tc>
              <w:tc>
                <w:tcPr/>
                <w:p>
                  <w:pPr>
                    <w:pStyle w:val="Compact"/>
                    <w:jc w:val="left"/>
                    <w:jc w:val="center"/>
                  </w:pPr>
                  <w:r>
                    <w:t xml:space="preserve">exact; Respiratory ventilation, 24-96 consecutive hours</w:t>
                  </w:r>
                </w:p>
              </w:tc>
              <w:tc>
                <w:tcPr/>
                <w:p>
                  <w:pPr>
                    <w:pStyle w:val="Compact"/>
                    <w:jc w:val="left"/>
                    <w:jc w:val="center"/>
                  </w:pPr>
                  <w:r>
                    <w:t xml:space="preserve">2017–2022</w:t>
                  </w:r>
                </w:p>
              </w:tc>
            </w:tr>
            <w:tr>
              <w:tc>
                <w:tcPr/>
                <w:p>
                  <w:pPr>
                    <w:pStyle w:val="Compact"/>
                    <w:jc w:val="left"/>
                    <w:jc w:val="center"/>
                  </w:pPr>
                  <w:r>
                    <w:t xml:space="preserve">Invasive Mechanical Ventilation</w:t>
                  </w:r>
                </w:p>
              </w:tc>
              <w:tc>
                <w:tcPr/>
                <w:p>
                  <w:pPr>
                    <w:pStyle w:val="Compact"/>
                    <w:jc w:val="left"/>
                    <w:jc w:val="center"/>
                  </w:pPr>
                  <w:r>
                    <w:t xml:space="preserve">5A1955Z</w:t>
                  </w:r>
                </w:p>
              </w:tc>
              <w:tc>
                <w:tcPr/>
                <w:p>
                  <w:pPr>
                    <w:pStyle w:val="Compact"/>
                    <w:jc w:val="left"/>
                    <w:jc w:val="center"/>
                  </w:pPr>
                  <w:r>
                    <w:t xml:space="preserve">exact; Respiratory ventilation, greater than 96 consecutive hours</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J12</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J13</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J14</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J15</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J16</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J17</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Pneumonia</w:t>
                  </w:r>
                </w:p>
              </w:tc>
              <w:tc>
                <w:tcPr/>
                <w:p>
                  <w:pPr>
                    <w:pStyle w:val="Compact"/>
                    <w:jc w:val="left"/>
                    <w:jc w:val="center"/>
                  </w:pPr>
                  <w:r>
                    <w:t xml:space="preserve">J18</w:t>
                  </w:r>
                </w:p>
              </w:tc>
              <w:tc>
                <w:tcPr/>
                <w:p>
                  <w:pPr>
                    <w:pStyle w:val="Compact"/>
                    <w:jc w:val="left"/>
                    <w:jc w:val="center"/>
                  </w:pPr>
                  <w:r>
                    <w:t xml:space="preserve">prefix; Pneumonia</w:t>
                  </w:r>
                </w:p>
              </w:tc>
              <w:tc>
                <w:tcPr/>
                <w:p>
                  <w:pPr>
                    <w:pStyle w:val="Compact"/>
                    <w:jc w:val="left"/>
                    <w:jc w:val="center"/>
                  </w:pPr>
                  <w:r>
                    <w:t xml:space="preserve">2017–2022</w:t>
                  </w:r>
                </w:p>
              </w:tc>
            </w:tr>
            <w:tr>
              <w:tc>
                <w:tcPr/>
                <w:p>
                  <w:pPr>
                    <w:pStyle w:val="Compact"/>
                    <w:jc w:val="left"/>
                    <w:jc w:val="center"/>
                  </w:pPr>
                  <w:r>
                    <w:t xml:space="preserve">Aspiration Pneumonitis</w:t>
                  </w:r>
                </w:p>
              </w:tc>
              <w:tc>
                <w:tcPr/>
                <w:p>
                  <w:pPr>
                    <w:pStyle w:val="Compact"/>
                    <w:jc w:val="left"/>
                    <w:jc w:val="center"/>
                  </w:pPr>
                  <w:r>
                    <w:t xml:space="preserve">J690</w:t>
                  </w:r>
                </w:p>
              </w:tc>
              <w:tc>
                <w:tcPr/>
                <w:p>
                  <w:pPr>
                    <w:pStyle w:val="Compact"/>
                    <w:jc w:val="left"/>
                    <w:jc w:val="center"/>
                  </w:pPr>
                  <w:r>
                    <w:t xml:space="preserve">exact; Pneumonitis due to inhalation of food and vomit</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F11</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F12</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F13</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F14</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F15</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F16</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F18</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w:t>
                  </w:r>
                </w:p>
              </w:tc>
              <w:tc>
                <w:tcPr/>
                <w:p>
                  <w:pPr>
                    <w:pStyle w:val="Compact"/>
                    <w:jc w:val="left"/>
                    <w:jc w:val="center"/>
                  </w:pPr>
                  <w:r>
                    <w:t xml:space="preserve">F19</w:t>
                  </w:r>
                </w:p>
              </w:tc>
              <w:tc>
                <w:tcPr/>
                <w:p>
                  <w:pPr>
                    <w:pStyle w:val="Compact"/>
                    <w:jc w:val="left"/>
                    <w:jc w:val="center"/>
                  </w:pPr>
                  <w:r>
                    <w:t xml:space="preserve">prefix; Other substance use disorder (excluding remission-only)</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F1111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F1121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F1211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F1221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F1311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F1321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F1411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F1421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F1511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F1521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F1611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F1621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F1811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F1821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F1911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Other SUD Remission</w:t>
                  </w:r>
                </w:p>
              </w:tc>
              <w:tc>
                <w:tcPr/>
                <w:p>
                  <w:pPr>
                    <w:pStyle w:val="Compact"/>
                    <w:jc w:val="left"/>
                    <w:jc w:val="center"/>
                  </w:pPr>
                  <w:r>
                    <w:t xml:space="preserve">F1921</w:t>
                  </w:r>
                </w:p>
              </w:tc>
              <w:tc>
                <w:tcPr/>
                <w:p>
                  <w:pPr>
                    <w:pStyle w:val="Compact"/>
                    <w:jc w:val="left"/>
                    <w:jc w:val="center"/>
                  </w:pPr>
                  <w:r>
                    <w:t xml:space="preserve">exact; Other substance use disorder in remission</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K70</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K71</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K72</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K73</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K74</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K75</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K76</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Liver Disease</w:t>
                  </w:r>
                </w:p>
              </w:tc>
              <w:tc>
                <w:tcPr/>
                <w:p>
                  <w:pPr>
                    <w:pStyle w:val="Compact"/>
                    <w:jc w:val="left"/>
                    <w:jc w:val="center"/>
                  </w:pPr>
                  <w:r>
                    <w:t xml:space="preserve">K77</w:t>
                  </w:r>
                </w:p>
              </w:tc>
              <w:tc>
                <w:tcPr/>
                <w:p>
                  <w:pPr>
                    <w:pStyle w:val="Compact"/>
                    <w:jc w:val="left"/>
                    <w:jc w:val="center"/>
                  </w:pPr>
                  <w:r>
                    <w:t xml:space="preserve">prefix; Any liver disease (K70-K77)</w:t>
                  </w:r>
                </w:p>
              </w:tc>
              <w:tc>
                <w:tcPr/>
                <w:p>
                  <w:pPr>
                    <w:pStyle w:val="Compact"/>
                    <w:jc w:val="left"/>
                    <w:jc w:val="center"/>
                  </w:pPr>
                  <w:r>
                    <w:t xml:space="preserve">2017–2022</w:t>
                  </w:r>
                </w:p>
              </w:tc>
            </w:tr>
            <w:tr>
              <w:tc>
                <w:tcPr/>
                <w:p>
                  <w:pPr>
                    <w:pStyle w:val="Compact"/>
                    <w:jc w:val="left"/>
                    <w:jc w:val="center"/>
                  </w:pPr>
                  <w:r>
                    <w:t xml:space="preserve">Alcoholic Liver Disease</w:t>
                  </w:r>
                </w:p>
              </w:tc>
              <w:tc>
                <w:tcPr/>
                <w:p>
                  <w:pPr>
                    <w:pStyle w:val="Compact"/>
                    <w:jc w:val="left"/>
                    <w:jc w:val="center"/>
                  </w:pPr>
                  <w:r>
                    <w:t xml:space="preserve">K70</w:t>
                  </w:r>
                </w:p>
              </w:tc>
              <w:tc>
                <w:tcPr/>
                <w:p>
                  <w:pPr>
                    <w:pStyle w:val="Compact"/>
                    <w:jc w:val="left"/>
                    <w:jc w:val="center"/>
                  </w:pPr>
                  <w:r>
                    <w:t xml:space="preserve">prefix; Alcoholic liver disease</w:t>
                  </w:r>
                </w:p>
              </w:tc>
              <w:tc>
                <w:tcPr/>
                <w:p>
                  <w:pPr>
                    <w:pStyle w:val="Compact"/>
                    <w:jc w:val="left"/>
                    <w:jc w:val="center"/>
                  </w:pPr>
                  <w:r>
                    <w:t xml:space="preserve">2017–2022</w:t>
                  </w:r>
                </w:p>
              </w:tc>
            </w:tr>
            <w:tr>
              <w:tc>
                <w:tcPr/>
                <w:p>
                  <w:pPr>
                    <w:pStyle w:val="Compact"/>
                    <w:jc w:val="left"/>
                    <w:jc w:val="center"/>
                  </w:pPr>
                  <w:r>
                    <w:t xml:space="preserve">Skull Fracture</w:t>
                  </w:r>
                </w:p>
              </w:tc>
              <w:tc>
                <w:tcPr/>
                <w:p>
                  <w:pPr>
                    <w:pStyle w:val="Compact"/>
                    <w:jc w:val="left"/>
                    <w:jc w:val="center"/>
                  </w:pPr>
                  <w:r>
                    <w:t xml:space="preserve">S020</w:t>
                  </w:r>
                </w:p>
              </w:tc>
              <w:tc>
                <w:tcPr/>
                <w:p>
                  <w:pPr>
                    <w:pStyle w:val="Compact"/>
                    <w:jc w:val="left"/>
                    <w:jc w:val="center"/>
                  </w:pPr>
                  <w:r>
                    <w:t xml:space="preserve">prefix; Fracture of vault of skull (7th char A or B)</w:t>
                  </w:r>
                </w:p>
              </w:tc>
              <w:tc>
                <w:tcPr/>
                <w:p>
                  <w:pPr>
                    <w:pStyle w:val="Compact"/>
                    <w:jc w:val="left"/>
                    <w:jc w:val="center"/>
                  </w:pPr>
                  <w:r>
                    <w:t xml:space="preserve">2017–2022</w:t>
                  </w:r>
                </w:p>
              </w:tc>
            </w:tr>
            <w:tr>
              <w:tc>
                <w:tcPr/>
                <w:p>
                  <w:pPr>
                    <w:pStyle w:val="Compact"/>
                    <w:jc w:val="left"/>
                    <w:jc w:val="center"/>
                  </w:pPr>
                  <w:r>
                    <w:t xml:space="preserve">Skull Fracture</w:t>
                  </w:r>
                </w:p>
              </w:tc>
              <w:tc>
                <w:tcPr/>
                <w:p>
                  <w:pPr>
                    <w:pStyle w:val="Compact"/>
                    <w:jc w:val="left"/>
                    <w:jc w:val="center"/>
                  </w:pPr>
                  <w:r>
                    <w:t xml:space="preserve">S021</w:t>
                  </w:r>
                </w:p>
              </w:tc>
              <w:tc>
                <w:tcPr/>
                <w:p>
                  <w:pPr>
                    <w:pStyle w:val="Compact"/>
                    <w:jc w:val="left"/>
                    <w:jc w:val="center"/>
                  </w:pPr>
                  <w:r>
                    <w:t xml:space="preserve">prefix; Fracture of base of skull (7th char A or B)</w:t>
                  </w:r>
                </w:p>
              </w:tc>
              <w:tc>
                <w:tcPr/>
                <w:p>
                  <w:pPr>
                    <w:pStyle w:val="Compact"/>
                    <w:jc w:val="left"/>
                    <w:jc w:val="center"/>
                  </w:pPr>
                  <w:r>
                    <w:t xml:space="preserve">2017–2022</w:t>
                  </w:r>
                </w:p>
              </w:tc>
            </w:tr>
            <w:tr>
              <w:tc>
                <w:tcPr/>
                <w:p>
                  <w:pPr>
                    <w:pStyle w:val="Compact"/>
                    <w:jc w:val="left"/>
                    <w:jc w:val="center"/>
                  </w:pPr>
                  <w:r>
                    <w:t xml:space="preserve">Skull Fracture</w:t>
                  </w:r>
                </w:p>
              </w:tc>
              <w:tc>
                <w:tcPr/>
                <w:p>
                  <w:pPr>
                    <w:pStyle w:val="Compact"/>
                    <w:jc w:val="left"/>
                    <w:jc w:val="center"/>
                  </w:pPr>
                  <w:r>
                    <w:t xml:space="preserve">S0291</w:t>
                  </w:r>
                </w:p>
              </w:tc>
              <w:tc>
                <w:tcPr/>
                <w:p>
                  <w:pPr>
                    <w:pStyle w:val="Compact"/>
                    <w:jc w:val="left"/>
                    <w:jc w:val="center"/>
                  </w:pPr>
                  <w:r>
                    <w:t xml:space="preserve">prefix; Unspecified fracture of skull (7th char A or B)</w:t>
                  </w:r>
                </w:p>
              </w:tc>
              <w:tc>
                <w:tcPr/>
                <w:p>
                  <w:pPr>
                    <w:pStyle w:val="Compact"/>
                    <w:jc w:val="left"/>
                    <w:jc w:val="center"/>
                  </w:pPr>
                  <w:r>
                    <w:t xml:space="preserve">2017–2022</w:t>
                  </w:r>
                </w:p>
              </w:tc>
            </w:tr>
            <w:tr>
              <w:tc>
                <w:tcPr/>
                <w:p>
                  <w:pPr>
                    <w:pStyle w:val="Compact"/>
                    <w:jc w:val="left"/>
                    <w:jc w:val="center"/>
                  </w:pPr>
                  <w:r>
                    <w:t xml:space="preserve">Extracranial Injury</w:t>
                  </w:r>
                </w:p>
              </w:tc>
              <w:tc>
                <w:tcPr/>
                <w:p>
                  <w:pPr>
                    <w:pStyle w:val="Compact"/>
                    <w:jc w:val="left"/>
                    <w:jc w:val="center"/>
                  </w:pPr>
                  <w:r>
                    <w:t xml:space="preserve">S10-S99</w:t>
                  </w:r>
                </w:p>
              </w:tc>
              <w:tc>
                <w:tcPr/>
                <w:p>
                  <w:pPr>
                    <w:pStyle w:val="Compact"/>
                    <w:jc w:val="left"/>
                    <w:jc w:val="center"/>
                  </w:pPr>
                  <w:r>
                    <w:t xml:space="preserve">range; Injury outside head (7th char A, B, or C)</w:t>
                  </w:r>
                </w:p>
              </w:tc>
              <w:tc>
                <w:tcPr/>
                <w:p>
                  <w:pPr>
                    <w:pStyle w:val="Compact"/>
                    <w:jc w:val="left"/>
                    <w:jc w:val="center"/>
                  </w:pPr>
                  <w:r>
                    <w:t xml:space="preserve">2017–2022</w:t>
                  </w:r>
                </w:p>
              </w:tc>
            </w:tr>
            <w:tr>
              <w:tc>
                <w:tcPr/>
                <w:p>
                  <w:pPr>
                    <w:pStyle w:val="Compact"/>
                    <w:jc w:val="left"/>
                    <w:jc w:val="center"/>
                  </w:pPr>
                  <w:r>
                    <w:t xml:space="preserve">Tobacco Use</w:t>
                  </w:r>
                </w:p>
              </w:tc>
              <w:tc>
                <w:tcPr/>
                <w:p>
                  <w:pPr>
                    <w:pStyle w:val="Compact"/>
                    <w:jc w:val="left"/>
                    <w:jc w:val="center"/>
                  </w:pPr>
                  <w:r>
                    <w:t xml:space="preserve">F17</w:t>
                  </w:r>
                </w:p>
              </w:tc>
              <w:tc>
                <w:tcPr/>
                <w:p>
                  <w:pPr>
                    <w:pStyle w:val="Compact"/>
                    <w:jc w:val="left"/>
                    <w:jc w:val="center"/>
                  </w:pPr>
                  <w:r>
                    <w:t xml:space="preserve">prefix; Nicotine dependence</w:t>
                  </w:r>
                </w:p>
              </w:tc>
              <w:tc>
                <w:tcPr/>
                <w:p>
                  <w:pPr>
                    <w:pStyle w:val="Compact"/>
                    <w:jc w:val="left"/>
                    <w:jc w:val="center"/>
                  </w:pPr>
                  <w:r>
                    <w:t xml:space="preserve">2017–2022</w:t>
                  </w:r>
                </w:p>
              </w:tc>
            </w:tr>
            <w:tr>
              <w:tc>
                <w:tcPr/>
                <w:p>
                  <w:pPr>
                    <w:pStyle w:val="Compact"/>
                    <w:jc w:val="left"/>
                    <w:jc w:val="center"/>
                  </w:pPr>
                  <w:r>
                    <w:t xml:space="preserve">Tobacco Use</w:t>
                  </w:r>
                </w:p>
              </w:tc>
              <w:tc>
                <w:tcPr/>
                <w:p>
                  <w:pPr>
                    <w:pStyle w:val="Compact"/>
                    <w:jc w:val="left"/>
                    <w:jc w:val="center"/>
                  </w:pPr>
                  <w:r>
                    <w:t xml:space="preserve">Z720</w:t>
                  </w:r>
                </w:p>
              </w:tc>
              <w:tc>
                <w:tcPr/>
                <w:p>
                  <w:pPr>
                    <w:pStyle w:val="Compact"/>
                    <w:jc w:val="left"/>
                    <w:jc w:val="center"/>
                  </w:pPr>
                  <w:r>
                    <w:t xml:space="preserve">exact; Tobacco use</w:t>
                  </w:r>
                </w:p>
              </w:tc>
              <w:tc>
                <w:tcPr/>
                <w:p>
                  <w:pPr>
                    <w:pStyle w:val="Compact"/>
                    <w:jc w:val="left"/>
                    <w:jc w:val="center"/>
                  </w:pPr>
                  <w:r>
                    <w:t xml:space="preserve">2017–2022</w:t>
                  </w:r>
                </w:p>
              </w:tc>
            </w:tr>
            <w:tr>
              <w:tc>
                <w:tcPr/>
                <w:p>
                  <w:pPr>
                    <w:pStyle w:val="Compact"/>
                    <w:jc w:val="left"/>
                    <w:jc w:val="center"/>
                  </w:pPr>
                  <w:r>
                    <w:t xml:space="preserve">Tobacco Use</w:t>
                  </w:r>
                </w:p>
              </w:tc>
              <w:tc>
                <w:tcPr/>
                <w:p>
                  <w:pPr>
                    <w:pStyle w:val="Compact"/>
                    <w:jc w:val="left"/>
                    <w:jc w:val="center"/>
                  </w:pPr>
                  <w:r>
                    <w:t xml:space="preserve">Z87891</w:t>
                  </w:r>
                </w:p>
              </w:tc>
              <w:tc>
                <w:tcPr/>
                <w:p>
                  <w:pPr>
                    <w:pStyle w:val="Compact"/>
                    <w:jc w:val="left"/>
                    <w:jc w:val="center"/>
                  </w:pPr>
                  <w:r>
                    <w:t xml:space="preserve">exact; Personal history of nicotine dependence</w:t>
                  </w:r>
                </w:p>
              </w:tc>
              <w:tc>
                <w:tcPr/>
                <w:p>
                  <w:pPr>
                    <w:pStyle w:val="Compact"/>
                    <w:jc w:val="left"/>
                    <w:jc w:val="center"/>
                  </w:pPr>
                  <w:r>
                    <w:t xml:space="preserve">2017–2022</w:t>
                  </w:r>
                </w:p>
              </w:tc>
            </w:tr>
            <w:tr>
              <w:tc>
                <w:tcPr/>
                <w:p>
                  <w:pPr>
                    <w:pStyle w:val="Compact"/>
                    <w:jc w:val="left"/>
                    <w:jc w:val="center"/>
                  </w:pPr>
                  <w:r>
                    <w:t xml:space="preserve">TBI subtype hierarchy: diffuse injury or brain compression</w:t>
                  </w:r>
                </w:p>
              </w:tc>
              <w:tc>
                <w:tcPr/>
                <w:p>
                  <w:pPr>
                    <w:pStyle w:val="Compact"/>
                    <w:jc w:val="left"/>
                    <w:jc w:val="center"/>
                  </w:pPr>
                  <w:r>
                    <w:t xml:space="preserve">S06.2</w:t>
                  </w:r>
                  <w:r>
                    <w:rPr>
                      <w:i/>
                      <w:iCs/>
                    </w:rPr>
                    <w:t xml:space="preserve">, S06.A</w:t>
                  </w:r>
                </w:p>
              </w:tc>
              <w:tc>
                <w:tcPr/>
                <w:p>
                  <w:pPr>
                    <w:pStyle w:val="Compact"/>
                    <w:jc w:val="left"/>
                    <w:jc w:val="center"/>
                  </w:pPr>
                  <w:r>
                    <w:t xml:space="preserve">Qualifying S06 code with 7th character A; highest priority</w:t>
                  </w:r>
                </w:p>
              </w:tc>
              <w:tc>
                <w:tcPr/>
                <w:p>
                  <w:pPr>
                    <w:pStyle w:val="Compact"/>
                    <w:jc w:val="left"/>
                    <w:jc w:val="center"/>
                  </w:pPr>
                  <w:r>
                    <w:t xml:space="preserve">2017–2022</w:t>
                  </w:r>
                </w:p>
              </w:tc>
            </w:tr>
            <w:tr>
              <w:tc>
                <w:tcPr/>
                <w:p>
                  <w:pPr>
                    <w:pStyle w:val="Compact"/>
                    <w:jc w:val="left"/>
                    <w:jc w:val="center"/>
                  </w:pPr>
                  <w:r>
                    <w:t xml:space="preserve">TBI subtype hierarchy: epidural hemorrhage</w:t>
                  </w:r>
                </w:p>
              </w:tc>
              <w:tc>
                <w:tcPr/>
                <w:p>
                  <w:pPr>
                    <w:pStyle w:val="Compact"/>
                    <w:jc w:val="left"/>
                    <w:jc w:val="center"/>
                  </w:pPr>
                  <w:r>
                    <w:t xml:space="preserve">S06.4*</w:t>
                  </w:r>
                </w:p>
              </w:tc>
              <w:tc>
                <w:tcPr/>
                <w:p>
                  <w:pPr>
                    <w:pStyle w:val="Compact"/>
                    <w:jc w:val="left"/>
                    <w:jc w:val="center"/>
                  </w:pPr>
                  <w:r>
                    <w:t xml:space="preserve">Qualifying S06 code with 7th character A; second priority</w:t>
                  </w:r>
                </w:p>
              </w:tc>
              <w:tc>
                <w:tcPr/>
                <w:p>
                  <w:pPr>
                    <w:pStyle w:val="Compact"/>
                    <w:jc w:val="left"/>
                    <w:jc w:val="center"/>
                  </w:pPr>
                  <w:r>
                    <w:t xml:space="preserve">2017–2022</w:t>
                  </w:r>
                </w:p>
              </w:tc>
            </w:tr>
            <w:tr>
              <w:tc>
                <w:tcPr/>
                <w:p>
                  <w:pPr>
                    <w:pStyle w:val="Compact"/>
                    <w:jc w:val="left"/>
                    <w:jc w:val="center"/>
                  </w:pPr>
                  <w:r>
                    <w:t xml:space="preserve">TBI subtype hierarchy: subdural hemorrhage</w:t>
                  </w:r>
                </w:p>
              </w:tc>
              <w:tc>
                <w:tcPr/>
                <w:p>
                  <w:pPr>
                    <w:pStyle w:val="Compact"/>
                    <w:jc w:val="left"/>
                    <w:jc w:val="center"/>
                  </w:pPr>
                  <w:r>
                    <w:t xml:space="preserve">S06.5*</w:t>
                  </w:r>
                </w:p>
              </w:tc>
              <w:tc>
                <w:tcPr/>
                <w:p>
                  <w:pPr>
                    <w:pStyle w:val="Compact"/>
                    <w:jc w:val="left"/>
                    <w:jc w:val="center"/>
                  </w:pPr>
                  <w:r>
                    <w:t xml:space="preserve">Qualifying S06 code with 7th character A; third priority</w:t>
                  </w:r>
                </w:p>
              </w:tc>
              <w:tc>
                <w:tcPr/>
                <w:p>
                  <w:pPr>
                    <w:pStyle w:val="Compact"/>
                    <w:jc w:val="left"/>
                    <w:jc w:val="center"/>
                  </w:pPr>
                  <w:r>
                    <w:t xml:space="preserve">2017–2022</w:t>
                  </w:r>
                </w:p>
              </w:tc>
            </w:tr>
            <w:tr>
              <w:tc>
                <w:tcPr/>
                <w:p>
                  <w:pPr>
                    <w:pStyle w:val="Compact"/>
                    <w:jc w:val="left"/>
                    <w:jc w:val="center"/>
                  </w:pPr>
                  <w:r>
                    <w:t xml:space="preserve">TBI subtype hierarchy: contusion/focal, SAH, or edema</w:t>
                  </w:r>
                </w:p>
              </w:tc>
              <w:tc>
                <w:tcPr/>
                <w:p>
                  <w:pPr>
                    <w:pStyle w:val="Compact"/>
                    <w:jc w:val="left"/>
                    <w:jc w:val="center"/>
                  </w:pPr>
                  <w:r>
                    <w:t xml:space="preserve">S06.1</w:t>
                  </w:r>
                  <w:r>
                    <w:rPr>
                      <w:i/>
                      <w:iCs/>
                    </w:rPr>
                    <w:t xml:space="preserve">, S06.3</w:t>
                  </w:r>
                  <w:r>
                    <w:t xml:space="preserve">, S06.6*</w:t>
                  </w:r>
                </w:p>
              </w:tc>
              <w:tc>
                <w:tcPr/>
                <w:p>
                  <w:pPr>
                    <w:pStyle w:val="Compact"/>
                    <w:jc w:val="left"/>
                    <w:jc w:val="center"/>
                  </w:pPr>
                  <w:r>
                    <w:t xml:space="preserve">Qualifying S06 code with 7th character A; fourth priority</w:t>
                  </w:r>
                </w:p>
              </w:tc>
              <w:tc>
                <w:tcPr/>
                <w:p>
                  <w:pPr>
                    <w:pStyle w:val="Compact"/>
                    <w:jc w:val="left"/>
                    <w:jc w:val="center"/>
                  </w:pPr>
                  <w:r>
                    <w:t xml:space="preserve">2017–2022</w:t>
                  </w:r>
                </w:p>
              </w:tc>
            </w:tr>
            <w:tr>
              <w:tc>
                <w:tcPr/>
                <w:p>
                  <w:pPr>
                    <w:pStyle w:val="Compact"/>
                    <w:jc w:val="left"/>
                    <w:jc w:val="center"/>
                  </w:pPr>
                  <w:r>
                    <w:t xml:space="preserve">TBI subtype hierarchy: concussion, other or unspecified only</w:t>
                  </w:r>
                </w:p>
              </w:tc>
              <w:tc>
                <w:tcPr/>
                <w:p>
                  <w:pPr>
                    <w:pStyle w:val="Compact"/>
                    <w:jc w:val="left"/>
                    <w:jc w:val="center"/>
                  </w:pPr>
                  <w:r>
                    <w:t xml:space="preserve">S06.0</w:t>
                  </w:r>
                  <w:r>
                    <w:rPr>
                      <w:i/>
                      <w:iCs/>
                    </w:rPr>
                    <w:t xml:space="preserve">, S06.8</w:t>
                  </w:r>
                  <w:r>
                    <w:t xml:space="preserve">, S06.9*</w:t>
                  </w:r>
                </w:p>
              </w:tc>
              <w:tc>
                <w:tcPr/>
                <w:p>
                  <w:pPr>
                    <w:pStyle w:val="Compact"/>
                    <w:jc w:val="left"/>
                    <w:jc w:val="center"/>
                  </w:pPr>
                  <w:r>
                    <w:t xml:space="preserve">Qualifying S06 code with 7th character A; reference/remaining category</w:t>
                  </w:r>
                </w:p>
              </w:tc>
              <w:tc>
                <w:tcPr/>
                <w:p>
                  <w:pPr>
                    <w:pStyle w:val="Compact"/>
                    <w:jc w:val="left"/>
                    <w:jc w:val="center"/>
                  </w:pPr>
                  <w:r>
                    <w:t xml:space="preserve">2017–2022</w:t>
                  </w:r>
                </w:p>
              </w:tc>
            </w:tr>
          </w:tbl>
          <w:bookmarkEnd w:id="44"/>
          <w:p/>
        </w:tc>
      </w:tr>
    </w:tbl>
    <w:p>
      <w:pPr>
        <w:pStyle w:val="BodyText"/>
      </w:pPr>
      <w:r>
        <w:rPr>
          <w:i/>
          <w:iCs/>
        </w:rPr>
        <w:t xml:space="preserve">Code patterns were applied across diagnosis fields unless the description specifies a principal-diagnosis or procedure-field rule. Count summaries elsewhere in this report use weighted n (weighted %).</w:t>
      </w:r>
    </w:p>
    <w:bookmarkEnd w:id="45"/>
    <w:bookmarkStart w:id="47" w:name="table-s2.-full-adjusted-mortality-model"/>
    <w:p>
      <w:pPr>
        <w:pStyle w:val="Heading3"/>
      </w:pPr>
      <w:r>
        <w:t xml:space="preserve">Table S2. Full adjusted mortality model</w:t>
      </w:r>
    </w:p>
    <w:p>
      <w:pPr>
        <w:pStyle w:val="FirstParagraph"/>
      </w:pPr>
      <w:r>
        <w:rPr>
          <w:b/>
          <w:bCs/>
        </w:rPr>
        <w:t xml:space="preserve">Table S2. Full multivariable survey logistic regression model for in-hospital mortality.</w:t>
      </w:r>
    </w:p>
    <w:tbl>
      <w:tblPr>
        <w:tblStyle w:val="Table"/>
        <w:tblW w:type="pct" w:w="5000"/>
        <w:tblLayout w:type="fixed"/>
        <w:tblLook w:firstRow="0" w:lastRow="0" w:firstColumn="0" w:lastColumn="0" w:noHBand="0" w:noVBand="0" w:val="0000"/>
      </w:tblPr>
      <w:tblGrid>
        <w:gridCol w:w="7920"/>
      </w:tblGrid>
      <w:tr>
        <w:tc>
          <w:tcPr/>
          <w:bookmarkStart w:id="46" w:name="tbl-s2"/>
          <w:p>
            <w:pPr>
              <w:jc w:val="center"/>
            </w:pPr>
            <w:pPr>
              <w:jc w:val="left"/>
              <w:spacing w:before="200"/>
              <w:pStyle w:val="ImageCaption"/>
            </w:pPr>
            <w:r>
              <w:t xml:space="preserve">Table 5</w:t>
            </w:r>
          </w:p>
          <w:tbl>
            <w:tblPr>
              <w:tblStyle w:val="Table"/>
              <w:tblW w:type="pct" w:w="5000"/>
              <w:tblLayout w:type="fixed"/>
              <w:tblLook w:firstRow="1" w:lastRow="0" w:firstColumn="0" w:lastColumn="0" w:noHBand="0" w:noVBand="0" w:val="0020"/>
            </w:tblPr>
            <w:tblGrid>
              <w:gridCol w:w="3624"/>
              <w:gridCol w:w="2550"/>
              <w:gridCol w:w="1208"/>
              <w:gridCol w:w="536"/>
            </w:tblGrid>
            <w:tr>
              <w:trPr>
                <w:tblHeader w:val="on"/>
              </w:trPr>
              <w:tc>
                <w:tcPr/>
                <w:p>
                  <w:pPr>
                    <w:pStyle w:val="Compact"/>
                    <w:jc w:val="left"/>
                    <w:jc w:val="center"/>
                  </w:pPr>
                  <w:r>
                    <w:t xml:space="preserve">Covariate</w:t>
                  </w:r>
                </w:p>
              </w:tc>
              <w:tc>
                <w:tcPr/>
                <w:p>
                  <w:pPr>
                    <w:pStyle w:val="Compact"/>
                    <w:jc w:val="left"/>
                    <w:jc w:val="center"/>
                  </w:pPr>
                  <w:r>
                    <w:t xml:space="preserve">Level</w:t>
                  </w:r>
                </w:p>
              </w:tc>
              <w:tc>
                <w:tcPr/>
                <w:p>
                  <w:pPr>
                    <w:pStyle w:val="Compact"/>
                    <w:jc w:val="left"/>
                    <w:jc w:val="center"/>
                  </w:pPr>
                  <w:r>
                    <w:t xml:space="preserve">aOR (95% CI)</w:t>
                  </w:r>
                </w:p>
              </w:tc>
              <w:tc>
                <w:tcPr/>
                <w:p>
                  <w:pPr>
                    <w:pStyle w:val="Compact"/>
                    <w:jc w:val="left"/>
                    <w:jc w:val="center"/>
                  </w:pPr>
                  <w:r>
                    <w:t xml:space="preserve">p-value</w:t>
                  </w:r>
                </w:p>
              </w:tc>
            </w:tr>
            <w:tr>
              <w:tc>
                <w:tcPr/>
                <w:p>
                  <w:pPr>
                    <w:pStyle w:val="Compact"/>
                    <w:jc w:val="left"/>
                    <w:jc w:val="center"/>
                  </w:pPr>
                  <w:r>
                    <w:t xml:space="preserve">Alcohol withdrawal syndrome</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 AWS</w:t>
                  </w:r>
                </w:p>
              </w:tc>
              <w:tc>
                <w:tcPr/>
                <w:p>
                  <w:pPr>
                    <w:pStyle w:val="Compact"/>
                  </w:pPr>
                </w:p>
              </w:tc>
              <w:tc>
                <w:tcPr/>
                <w:p>
                  <w:pPr>
                    <w:pStyle w:val="Compact"/>
                  </w:pPr>
                </w:p>
              </w:tc>
            </w:tr>
            <w:tr>
              <w:tc>
                <w:tcPr/>
                <w:p>
                  <w:pPr>
                    <w:pStyle w:val="Compact"/>
                  </w:pPr>
                </w:p>
              </w:tc>
              <w:tc>
                <w:tcPr/>
                <w:p>
                  <w:pPr>
                    <w:pStyle w:val="Compact"/>
                    <w:jc w:val="left"/>
                    <w:jc w:val="center"/>
                  </w:pPr>
                  <w:r>
                    <w:t xml:space="preserve">AWS</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Age (per 10 years)</w:t>
                  </w:r>
                </w:p>
              </w:tc>
              <w:tc>
                <w:tcPr/>
                <w:p>
                  <w:pPr>
                    <w:pStyle w:val="Compact"/>
                  </w:pPr>
                </w:p>
              </w:tc>
              <w:tc>
                <w:tcPr/>
                <w:p>
                  <w:pPr>
                    <w:pStyle w:val="Compact"/>
                    <w:jc w:val="left"/>
                    <w:jc w:val="center"/>
                  </w:pPr>
                  <w:r>
                    <w:t xml:space="preserve">1.24 (1.19–1.29)</w:t>
                  </w:r>
                </w:p>
              </w:tc>
              <w:tc>
                <w:tcPr/>
                <w:p>
                  <w:pPr>
                    <w:pStyle w:val="Compact"/>
                    <w:jc w:val="left"/>
                    <w:jc w:val="center"/>
                  </w:pPr>
                  <w:r>
                    <w:t xml:space="preserve">&lt;0.001</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Male</w:t>
                  </w:r>
                </w:p>
              </w:tc>
              <w:tc>
                <w:tcPr/>
                <w:p>
                  <w:pPr>
                    <w:pStyle w:val="Compact"/>
                  </w:pPr>
                </w:p>
              </w:tc>
              <w:tc>
                <w:tcPr/>
                <w:p>
                  <w:pPr>
                    <w:pStyle w:val="Compact"/>
                  </w:pPr>
                </w:p>
              </w:tc>
            </w:tr>
            <w:tr>
              <w:tc>
                <w:tcPr/>
                <w:p>
                  <w:pPr>
                    <w:pStyle w:val="Compact"/>
                  </w:pPr>
                </w:p>
              </w:tc>
              <w:tc>
                <w:tcPr/>
                <w:p>
                  <w:pPr>
                    <w:pStyle w:val="Compact"/>
                    <w:jc w:val="left"/>
                    <w:jc w:val="center"/>
                  </w:pPr>
                  <w:r>
                    <w:t xml:space="preserve">Female</w:t>
                  </w:r>
                </w:p>
              </w:tc>
              <w:tc>
                <w:tcPr/>
                <w:p>
                  <w:pPr>
                    <w:pStyle w:val="Compact"/>
                    <w:jc w:val="left"/>
                    <w:jc w:val="center"/>
                  </w:pPr>
                  <w:r>
                    <w:t xml:space="preserve">0.88 (0.79–0.98)</w:t>
                  </w:r>
                </w:p>
              </w:tc>
              <w:tc>
                <w:tcPr/>
                <w:p>
                  <w:pPr>
                    <w:pStyle w:val="Compact"/>
                    <w:jc w:val="left"/>
                    <w:jc w:val="center"/>
                  </w:pPr>
                  <w:r>
                    <w:t xml:space="preserve">0.021</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White</w:t>
                  </w:r>
                </w:p>
              </w:tc>
              <w:tc>
                <w:tcPr/>
                <w:p>
                  <w:pPr>
                    <w:pStyle w:val="Compact"/>
                  </w:pPr>
                </w:p>
              </w:tc>
              <w:tc>
                <w:tcPr/>
                <w:p>
                  <w:pPr>
                    <w:pStyle w:val="Compact"/>
                  </w:pPr>
                </w:p>
              </w:tc>
            </w:tr>
            <w:tr>
              <w:tc>
                <w:tcPr/>
                <w:p>
                  <w:pPr>
                    <w:pStyle w:val="Compact"/>
                  </w:pPr>
                </w:p>
              </w:tc>
              <w:tc>
                <w:tcPr/>
                <w:p>
                  <w:pPr>
                    <w:pStyle w:val="Compact"/>
                    <w:jc w:val="left"/>
                    <w:jc w:val="center"/>
                  </w:pPr>
                  <w:r>
                    <w:t xml:space="preserve">Black</w:t>
                  </w:r>
                </w:p>
              </w:tc>
              <w:tc>
                <w:tcPr/>
                <w:p>
                  <w:pPr>
                    <w:pStyle w:val="Compact"/>
                    <w:jc w:val="left"/>
                    <w:jc w:val="center"/>
                  </w:pPr>
                  <w:r>
                    <w:t xml:space="preserve">0.82 (0.70–0.97)</w:t>
                  </w:r>
                </w:p>
              </w:tc>
              <w:tc>
                <w:tcPr/>
                <w:p>
                  <w:pPr>
                    <w:pStyle w:val="Compact"/>
                    <w:jc w:val="left"/>
                    <w:jc w:val="center"/>
                  </w:pPr>
                  <w:r>
                    <w:t xml:space="preserve">0.016</w:t>
                  </w:r>
                </w:p>
              </w:tc>
            </w:tr>
            <w:tr>
              <w:tc>
                <w:tcPr/>
                <w:p>
                  <w:pPr>
                    <w:pStyle w:val="Compact"/>
                  </w:pPr>
                </w:p>
              </w:tc>
              <w:tc>
                <w:tcPr/>
                <w:p>
                  <w:pPr>
                    <w:pStyle w:val="Compact"/>
                    <w:jc w:val="left"/>
                    <w:jc w:val="center"/>
                  </w:pPr>
                  <w:r>
                    <w:t xml:space="preserve">Hispanic</w:t>
                  </w:r>
                </w:p>
              </w:tc>
              <w:tc>
                <w:tcPr/>
                <w:p>
                  <w:pPr>
                    <w:pStyle w:val="Compact"/>
                    <w:jc w:val="left"/>
                    <w:jc w:val="center"/>
                  </w:pPr>
                  <w:r>
                    <w:t xml:space="preserve">0.84 (0.72–0.97)</w:t>
                  </w:r>
                </w:p>
              </w:tc>
              <w:tc>
                <w:tcPr/>
                <w:p>
                  <w:pPr>
                    <w:pStyle w:val="Compact"/>
                    <w:jc w:val="left"/>
                    <w:jc w:val="center"/>
                  </w:pPr>
                  <w:r>
                    <w:t xml:space="preserve">0.016</w:t>
                  </w:r>
                </w:p>
              </w:tc>
            </w:tr>
            <w:tr>
              <w:tc>
                <w:tcPr/>
                <w:p>
                  <w:pPr>
                    <w:pStyle w:val="Compact"/>
                  </w:pPr>
                </w:p>
              </w:tc>
              <w:tc>
                <w:tcPr/>
                <w:p>
                  <w:pPr>
                    <w:pStyle w:val="Compact"/>
                    <w:jc w:val="left"/>
                    <w:jc w:val="center"/>
                  </w:pPr>
                  <w:r>
                    <w:t xml:space="preserve">Asian or Pacific Islander</w:t>
                  </w:r>
                </w:p>
              </w:tc>
              <w:tc>
                <w:tcPr/>
                <w:p>
                  <w:pPr>
                    <w:pStyle w:val="Compact"/>
                    <w:jc w:val="left"/>
                    <w:jc w:val="center"/>
                  </w:pPr>
                  <w:r>
                    <w:t xml:space="preserve">0.92 (0.63–1.34)</w:t>
                  </w:r>
                </w:p>
              </w:tc>
              <w:tc>
                <w:tcPr/>
                <w:p>
                  <w:pPr>
                    <w:pStyle w:val="Compact"/>
                    <w:jc w:val="left"/>
                    <w:jc w:val="center"/>
                  </w:pPr>
                  <w:r>
                    <w:t xml:space="preserve">0.671</w:t>
                  </w:r>
                </w:p>
              </w:tc>
            </w:tr>
            <w:tr>
              <w:tc>
                <w:tcPr/>
                <w:p>
                  <w:pPr>
                    <w:pStyle w:val="Compact"/>
                  </w:pPr>
                </w:p>
              </w:tc>
              <w:tc>
                <w:tcPr/>
                <w:p>
                  <w:pPr>
                    <w:pStyle w:val="Compact"/>
                    <w:jc w:val="left"/>
                    <w:jc w:val="center"/>
                  </w:pPr>
                  <w:r>
                    <w:t xml:space="preserve">Native American</w:t>
                  </w:r>
                </w:p>
              </w:tc>
              <w:tc>
                <w:tcPr/>
                <w:p>
                  <w:pPr>
                    <w:pStyle w:val="Compact"/>
                    <w:jc w:val="left"/>
                    <w:jc w:val="center"/>
                  </w:pPr>
                  <w:r>
                    <w:t xml:space="preserve">1.25 (0.95–1.65)</w:t>
                  </w:r>
                </w:p>
              </w:tc>
              <w:tc>
                <w:tcPr/>
                <w:p>
                  <w:pPr>
                    <w:pStyle w:val="Compact"/>
                    <w:jc w:val="left"/>
                    <w:jc w:val="center"/>
                  </w:pPr>
                  <w:r>
                    <w:t xml:space="preserve">0.112</w:t>
                  </w:r>
                </w:p>
              </w:tc>
            </w:tr>
            <w:tr>
              <w:tc>
                <w:tcPr/>
                <w:p>
                  <w:pPr>
                    <w:pStyle w:val="Compact"/>
                  </w:pPr>
                </w:p>
              </w:tc>
              <w:tc>
                <w:tcPr/>
                <w:p>
                  <w:pPr>
                    <w:pStyle w:val="Compact"/>
                    <w:jc w:val="left"/>
                    <w:jc w:val="center"/>
                  </w:pPr>
                  <w:r>
                    <w:t xml:space="preserve">Other</w:t>
                  </w:r>
                </w:p>
              </w:tc>
              <w:tc>
                <w:tcPr/>
                <w:p>
                  <w:pPr>
                    <w:pStyle w:val="Compact"/>
                    <w:jc w:val="left"/>
                    <w:jc w:val="center"/>
                  </w:pPr>
                  <w:r>
                    <w:t xml:space="preserve">1.08 (0.86–1.36)</w:t>
                  </w:r>
                </w:p>
              </w:tc>
              <w:tc>
                <w:tcPr/>
                <w:p>
                  <w:pPr>
                    <w:pStyle w:val="Compact"/>
                    <w:jc w:val="left"/>
                    <w:jc w:val="center"/>
                  </w:pPr>
                  <w:r>
                    <w:t xml:space="preserve">0.500</w:t>
                  </w: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Medicare</w:t>
                  </w:r>
                </w:p>
              </w:tc>
              <w:tc>
                <w:tcPr/>
                <w:p>
                  <w:pPr>
                    <w:pStyle w:val="Compact"/>
                  </w:pPr>
                </w:p>
              </w:tc>
              <w:tc>
                <w:tcPr/>
                <w:p>
                  <w:pPr>
                    <w:pStyle w:val="Compact"/>
                  </w:pPr>
                </w:p>
              </w:tc>
            </w:tr>
            <w:tr>
              <w:tc>
                <w:tcPr/>
                <w:p>
                  <w:pPr>
                    <w:pStyle w:val="Compact"/>
                  </w:pPr>
                </w:p>
              </w:tc>
              <w:tc>
                <w:tcPr/>
                <w:p>
                  <w:pPr>
                    <w:pStyle w:val="Compact"/>
                    <w:jc w:val="left"/>
                    <w:jc w:val="center"/>
                  </w:pPr>
                  <w:r>
                    <w:t xml:space="preserve">Medicaid</w:t>
                  </w:r>
                </w:p>
              </w:tc>
              <w:tc>
                <w:tcPr/>
                <w:p>
                  <w:pPr>
                    <w:pStyle w:val="Compact"/>
                    <w:jc w:val="left"/>
                    <w:jc w:val="center"/>
                  </w:pPr>
                  <w:r>
                    <w:t xml:space="preserve">1.10 (0.95–1.28)</w:t>
                  </w:r>
                </w:p>
              </w:tc>
              <w:tc>
                <w:tcPr/>
                <w:p>
                  <w:pPr>
                    <w:pStyle w:val="Compact"/>
                    <w:jc w:val="left"/>
                    <w:jc w:val="center"/>
                  </w:pPr>
                  <w:r>
                    <w:t xml:space="preserve">0.188</w:t>
                  </w:r>
                </w:p>
              </w:tc>
            </w:tr>
            <w:tr>
              <w:tc>
                <w:tcPr/>
                <w:p>
                  <w:pPr>
                    <w:pStyle w:val="Compact"/>
                  </w:pPr>
                </w:p>
              </w:tc>
              <w:tc>
                <w:tcPr/>
                <w:p>
                  <w:pPr>
                    <w:pStyle w:val="Compact"/>
                    <w:jc w:val="left"/>
                    <w:jc w:val="center"/>
                  </w:pPr>
                  <w:r>
                    <w:t xml:space="preserve">Private including HMO</w:t>
                  </w:r>
                </w:p>
              </w:tc>
              <w:tc>
                <w:tcPr/>
                <w:p>
                  <w:pPr>
                    <w:pStyle w:val="Compact"/>
                    <w:jc w:val="left"/>
                    <w:jc w:val="center"/>
                  </w:pPr>
                  <w:r>
                    <w:t xml:space="preserve">1.00 (0.88–1.15)</w:t>
                  </w:r>
                </w:p>
              </w:tc>
              <w:tc>
                <w:tcPr/>
                <w:p>
                  <w:pPr>
                    <w:pStyle w:val="Compact"/>
                    <w:jc w:val="left"/>
                    <w:jc w:val="center"/>
                  </w:pPr>
                  <w:r>
                    <w:t xml:space="preserve">0.948</w:t>
                  </w:r>
                </w:p>
              </w:tc>
            </w:tr>
            <w:tr>
              <w:tc>
                <w:tcPr/>
                <w:p>
                  <w:pPr>
                    <w:pStyle w:val="Compact"/>
                  </w:pPr>
                </w:p>
              </w:tc>
              <w:tc>
                <w:tcPr/>
                <w:p>
                  <w:pPr>
                    <w:pStyle w:val="Compact"/>
                    <w:jc w:val="left"/>
                    <w:jc w:val="center"/>
                  </w:pPr>
                  <w:r>
                    <w:t xml:space="preserve">Self-pay</w:t>
                  </w:r>
                </w:p>
              </w:tc>
              <w:tc>
                <w:tcPr/>
                <w:p>
                  <w:pPr>
                    <w:pStyle w:val="Compact"/>
                    <w:jc w:val="left"/>
                    <w:jc w:val="center"/>
                  </w:pPr>
                  <w:r>
                    <w:t xml:space="preserve">1.29 (1.08–1.54)</w:t>
                  </w:r>
                </w:p>
              </w:tc>
              <w:tc>
                <w:tcPr/>
                <w:p>
                  <w:pPr>
                    <w:pStyle w:val="Compact"/>
                    <w:jc w:val="left"/>
                    <w:jc w:val="center"/>
                  </w:pPr>
                  <w:r>
                    <w:t xml:space="preserve">0.005</w:t>
                  </w:r>
                </w:p>
              </w:tc>
            </w:tr>
            <w:tr>
              <w:tc>
                <w:tcPr/>
                <w:p>
                  <w:pPr>
                    <w:pStyle w:val="Compact"/>
                  </w:pPr>
                </w:p>
              </w:tc>
              <w:tc>
                <w:tcPr/>
                <w:p>
                  <w:pPr>
                    <w:pStyle w:val="Compact"/>
                    <w:jc w:val="left"/>
                    <w:jc w:val="center"/>
                  </w:pPr>
                  <w:r>
                    <w:t xml:space="preserve">No charge</w:t>
                  </w:r>
                </w:p>
              </w:tc>
              <w:tc>
                <w:tcPr/>
                <w:p>
                  <w:pPr>
                    <w:pStyle w:val="Compact"/>
                    <w:jc w:val="left"/>
                    <w:jc w:val="center"/>
                  </w:pPr>
                  <w:r>
                    <w:t xml:space="preserve">1.13 (0.70–1.81)</w:t>
                  </w:r>
                </w:p>
              </w:tc>
              <w:tc>
                <w:tcPr/>
                <w:p>
                  <w:pPr>
                    <w:pStyle w:val="Compact"/>
                    <w:jc w:val="left"/>
                    <w:jc w:val="center"/>
                  </w:pPr>
                  <w:r>
                    <w:t xml:space="preserve">0.621</w:t>
                  </w:r>
                </w:p>
              </w:tc>
            </w:tr>
            <w:tr>
              <w:tc>
                <w:tcPr/>
                <w:p>
                  <w:pPr>
                    <w:pStyle w:val="Compact"/>
                  </w:pPr>
                </w:p>
              </w:tc>
              <w:tc>
                <w:tcPr/>
                <w:p>
                  <w:pPr>
                    <w:pStyle w:val="Compact"/>
                    <w:jc w:val="left"/>
                    <w:jc w:val="center"/>
                  </w:pPr>
                  <w:r>
                    <w:t xml:space="preserve">Other</w:t>
                  </w:r>
                </w:p>
              </w:tc>
              <w:tc>
                <w:tcPr/>
                <w:p>
                  <w:pPr>
                    <w:pStyle w:val="Compact"/>
                    <w:jc w:val="left"/>
                    <w:jc w:val="center"/>
                  </w:pPr>
                  <w:r>
                    <w:t xml:space="preserve">1.29 (1.05–1.60)</w:t>
                  </w:r>
                </w:p>
              </w:tc>
              <w:tc>
                <w:tcPr/>
                <w:p>
                  <w:pPr>
                    <w:pStyle w:val="Compact"/>
                    <w:jc w:val="left"/>
                    <w:jc w:val="center"/>
                  </w:pPr>
                  <w:r>
                    <w:t xml:space="preserve">0.017</w:t>
                  </w: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Q1</w:t>
                  </w:r>
                </w:p>
              </w:tc>
              <w:tc>
                <w:tcPr/>
                <w:p>
                  <w:pPr>
                    <w:pStyle w:val="Compact"/>
                  </w:pPr>
                </w:p>
              </w:tc>
              <w:tc>
                <w:tcPr/>
                <w:p>
                  <w:pPr>
                    <w:pStyle w:val="Compact"/>
                  </w:pPr>
                </w:p>
              </w:tc>
            </w:tr>
            <w:tr>
              <w:tc>
                <w:tcPr/>
                <w:p>
                  <w:pPr>
                    <w:pStyle w:val="Compact"/>
                  </w:pPr>
                </w:p>
              </w:tc>
              <w:tc>
                <w:tcPr/>
                <w:p>
                  <w:pPr>
                    <w:pStyle w:val="Compact"/>
                    <w:jc w:val="left"/>
                    <w:jc w:val="center"/>
                  </w:pPr>
                  <w:r>
                    <w:t xml:space="preserve">Q2</w:t>
                  </w:r>
                </w:p>
              </w:tc>
              <w:tc>
                <w:tcPr/>
                <w:p>
                  <w:pPr>
                    <w:pStyle w:val="Compact"/>
                    <w:jc w:val="left"/>
                    <w:jc w:val="center"/>
                  </w:pPr>
                  <w:r>
                    <w:t xml:space="preserve">1.01 (0.89–1.14)</w:t>
                  </w:r>
                </w:p>
              </w:tc>
              <w:tc>
                <w:tcPr/>
                <w:p>
                  <w:pPr>
                    <w:pStyle w:val="Compact"/>
                    <w:jc w:val="left"/>
                    <w:jc w:val="center"/>
                  </w:pPr>
                  <w:r>
                    <w:t xml:space="preserve">0.897</w:t>
                  </w:r>
                </w:p>
              </w:tc>
            </w:tr>
            <w:tr>
              <w:tc>
                <w:tcPr/>
                <w:p>
                  <w:pPr>
                    <w:pStyle w:val="Compact"/>
                  </w:pPr>
                </w:p>
              </w:tc>
              <w:tc>
                <w:tcPr/>
                <w:p>
                  <w:pPr>
                    <w:pStyle w:val="Compact"/>
                    <w:jc w:val="left"/>
                    <w:jc w:val="center"/>
                  </w:pPr>
                  <w:r>
                    <w:t xml:space="preserve">Q3</w:t>
                  </w:r>
                </w:p>
              </w:tc>
              <w:tc>
                <w:tcPr/>
                <w:p>
                  <w:pPr>
                    <w:pStyle w:val="Compact"/>
                    <w:jc w:val="left"/>
                    <w:jc w:val="center"/>
                  </w:pPr>
                  <w:r>
                    <w:t xml:space="preserve">0.96 (0.85–1.09)</w:t>
                  </w:r>
                </w:p>
              </w:tc>
              <w:tc>
                <w:tcPr/>
                <w:p>
                  <w:pPr>
                    <w:pStyle w:val="Compact"/>
                    <w:jc w:val="left"/>
                    <w:jc w:val="center"/>
                  </w:pPr>
                  <w:r>
                    <w:t xml:space="preserve">0.509</w:t>
                  </w:r>
                </w:p>
              </w:tc>
            </w:tr>
            <w:tr>
              <w:tc>
                <w:tcPr/>
                <w:p>
                  <w:pPr>
                    <w:pStyle w:val="Compact"/>
                  </w:pPr>
                </w:p>
              </w:tc>
              <w:tc>
                <w:tcPr/>
                <w:p>
                  <w:pPr>
                    <w:pStyle w:val="Compact"/>
                    <w:jc w:val="left"/>
                    <w:jc w:val="center"/>
                  </w:pPr>
                  <w:r>
                    <w:t xml:space="preserve">Q4</w:t>
                  </w:r>
                </w:p>
              </w:tc>
              <w:tc>
                <w:tcPr/>
                <w:p>
                  <w:pPr>
                    <w:pStyle w:val="Compact"/>
                    <w:jc w:val="left"/>
                    <w:jc w:val="center"/>
                  </w:pPr>
                  <w:r>
                    <w:t xml:space="preserve">0.99 (0.86–1.13)</w:t>
                  </w:r>
                </w:p>
              </w:tc>
              <w:tc>
                <w:tcPr/>
                <w:p>
                  <w:pPr>
                    <w:pStyle w:val="Compact"/>
                    <w:jc w:val="left"/>
                    <w:jc w:val="center"/>
                  </w:pPr>
                  <w:r>
                    <w:t xml:space="preserve">0.839</w:t>
                  </w:r>
                </w:p>
              </w:tc>
            </w:tr>
            <w:tr>
              <w:tc>
                <w:tcPr/>
                <w:p>
                  <w:pPr>
                    <w:pStyle w:val="Compact"/>
                    <w:jc w:val="left"/>
                    <w:jc w:val="center"/>
                  </w:pPr>
                  <w:r>
                    <w:t xml:space="preserve">Discharge year</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2017</w:t>
                  </w:r>
                </w:p>
              </w:tc>
              <w:tc>
                <w:tcPr/>
                <w:p>
                  <w:pPr>
                    <w:pStyle w:val="Compact"/>
                  </w:pPr>
                </w:p>
              </w:tc>
              <w:tc>
                <w:tcPr/>
                <w:p>
                  <w:pPr>
                    <w:pStyle w:val="Compact"/>
                  </w:pPr>
                </w:p>
              </w:tc>
            </w:tr>
            <w:tr>
              <w:tc>
                <w:tcPr/>
                <w:p>
                  <w:pPr>
                    <w:pStyle w:val="Compact"/>
                  </w:pPr>
                </w:p>
              </w:tc>
              <w:tc>
                <w:tcPr/>
                <w:p>
                  <w:pPr>
                    <w:pStyle w:val="Compact"/>
                    <w:jc w:val="left"/>
                    <w:jc w:val="center"/>
                  </w:pPr>
                  <w:r>
                    <w:t xml:space="preserve">2018</w:t>
                  </w:r>
                </w:p>
              </w:tc>
              <w:tc>
                <w:tcPr/>
                <w:p>
                  <w:pPr>
                    <w:pStyle w:val="Compact"/>
                    <w:jc w:val="left"/>
                    <w:jc w:val="center"/>
                  </w:pPr>
                  <w:r>
                    <w:t xml:space="preserve">0.95 (0.82–1.12)</w:t>
                  </w:r>
                </w:p>
              </w:tc>
              <w:tc>
                <w:tcPr/>
                <w:p>
                  <w:pPr>
                    <w:pStyle w:val="Compact"/>
                    <w:jc w:val="left"/>
                    <w:jc w:val="center"/>
                  </w:pPr>
                  <w:r>
                    <w:t xml:space="preserve">0.554</w:t>
                  </w:r>
                </w:p>
              </w:tc>
            </w:tr>
            <w:tr>
              <w:tc>
                <w:tcPr/>
                <w:p>
                  <w:pPr>
                    <w:pStyle w:val="Compact"/>
                  </w:pPr>
                </w:p>
              </w:tc>
              <w:tc>
                <w:tcPr/>
                <w:p>
                  <w:pPr>
                    <w:pStyle w:val="Compact"/>
                    <w:jc w:val="left"/>
                    <w:jc w:val="center"/>
                  </w:pPr>
                  <w:r>
                    <w:t xml:space="preserve">2019</w:t>
                  </w:r>
                </w:p>
              </w:tc>
              <w:tc>
                <w:tcPr/>
                <w:p>
                  <w:pPr>
                    <w:pStyle w:val="Compact"/>
                    <w:jc w:val="left"/>
                    <w:jc w:val="center"/>
                  </w:pPr>
                  <w:r>
                    <w:t xml:space="preserve">0.85 (0.72–1.00)</w:t>
                  </w:r>
                </w:p>
              </w:tc>
              <w:tc>
                <w:tcPr/>
                <w:p>
                  <w:pPr>
                    <w:pStyle w:val="Compact"/>
                    <w:jc w:val="left"/>
                    <w:jc w:val="center"/>
                  </w:pPr>
                  <w:r>
                    <w:t xml:space="preserve">0.054</w:t>
                  </w:r>
                </w:p>
              </w:tc>
            </w:tr>
            <w:tr>
              <w:tc>
                <w:tcPr/>
                <w:p>
                  <w:pPr>
                    <w:pStyle w:val="Compact"/>
                  </w:pPr>
                </w:p>
              </w:tc>
              <w:tc>
                <w:tcPr/>
                <w:p>
                  <w:pPr>
                    <w:pStyle w:val="Compact"/>
                    <w:jc w:val="left"/>
                    <w:jc w:val="center"/>
                  </w:pPr>
                  <w:r>
                    <w:t xml:space="preserve">2020</w:t>
                  </w:r>
                </w:p>
              </w:tc>
              <w:tc>
                <w:tcPr/>
                <w:p>
                  <w:pPr>
                    <w:pStyle w:val="Compact"/>
                    <w:jc w:val="left"/>
                    <w:jc w:val="center"/>
                  </w:pPr>
                  <w:r>
                    <w:t xml:space="preserve">0.92 (0.79–1.07)</w:t>
                  </w:r>
                </w:p>
              </w:tc>
              <w:tc>
                <w:tcPr/>
                <w:p>
                  <w:pPr>
                    <w:pStyle w:val="Compact"/>
                    <w:jc w:val="left"/>
                    <w:jc w:val="center"/>
                  </w:pPr>
                  <w:r>
                    <w:t xml:space="preserve">0.276</w:t>
                  </w:r>
                </w:p>
              </w:tc>
            </w:tr>
            <w:tr>
              <w:tc>
                <w:tcPr/>
                <w:p>
                  <w:pPr>
                    <w:pStyle w:val="Compact"/>
                  </w:pPr>
                </w:p>
              </w:tc>
              <w:tc>
                <w:tcPr/>
                <w:p>
                  <w:pPr>
                    <w:pStyle w:val="Compact"/>
                    <w:jc w:val="left"/>
                    <w:jc w:val="center"/>
                  </w:pPr>
                  <w:r>
                    <w:t xml:space="preserve">2021</w:t>
                  </w:r>
                </w:p>
              </w:tc>
              <w:tc>
                <w:tcPr/>
                <w:p>
                  <w:pPr>
                    <w:pStyle w:val="Compact"/>
                    <w:jc w:val="left"/>
                    <w:jc w:val="center"/>
                  </w:pPr>
                  <w:r>
                    <w:t xml:space="preserve">1.00 (0.85–1.17)</w:t>
                  </w:r>
                </w:p>
              </w:tc>
              <w:tc>
                <w:tcPr/>
                <w:p>
                  <w:pPr>
                    <w:pStyle w:val="Compact"/>
                    <w:jc w:val="left"/>
                    <w:jc w:val="center"/>
                  </w:pPr>
                  <w:r>
                    <w:t xml:space="preserve">0.968</w:t>
                  </w:r>
                </w:p>
              </w:tc>
            </w:tr>
            <w:tr>
              <w:tc>
                <w:tcPr/>
                <w:p>
                  <w:pPr>
                    <w:pStyle w:val="Compact"/>
                  </w:pPr>
                </w:p>
              </w:tc>
              <w:tc>
                <w:tcPr/>
                <w:p>
                  <w:pPr>
                    <w:pStyle w:val="Compact"/>
                    <w:jc w:val="left"/>
                    <w:jc w:val="center"/>
                  </w:pPr>
                  <w:r>
                    <w:t xml:space="preserve">2022</w:t>
                  </w:r>
                </w:p>
              </w:tc>
              <w:tc>
                <w:tcPr/>
                <w:p>
                  <w:pPr>
                    <w:pStyle w:val="Compact"/>
                    <w:jc w:val="left"/>
                    <w:jc w:val="center"/>
                  </w:pPr>
                  <w:r>
                    <w:t xml:space="preserve">0.91 (0.79–1.06)</w:t>
                  </w:r>
                </w:p>
              </w:tc>
              <w:tc>
                <w:tcPr/>
                <w:p>
                  <w:pPr>
                    <w:pStyle w:val="Compact"/>
                    <w:jc w:val="left"/>
                    <w:jc w:val="center"/>
                  </w:pPr>
                  <w:r>
                    <w:t xml:space="preserve">0.244</w:t>
                  </w: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Northeast</w:t>
                  </w:r>
                </w:p>
              </w:tc>
              <w:tc>
                <w:tcPr/>
                <w:p>
                  <w:pPr>
                    <w:pStyle w:val="Compact"/>
                  </w:pPr>
                </w:p>
              </w:tc>
              <w:tc>
                <w:tcPr/>
                <w:p>
                  <w:pPr>
                    <w:pStyle w:val="Compact"/>
                  </w:pPr>
                </w:p>
              </w:tc>
            </w:tr>
            <w:tr>
              <w:tc>
                <w:tcPr/>
                <w:p>
                  <w:pPr>
                    <w:pStyle w:val="Compact"/>
                  </w:pPr>
                </w:p>
              </w:tc>
              <w:tc>
                <w:tcPr/>
                <w:p>
                  <w:pPr>
                    <w:pStyle w:val="Compact"/>
                    <w:jc w:val="left"/>
                    <w:jc w:val="center"/>
                  </w:pPr>
                  <w:r>
                    <w:t xml:space="preserve">Midwest</w:t>
                  </w:r>
                </w:p>
              </w:tc>
              <w:tc>
                <w:tcPr/>
                <w:p>
                  <w:pPr>
                    <w:pStyle w:val="Compact"/>
                    <w:jc w:val="left"/>
                    <w:jc w:val="center"/>
                  </w:pPr>
                  <w:r>
                    <w:t xml:space="preserve">1.24 (1.07–1.43)</w:t>
                  </w:r>
                </w:p>
              </w:tc>
              <w:tc>
                <w:tcPr/>
                <w:p>
                  <w:pPr>
                    <w:pStyle w:val="Compact"/>
                    <w:jc w:val="left"/>
                    <w:jc w:val="center"/>
                  </w:pPr>
                  <w:r>
                    <w:t xml:space="preserve">0.004</w:t>
                  </w:r>
                </w:p>
              </w:tc>
            </w:tr>
            <w:tr>
              <w:tc>
                <w:tcPr/>
                <w:p>
                  <w:pPr>
                    <w:pStyle w:val="Compact"/>
                  </w:pPr>
                </w:p>
              </w:tc>
              <w:tc>
                <w:tcPr/>
                <w:p>
                  <w:pPr>
                    <w:pStyle w:val="Compact"/>
                    <w:jc w:val="left"/>
                    <w:jc w:val="center"/>
                  </w:pPr>
                  <w:r>
                    <w:t xml:space="preserve">South</w:t>
                  </w:r>
                </w:p>
              </w:tc>
              <w:tc>
                <w:tcPr/>
                <w:p>
                  <w:pPr>
                    <w:pStyle w:val="Compact"/>
                    <w:jc w:val="left"/>
                    <w:jc w:val="center"/>
                  </w:pPr>
                  <w:r>
                    <w:t xml:space="preserve">1.17 (1.01–1.34)</w:t>
                  </w:r>
                </w:p>
              </w:tc>
              <w:tc>
                <w:tcPr/>
                <w:p>
                  <w:pPr>
                    <w:pStyle w:val="Compact"/>
                    <w:jc w:val="left"/>
                    <w:jc w:val="center"/>
                  </w:pPr>
                  <w:r>
                    <w:t xml:space="preserve">0.034</w:t>
                  </w:r>
                </w:p>
              </w:tc>
            </w:tr>
            <w:tr>
              <w:tc>
                <w:tcPr/>
                <w:p>
                  <w:pPr>
                    <w:pStyle w:val="Compact"/>
                  </w:pPr>
                </w:p>
              </w:tc>
              <w:tc>
                <w:tcPr/>
                <w:p>
                  <w:pPr>
                    <w:pStyle w:val="Compact"/>
                    <w:jc w:val="left"/>
                    <w:jc w:val="center"/>
                  </w:pPr>
                  <w:r>
                    <w:t xml:space="preserve">West</w:t>
                  </w:r>
                </w:p>
              </w:tc>
              <w:tc>
                <w:tcPr/>
                <w:p>
                  <w:pPr>
                    <w:pStyle w:val="Compact"/>
                    <w:jc w:val="left"/>
                    <w:jc w:val="center"/>
                  </w:pPr>
                  <w:r>
                    <w:t xml:space="preserve">1.18 (1.02–1.37)</w:t>
                  </w:r>
                </w:p>
              </w:tc>
              <w:tc>
                <w:tcPr/>
                <w:p>
                  <w:pPr>
                    <w:pStyle w:val="Compact"/>
                    <w:jc w:val="left"/>
                    <w:jc w:val="center"/>
                  </w:pPr>
                  <w:r>
                    <w:t xml:space="preserve">0.024</w:t>
                  </w: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Small</w:t>
                  </w:r>
                </w:p>
              </w:tc>
              <w:tc>
                <w:tcPr/>
                <w:p>
                  <w:pPr>
                    <w:pStyle w:val="Compact"/>
                  </w:pPr>
                </w:p>
              </w:tc>
              <w:tc>
                <w:tcPr/>
                <w:p>
                  <w:pPr>
                    <w:pStyle w:val="Compact"/>
                  </w:pPr>
                </w:p>
              </w:tc>
            </w:tr>
            <w:tr>
              <w:tc>
                <w:tcPr/>
                <w:p>
                  <w:pPr>
                    <w:pStyle w:val="Compact"/>
                  </w:pPr>
                </w:p>
              </w:tc>
              <w:tc>
                <w:tcPr/>
                <w:p>
                  <w:pPr>
                    <w:pStyle w:val="Compact"/>
                    <w:jc w:val="left"/>
                    <w:jc w:val="center"/>
                  </w:pPr>
                  <w:r>
                    <w:t xml:space="preserve">Medium</w:t>
                  </w:r>
                </w:p>
              </w:tc>
              <w:tc>
                <w:tcPr/>
                <w:p>
                  <w:pPr>
                    <w:pStyle w:val="Compact"/>
                    <w:jc w:val="left"/>
                    <w:jc w:val="center"/>
                  </w:pPr>
                  <w:r>
                    <w:t xml:space="preserve">0.97 (0.82–1.14)</w:t>
                  </w:r>
                </w:p>
              </w:tc>
              <w:tc>
                <w:tcPr/>
                <w:p>
                  <w:pPr>
                    <w:pStyle w:val="Compact"/>
                    <w:jc w:val="left"/>
                    <w:jc w:val="center"/>
                  </w:pPr>
                  <w:r>
                    <w:t xml:space="preserve">0.704</w:t>
                  </w:r>
                </w:p>
              </w:tc>
            </w:tr>
            <w:tr>
              <w:tc>
                <w:tcPr/>
                <w:p>
                  <w:pPr>
                    <w:pStyle w:val="Compact"/>
                  </w:pPr>
                </w:p>
              </w:tc>
              <w:tc>
                <w:tcPr/>
                <w:p>
                  <w:pPr>
                    <w:pStyle w:val="Compact"/>
                    <w:jc w:val="left"/>
                    <w:jc w:val="center"/>
                  </w:pPr>
                  <w:r>
                    <w:t xml:space="preserve">Large</w:t>
                  </w:r>
                </w:p>
              </w:tc>
              <w:tc>
                <w:tcPr/>
                <w:p>
                  <w:pPr>
                    <w:pStyle w:val="Compact"/>
                    <w:jc w:val="left"/>
                    <w:jc w:val="center"/>
                  </w:pPr>
                  <w:r>
                    <w:t xml:space="preserve">0.96 (0.82–1.11)</w:t>
                  </w:r>
                </w:p>
              </w:tc>
              <w:tc>
                <w:tcPr/>
                <w:p>
                  <w:pPr>
                    <w:pStyle w:val="Compact"/>
                    <w:jc w:val="left"/>
                    <w:jc w:val="center"/>
                  </w:pPr>
                  <w:r>
                    <w:t xml:space="preserve">0.572</w:t>
                  </w: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Rural</w:t>
                  </w:r>
                </w:p>
              </w:tc>
              <w:tc>
                <w:tcPr/>
                <w:p>
                  <w:pPr>
                    <w:pStyle w:val="Compact"/>
                  </w:pPr>
                </w:p>
              </w:tc>
              <w:tc>
                <w:tcPr/>
                <w:p>
                  <w:pPr>
                    <w:pStyle w:val="Compact"/>
                  </w:pPr>
                </w:p>
              </w:tc>
            </w:tr>
            <w:tr>
              <w:tc>
                <w:tcPr/>
                <w:p>
                  <w:pPr>
                    <w:pStyle w:val="Compact"/>
                  </w:pPr>
                </w:p>
              </w:tc>
              <w:tc>
                <w:tcPr/>
                <w:p>
                  <w:pPr>
                    <w:pStyle w:val="Compact"/>
                    <w:jc w:val="left"/>
                    <w:jc w:val="center"/>
                  </w:pPr>
                  <w:r>
                    <w:t xml:space="preserve">Urban, non-teaching</w:t>
                  </w:r>
                </w:p>
              </w:tc>
              <w:tc>
                <w:tcPr/>
                <w:p>
                  <w:pPr>
                    <w:pStyle w:val="Compact"/>
                    <w:jc w:val="left"/>
                    <w:jc w:val="center"/>
                  </w:pPr>
                  <w:r>
                    <w:t xml:space="preserve">0.89 (0.62–1.28)</w:t>
                  </w:r>
                </w:p>
              </w:tc>
              <w:tc>
                <w:tcPr/>
                <w:p>
                  <w:pPr>
                    <w:pStyle w:val="Compact"/>
                    <w:jc w:val="left"/>
                    <w:jc w:val="center"/>
                  </w:pPr>
                  <w:r>
                    <w:t xml:space="preserve">0.542</w:t>
                  </w:r>
                </w:p>
              </w:tc>
            </w:tr>
            <w:tr>
              <w:tc>
                <w:tcPr/>
                <w:p>
                  <w:pPr>
                    <w:pStyle w:val="Compact"/>
                  </w:pPr>
                </w:p>
              </w:tc>
              <w:tc>
                <w:tcPr/>
                <w:p>
                  <w:pPr>
                    <w:pStyle w:val="Compact"/>
                    <w:jc w:val="left"/>
                    <w:jc w:val="center"/>
                  </w:pPr>
                  <w:r>
                    <w:t xml:space="preserve">Urban, teaching</w:t>
                  </w:r>
                </w:p>
              </w:tc>
              <w:tc>
                <w:tcPr/>
                <w:p>
                  <w:pPr>
                    <w:pStyle w:val="Compact"/>
                    <w:jc w:val="left"/>
                    <w:jc w:val="center"/>
                  </w:pPr>
                  <w:r>
                    <w:t xml:space="preserve">0.95 (0.68–1.33)</w:t>
                  </w:r>
                </w:p>
              </w:tc>
              <w:tc>
                <w:tcPr/>
                <w:p>
                  <w:pPr>
                    <w:pStyle w:val="Compact"/>
                    <w:jc w:val="left"/>
                    <w:jc w:val="center"/>
                  </w:pPr>
                  <w:r>
                    <w:t xml:space="preserve">0.759</w:t>
                  </w: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Concussion, other or unspecified only</w:t>
                  </w:r>
                </w:p>
              </w:tc>
              <w:tc>
                <w:tcPr/>
                <w:p>
                  <w:pPr>
                    <w:pStyle w:val="Compact"/>
                  </w:pPr>
                </w:p>
              </w:tc>
              <w:tc>
                <w:tcPr/>
                <w:p>
                  <w:pPr>
                    <w:pStyle w:val="Compact"/>
                  </w:pPr>
                </w:p>
              </w:tc>
            </w:tr>
            <w:tr>
              <w:tc>
                <w:tcPr/>
                <w:p>
                  <w:pPr>
                    <w:pStyle w:val="Compact"/>
                  </w:pPr>
                </w:p>
              </w:tc>
              <w:tc>
                <w:tcPr/>
                <w:p>
                  <w:pPr>
                    <w:pStyle w:val="Compact"/>
                    <w:jc w:val="left"/>
                    <w:jc w:val="center"/>
                  </w:pPr>
                  <w:r>
                    <w:t xml:space="preserve">Diffuse injury or brain compression</w:t>
                  </w:r>
                </w:p>
              </w:tc>
              <w:tc>
                <w:tcPr/>
                <w:p>
                  <w:pPr>
                    <w:pStyle w:val="Compact"/>
                    <w:jc w:val="left"/>
                    <w:jc w:val="center"/>
                  </w:pPr>
                  <w:r>
                    <w:t xml:space="preserve">9.93 (7.95–12.41)</w:t>
                  </w:r>
                </w:p>
              </w:tc>
              <w:tc>
                <w:tcPr/>
                <w:p>
                  <w:pPr>
                    <w:pStyle w:val="Compact"/>
                    <w:jc w:val="left"/>
                    <w:jc w:val="center"/>
                  </w:pPr>
                  <w:r>
                    <w:t xml:space="preserve">&lt;0.001</w:t>
                  </w:r>
                </w:p>
              </w:tc>
            </w:tr>
            <w:tr>
              <w:tc>
                <w:tcPr/>
                <w:p>
                  <w:pPr>
                    <w:pStyle w:val="Compact"/>
                  </w:pPr>
                </w:p>
              </w:tc>
              <w:tc>
                <w:tcPr/>
                <w:p>
                  <w:pPr>
                    <w:pStyle w:val="Compact"/>
                    <w:jc w:val="left"/>
                    <w:jc w:val="center"/>
                  </w:pPr>
                  <w:r>
                    <w:t xml:space="preserve">Epidural hemorrhage</w:t>
                  </w:r>
                </w:p>
              </w:tc>
              <w:tc>
                <w:tcPr/>
                <w:p>
                  <w:pPr>
                    <w:pStyle w:val="Compact"/>
                    <w:jc w:val="left"/>
                    <w:jc w:val="center"/>
                  </w:pPr>
                  <w:r>
                    <w:t xml:space="preserve">3.05 (2.24–4.14)</w:t>
                  </w:r>
                </w:p>
              </w:tc>
              <w:tc>
                <w:tcPr/>
                <w:p>
                  <w:pPr>
                    <w:pStyle w:val="Compact"/>
                    <w:jc w:val="left"/>
                    <w:jc w:val="center"/>
                  </w:pPr>
                  <w:r>
                    <w:t xml:space="preserve">&lt;0.001</w:t>
                  </w:r>
                </w:p>
              </w:tc>
            </w:tr>
            <w:tr>
              <w:tc>
                <w:tcPr/>
                <w:p>
                  <w:pPr>
                    <w:pStyle w:val="Compact"/>
                  </w:pPr>
                </w:p>
              </w:tc>
              <w:tc>
                <w:tcPr/>
                <w:p>
                  <w:pPr>
                    <w:pStyle w:val="Compact"/>
                    <w:jc w:val="left"/>
                    <w:jc w:val="center"/>
                  </w:pPr>
                  <w:r>
                    <w:t xml:space="preserve">Subdural hemorrhage</w:t>
                  </w:r>
                </w:p>
              </w:tc>
              <w:tc>
                <w:tcPr/>
                <w:p>
                  <w:pPr>
                    <w:pStyle w:val="Compact"/>
                    <w:jc w:val="left"/>
                    <w:jc w:val="center"/>
                  </w:pPr>
                  <w:r>
                    <w:t xml:space="preserve">4.50 (3.66–5.54)</w:t>
                  </w:r>
                </w:p>
              </w:tc>
              <w:tc>
                <w:tcPr/>
                <w:p>
                  <w:pPr>
                    <w:pStyle w:val="Compact"/>
                    <w:jc w:val="left"/>
                    <w:jc w:val="center"/>
                  </w:pPr>
                  <w:r>
                    <w:t xml:space="preserve">&lt;0.001</w:t>
                  </w:r>
                </w:p>
              </w:tc>
            </w:tr>
            <w:tr>
              <w:tc>
                <w:tcPr/>
                <w:p>
                  <w:pPr>
                    <w:pStyle w:val="Compact"/>
                  </w:pPr>
                </w:p>
              </w:tc>
              <w:tc>
                <w:tcPr/>
                <w:p>
                  <w:pPr>
                    <w:pStyle w:val="Compact"/>
                    <w:jc w:val="left"/>
                    <w:jc w:val="center"/>
                  </w:pPr>
                  <w:r>
                    <w:t xml:space="preserve">Contusion/focal, SAH, or edema</w:t>
                  </w:r>
                </w:p>
              </w:tc>
              <w:tc>
                <w:tcPr/>
                <w:p>
                  <w:pPr>
                    <w:pStyle w:val="Compact"/>
                    <w:jc w:val="left"/>
                    <w:jc w:val="center"/>
                  </w:pPr>
                  <w:r>
                    <w:t xml:space="preserve">2.76 (2.21–3.46)</w:t>
                  </w:r>
                </w:p>
              </w:tc>
              <w:tc>
                <w:tcPr/>
                <w:p>
                  <w:pPr>
                    <w:pStyle w:val="Compact"/>
                    <w:jc w:val="left"/>
                    <w:jc w:val="center"/>
                  </w:pPr>
                  <w:r>
                    <w:t xml:space="preserve">&lt;0.001</w:t>
                  </w:r>
                </w:p>
              </w:tc>
            </w:tr>
            <w:tr>
              <w:tc>
                <w:tcPr/>
                <w:p>
                  <w:pPr>
                    <w:pStyle w:val="Compact"/>
                    <w:jc w:val="left"/>
                    <w:jc w:val="center"/>
                  </w:pPr>
                  <w:r>
                    <w:t xml:space="preserve">Skull fracture</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w:t>
                  </w:r>
                </w:p>
              </w:tc>
              <w:tc>
                <w:tcPr/>
                <w:p>
                  <w:pPr>
                    <w:pStyle w:val="Compact"/>
                  </w:pPr>
                </w:p>
              </w:tc>
              <w:tc>
                <w:tcPr/>
                <w:p>
                  <w:pPr>
                    <w:pStyle w:val="Compact"/>
                  </w:pPr>
                </w:p>
              </w:tc>
            </w:tr>
            <w:tr>
              <w:tc>
                <w:tcPr/>
                <w:p>
                  <w:pPr>
                    <w:pStyle w:val="Compact"/>
                  </w:pPr>
                </w:p>
              </w:tc>
              <w:tc>
                <w:tcPr/>
                <w:p>
                  <w:pPr>
                    <w:pStyle w:val="Compact"/>
                    <w:jc w:val="left"/>
                    <w:jc w:val="center"/>
                  </w:pPr>
                  <w:r>
                    <w:t xml:space="preserve">Yes</w:t>
                  </w:r>
                </w:p>
              </w:tc>
              <w:tc>
                <w:tcPr/>
                <w:p>
                  <w:pPr>
                    <w:pStyle w:val="Compact"/>
                    <w:jc w:val="left"/>
                    <w:jc w:val="center"/>
                  </w:pPr>
                  <w:r>
                    <w:t xml:space="preserve">1.76 (1.58–1.95)</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w:t>
                  </w:r>
                </w:p>
              </w:tc>
              <w:tc>
                <w:tcPr/>
                <w:p>
                  <w:pPr>
                    <w:pStyle w:val="Compact"/>
                  </w:pPr>
                </w:p>
              </w:tc>
              <w:tc>
                <w:tcPr/>
                <w:p>
                  <w:pPr>
                    <w:pStyle w:val="Compact"/>
                  </w:pPr>
                </w:p>
              </w:tc>
            </w:tr>
            <w:tr>
              <w:tc>
                <w:tcPr/>
                <w:p>
                  <w:pPr>
                    <w:pStyle w:val="Compact"/>
                  </w:pPr>
                </w:p>
              </w:tc>
              <w:tc>
                <w:tcPr/>
                <w:p>
                  <w:pPr>
                    <w:pStyle w:val="Compact"/>
                    <w:jc w:val="left"/>
                    <w:jc w:val="center"/>
                  </w:pPr>
                  <w:r>
                    <w:t xml:space="preserve">Yes</w:t>
                  </w:r>
                </w:p>
              </w:tc>
              <w:tc>
                <w:tcPr/>
                <w:p>
                  <w:pPr>
                    <w:pStyle w:val="Compact"/>
                    <w:jc w:val="left"/>
                    <w:jc w:val="center"/>
                  </w:pPr>
                  <w:r>
                    <w:t xml:space="preserve">0.97 (0.88–1.07)</w:t>
                  </w:r>
                </w:p>
              </w:tc>
              <w:tc>
                <w:tcPr/>
                <w:p>
                  <w:pPr>
                    <w:pStyle w:val="Compact"/>
                    <w:jc w:val="left"/>
                    <w:jc w:val="center"/>
                  </w:pPr>
                  <w:r>
                    <w:t xml:space="preserve">0.560</w:t>
                  </w:r>
                </w:p>
              </w:tc>
            </w:tr>
            <w:tr>
              <w:tc>
                <w:tcPr/>
                <w:p>
                  <w:pPr>
                    <w:pStyle w:val="Compact"/>
                    <w:jc w:val="left"/>
                    <w:jc w:val="center"/>
                  </w:pPr>
                  <w:r>
                    <w:t xml:space="preserve">TBI as principal diagnosis</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w:t>
                  </w:r>
                </w:p>
              </w:tc>
              <w:tc>
                <w:tcPr/>
                <w:p>
                  <w:pPr>
                    <w:pStyle w:val="Compact"/>
                  </w:pPr>
                </w:p>
              </w:tc>
              <w:tc>
                <w:tcPr/>
                <w:p>
                  <w:pPr>
                    <w:pStyle w:val="Compact"/>
                  </w:pPr>
                </w:p>
              </w:tc>
            </w:tr>
            <w:tr>
              <w:tc>
                <w:tcPr/>
                <w:p>
                  <w:pPr>
                    <w:pStyle w:val="Compact"/>
                  </w:pPr>
                </w:p>
              </w:tc>
              <w:tc>
                <w:tcPr/>
                <w:p>
                  <w:pPr>
                    <w:pStyle w:val="Compact"/>
                    <w:jc w:val="left"/>
                    <w:jc w:val="center"/>
                  </w:pPr>
                  <w:r>
                    <w:t xml:space="preserve">Yes</w:t>
                  </w:r>
                </w:p>
              </w:tc>
              <w:tc>
                <w:tcPr/>
                <w:p>
                  <w:pPr>
                    <w:pStyle w:val="Compact"/>
                    <w:jc w:val="left"/>
                    <w:jc w:val="center"/>
                  </w:pPr>
                  <w:r>
                    <w:t xml:space="preserve">1.17 (1.04–1.31)</w:t>
                  </w:r>
                </w:p>
              </w:tc>
              <w:tc>
                <w:tcPr/>
                <w:p>
                  <w:pPr>
                    <w:pStyle w:val="Compact"/>
                    <w:jc w:val="left"/>
                    <w:jc w:val="center"/>
                  </w:pPr>
                  <w:r>
                    <w:t xml:space="preserve">0.009</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0</w:t>
                  </w:r>
                </w:p>
              </w:tc>
              <w:tc>
                <w:tcPr/>
                <w:p>
                  <w:pPr>
                    <w:pStyle w:val="Compact"/>
                  </w:pPr>
                </w:p>
              </w:tc>
              <w:tc>
                <w:tcPr/>
                <w:p>
                  <w:pPr>
                    <w:pStyle w:val="Compact"/>
                  </w:pPr>
                </w:p>
              </w:tc>
            </w:tr>
            <w:tr>
              <w:tc>
                <w:tcPr/>
                <w:p>
                  <w:pPr>
                    <w:pStyle w:val="Compact"/>
                  </w:pPr>
                </w:p>
              </w:tc>
              <w:tc>
                <w:tcPr/>
                <w:p>
                  <w:pPr>
                    <w:pStyle w:val="Compact"/>
                    <w:jc w:val="left"/>
                    <w:jc w:val="center"/>
                  </w:pPr>
                  <w:r>
                    <w:t xml:space="preserve">1</w:t>
                  </w:r>
                </w:p>
              </w:tc>
              <w:tc>
                <w:tcPr/>
                <w:p>
                  <w:pPr>
                    <w:pStyle w:val="Compact"/>
                    <w:jc w:val="left"/>
                    <w:jc w:val="center"/>
                  </w:pPr>
                  <w:r>
                    <w:t xml:space="preserve">0.94 (0.83–1.06)</w:t>
                  </w:r>
                </w:p>
              </w:tc>
              <w:tc>
                <w:tcPr/>
                <w:p>
                  <w:pPr>
                    <w:pStyle w:val="Compact"/>
                    <w:jc w:val="left"/>
                    <w:jc w:val="center"/>
                  </w:pPr>
                  <w:r>
                    <w:t xml:space="preserve">0.304</w:t>
                  </w:r>
                </w:p>
              </w:tc>
            </w:tr>
            <w:tr>
              <w:tc>
                <w:tcPr/>
                <w:p>
                  <w:pPr>
                    <w:pStyle w:val="Compact"/>
                  </w:pPr>
                </w:p>
              </w:tc>
              <w:tc>
                <w:tcPr/>
                <w:p>
                  <w:pPr>
                    <w:pStyle w:val="Compact"/>
                    <w:jc w:val="left"/>
                    <w:jc w:val="center"/>
                  </w:pPr>
                  <w:r>
                    <w:t xml:space="preserve">2</w:t>
                  </w:r>
                </w:p>
              </w:tc>
              <w:tc>
                <w:tcPr/>
                <w:p>
                  <w:pPr>
                    <w:pStyle w:val="Compact"/>
                    <w:jc w:val="left"/>
                    <w:jc w:val="center"/>
                  </w:pPr>
                  <w:r>
                    <w:t xml:space="preserve">0.84 (0.73–0.97)</w:t>
                  </w:r>
                </w:p>
              </w:tc>
              <w:tc>
                <w:tcPr/>
                <w:p>
                  <w:pPr>
                    <w:pStyle w:val="Compact"/>
                    <w:jc w:val="left"/>
                    <w:jc w:val="center"/>
                  </w:pPr>
                  <w:r>
                    <w:t xml:space="preserve">0.015</w:t>
                  </w:r>
                </w:p>
              </w:tc>
            </w:tr>
            <w:tr>
              <w:tc>
                <w:tcPr/>
                <w:p>
                  <w:pPr>
                    <w:pStyle w:val="Compact"/>
                  </w:pPr>
                </w:p>
              </w:tc>
              <w:tc>
                <w:tcPr/>
                <w:p>
                  <w:pPr>
                    <w:pStyle w:val="Compact"/>
                    <w:jc w:val="left"/>
                    <w:jc w:val="center"/>
                  </w:pPr>
                  <w:r>
                    <w:t xml:space="preserve">&gt;=3</w:t>
                  </w:r>
                </w:p>
              </w:tc>
              <w:tc>
                <w:tcPr/>
                <w:p>
                  <w:pPr>
                    <w:pStyle w:val="Compact"/>
                    <w:jc w:val="left"/>
                    <w:jc w:val="center"/>
                  </w:pPr>
                  <w:r>
                    <w:t xml:space="preserve">0.84 (0.72–0.97)</w:t>
                  </w:r>
                </w:p>
              </w:tc>
              <w:tc>
                <w:tcPr/>
                <w:p>
                  <w:pPr>
                    <w:pStyle w:val="Compact"/>
                    <w:jc w:val="left"/>
                    <w:jc w:val="center"/>
                  </w:pPr>
                  <w:r>
                    <w:t xml:space="preserve">0.019</w:t>
                  </w:r>
                </w:p>
              </w:tc>
            </w:tr>
            <w:tr>
              <w:tc>
                <w:tcPr/>
                <w:p>
                  <w:pPr>
                    <w:pStyle w:val="Compact"/>
                    <w:jc w:val="left"/>
                    <w:jc w:val="center"/>
                  </w:pPr>
                  <w:r>
                    <w:t xml:space="preserve">Any liver disease (K70–K77)</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w:t>
                  </w:r>
                </w:p>
              </w:tc>
              <w:tc>
                <w:tcPr/>
                <w:p>
                  <w:pPr>
                    <w:pStyle w:val="Compact"/>
                  </w:pPr>
                </w:p>
              </w:tc>
              <w:tc>
                <w:tcPr/>
                <w:p>
                  <w:pPr>
                    <w:pStyle w:val="Compact"/>
                  </w:pPr>
                </w:p>
              </w:tc>
            </w:tr>
            <w:tr>
              <w:tc>
                <w:tcPr/>
                <w:p>
                  <w:pPr>
                    <w:pStyle w:val="Compact"/>
                  </w:pPr>
                </w:p>
              </w:tc>
              <w:tc>
                <w:tcPr/>
                <w:p>
                  <w:pPr>
                    <w:pStyle w:val="Compact"/>
                    <w:jc w:val="left"/>
                    <w:jc w:val="center"/>
                  </w:pPr>
                  <w:r>
                    <w:t xml:space="preserve">Yes</w:t>
                  </w:r>
                </w:p>
              </w:tc>
              <w:tc>
                <w:tcPr/>
                <w:p>
                  <w:pPr>
                    <w:pStyle w:val="Compact"/>
                    <w:jc w:val="left"/>
                    <w:jc w:val="center"/>
                  </w:pPr>
                  <w:r>
                    <w:t xml:space="preserve">2.75 (2.47–3.06)</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No</w:t>
                  </w:r>
                </w:p>
              </w:tc>
              <w:tc>
                <w:tcPr/>
                <w:p>
                  <w:pPr>
                    <w:pStyle w:val="Compact"/>
                  </w:pPr>
                </w:p>
              </w:tc>
              <w:tc>
                <w:tcPr/>
                <w:p>
                  <w:pPr>
                    <w:pStyle w:val="Compact"/>
                  </w:pPr>
                </w:p>
              </w:tc>
            </w:tr>
            <w:tr>
              <w:tc>
                <w:tcPr/>
                <w:p>
                  <w:pPr>
                    <w:pStyle w:val="Compact"/>
                  </w:pPr>
                </w:p>
              </w:tc>
              <w:tc>
                <w:tcPr/>
                <w:p>
                  <w:pPr>
                    <w:pStyle w:val="Compact"/>
                    <w:jc w:val="left"/>
                    <w:jc w:val="center"/>
                  </w:pPr>
                  <w:r>
                    <w:t xml:space="preserve">Yes</w:t>
                  </w:r>
                </w:p>
              </w:tc>
              <w:tc>
                <w:tcPr/>
                <w:p>
                  <w:pPr>
                    <w:pStyle w:val="Compact"/>
                    <w:jc w:val="left"/>
                    <w:jc w:val="center"/>
                  </w:pPr>
                  <w:r>
                    <w:t xml:space="preserve">0.78 (0.68–0.90)</w:t>
                  </w:r>
                </w:p>
              </w:tc>
              <w:tc>
                <w:tcPr/>
                <w:p>
                  <w:pPr>
                    <w:pStyle w:val="Compact"/>
                    <w:jc w:val="left"/>
                    <w:jc w:val="center"/>
                  </w:pPr>
                  <w:r>
                    <w:t xml:space="preserve">&lt;0.001</w:t>
                  </w:r>
                </w:p>
              </w:tc>
            </w:tr>
          </w:tbl>
          <w:bookmarkEnd w:id="46"/>
          <w:p/>
        </w:tc>
      </w:tr>
    </w:tbl>
    <w:p>
      <w:pPr>
        <w:pStyle w:val="BodyText"/>
      </w:pPr>
      <w:r>
        <w:rPr>
          <w:i/>
          <w:iCs/>
        </w:rPr>
        <w:t xml:space="preserve">Estimates are adjusted odds ratios (95% CI); p-values are two-sided. Weighted n (%) is the reporting convention; coefficient estimates for levels with ≤10 unweighted complete-case records are suppressed.</w:t>
      </w:r>
    </w:p>
    <w:bookmarkEnd w:id="47"/>
    <w:bookmarkStart w:id="49" w:name="table-s3.-missing-data-by-aws-group"/>
    <w:p>
      <w:pPr>
        <w:pStyle w:val="Heading3"/>
      </w:pPr>
      <w:r>
        <w:t xml:space="preserve">Table S3. Missing data by AWS group</w:t>
      </w:r>
    </w:p>
    <w:p>
      <w:pPr>
        <w:pStyle w:val="FirstParagraph"/>
      </w:pPr>
      <w:r>
        <w:rPr>
          <w:b/>
          <w:bCs/>
        </w:rPr>
        <w:t xml:space="preserve">Table S3. Weighted missingness in model covariates and outcomes, by AWS group.</w:t>
      </w:r>
    </w:p>
    <w:tbl>
      <w:tblPr>
        <w:tblStyle w:val="Table"/>
        <w:tblW w:type="pct" w:w="5000"/>
        <w:tblLayout w:type="fixed"/>
        <w:tblLook w:firstRow="0" w:lastRow="0" w:firstColumn="0" w:lastColumn="0" w:noHBand="0" w:noVBand="0" w:val="0000"/>
      </w:tblPr>
      <w:tblGrid>
        <w:gridCol w:w="7920"/>
      </w:tblGrid>
      <w:tr>
        <w:tc>
          <w:tcPr/>
          <w:bookmarkStart w:id="48" w:name="tbl-s3"/>
          <w:p>
            <w:pPr>
              <w:jc w:val="center"/>
            </w:pPr>
            <w:pPr>
              <w:jc w:val="left"/>
              <w:spacing w:before="200"/>
              <w:pStyle w:val="ImageCaption"/>
            </w:pPr>
            <w:r>
              <w:t xml:space="preserve">Table 6</w:t>
            </w:r>
          </w:p>
          <w:tbl>
            <w:tblPr>
              <w:tblStyle w:val="Table"/>
              <w:tblW w:type="pct" w:w="5000"/>
              <w:tblLayout w:type="fixed"/>
              <w:tblLook w:firstRow="1" w:lastRow="0" w:firstColumn="0" w:lastColumn="0" w:noHBand="0" w:noVBand="0" w:val="0020"/>
            </w:tblPr>
            <w:tblGrid>
              <w:gridCol w:w="4073"/>
              <w:gridCol w:w="754"/>
              <w:gridCol w:w="1508"/>
              <w:gridCol w:w="1584"/>
            </w:tblGrid>
            <w:tr>
              <w:trPr>
                <w:tblHeader w:val="on"/>
              </w:trPr>
              <w:tc>
                <w:tcPr/>
                <w:p>
                  <w:pPr>
                    <w:pStyle w:val="Compact"/>
                    <w:jc w:val="left"/>
                    <w:jc w:val="center"/>
                  </w:pPr>
                  <w:r>
                    <w:t xml:space="preserve">Variable</w:t>
                  </w:r>
                </w:p>
              </w:tc>
              <w:tc>
                <w:tcPr/>
                <w:p>
                  <w:pPr>
                    <w:pStyle w:val="Compact"/>
                    <w:jc w:val="left"/>
                    <w:jc w:val="center"/>
                  </w:pPr>
                  <w:r>
                    <w:t xml:space="preserve">AWS group</w:t>
                  </w:r>
                </w:p>
              </w:tc>
              <w:tc>
                <w:tcPr/>
                <w:p>
                  <w:pPr>
                    <w:pStyle w:val="Compact"/>
                    <w:jc w:val="left"/>
                    <w:jc w:val="center"/>
                  </w:pPr>
                  <w:r>
                    <w:t xml:space="preserve">Missing, weighted n</w:t>
                  </w:r>
                </w:p>
              </w:tc>
              <w:tc>
                <w:tcPr/>
                <w:p>
                  <w:pPr>
                    <w:pStyle w:val="Compact"/>
                    <w:jc w:val="left"/>
                    <w:jc w:val="center"/>
                  </w:pPr>
                  <w:r>
                    <w:t xml:space="preserve">Missing (weighted %)</w:t>
                  </w:r>
                </w:p>
              </w:tc>
            </w:tr>
            <w:tr>
              <w:tc>
                <w:tcPr/>
                <w:p>
                  <w:pPr>
                    <w:pStyle w:val="Compact"/>
                    <w:jc w:val="left"/>
                    <w:jc w:val="center"/>
                  </w:pPr>
                  <w:r>
                    <w:t xml:space="preserve">Age (per 10 years)</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Age (per 10 years)</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Sex</w:t>
                  </w:r>
                </w:p>
              </w:tc>
              <w:tc>
                <w:tcPr/>
                <w:p>
                  <w:pPr>
                    <w:pStyle w:val="Compact"/>
                    <w:jc w:val="left"/>
                    <w:jc w:val="center"/>
                  </w:pPr>
                  <w:r>
                    <w:t xml:space="preserve">No AWS</w:t>
                  </w:r>
                </w:p>
              </w:tc>
              <w:tc>
                <w:tcPr/>
                <w:p>
                  <w:pPr>
                    <w:pStyle w:val="Compact"/>
                    <w:jc w:val="left"/>
                    <w:jc w:val="center"/>
                  </w:pPr>
                  <w:r>
                    <w:t xml:space="preserve">90</w:t>
                  </w:r>
                </w:p>
              </w:tc>
              <w:tc>
                <w:tcPr/>
                <w:p>
                  <w:pPr>
                    <w:pStyle w:val="Compact"/>
                    <w:jc w:val="left"/>
                    <w:jc w:val="center"/>
                  </w:pPr>
                  <w:r>
                    <w:t xml:space="preserve">0.05%</w:t>
                  </w:r>
                </w:p>
              </w:tc>
            </w:tr>
            <w:tr>
              <w:tc>
                <w:tcPr/>
                <w:p>
                  <w:pPr>
                    <w:pStyle w:val="Compact"/>
                    <w:jc w:val="left"/>
                    <w:jc w:val="center"/>
                  </w:pPr>
                  <w:r>
                    <w:t xml:space="preserve">Sex</w:t>
                  </w:r>
                </w:p>
              </w:tc>
              <w:tc>
                <w:tcPr/>
                <w:p>
                  <w:pPr>
                    <w:pStyle w:val="Compact"/>
                    <w:jc w:val="left"/>
                    <w:jc w:val="center"/>
                  </w:pPr>
                  <w:r>
                    <w:t xml:space="preserve">AWS</w:t>
                  </w:r>
                </w:p>
              </w:tc>
              <w:tc>
                <w:tcPr/>
                <w:p>
                  <w:pPr>
                    <w:pStyle w:val="Compact"/>
                    <w:jc w:val="left"/>
                    <w:jc w:val="center"/>
                  </w:pPr>
                  <w:r>
                    <w:t xml:space="preserve">≤10</w:t>
                  </w:r>
                </w:p>
              </w:tc>
              <w:tc>
                <w:tcPr/>
                <w:p>
                  <w:pPr>
                    <w:pStyle w:val="Compact"/>
                    <w:jc w:val="left"/>
                    <w:jc w:val="center"/>
                  </w:pPr>
                  <w:r>
                    <w:t xml:space="preserve">≤10</w:t>
                  </w:r>
                </w:p>
              </w:tc>
            </w:tr>
            <w:tr>
              <w:tc>
                <w:tcPr/>
                <w:p>
                  <w:pPr>
                    <w:pStyle w:val="Compact"/>
                    <w:jc w:val="left"/>
                    <w:jc w:val="center"/>
                  </w:pPr>
                  <w:r>
                    <w:t xml:space="preserve">Race/ethnicity</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Race/ethnicity</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Primary expected payer</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Primary expected payer</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Median household income quartile for patient ZIP code</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Median household income quartile for patient ZIP code</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Discharge year</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Discharge year</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census region</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census region</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bed size</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bed size</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location and teaching status</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location and teaching status</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TBI injury subtype</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TBI injury subtype</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Skull fracture</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Skull fracture</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Any injury code outside the head (initial encounter)</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Any injury code outside the head (initial encounter)</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TBI as principal diagnosis</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TBI as principal diagnosis</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Chronic comorbidity count (Elixhauser refined)</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Chronic comorbidity count (Elixhauser refined)</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Any liver disease (K70–K77)</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Any liver disease (K70–K77)</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Other substance use disorder</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Other substance use disorder</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In-hospital mortality</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In-hospital mortality</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Invasive mechanical ventilation</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Invasive mechanical ventilation</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Pneumonia or aspiration pneumonitis</w:t>
                  </w:r>
                </w:p>
              </w:tc>
              <w:tc>
                <w:tcPr/>
                <w:p>
                  <w:pPr>
                    <w:pStyle w:val="Compact"/>
                    <w:jc w:val="left"/>
                    <w:jc w:val="center"/>
                  </w:pPr>
                  <w:r>
                    <w:t xml:space="preserve">No 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Pneumonia or aspiration pneumonitis</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Institutional discharge (among survivors)</w:t>
                  </w:r>
                </w:p>
              </w:tc>
              <w:tc>
                <w:tcPr/>
                <w:p>
                  <w:pPr>
                    <w:pStyle w:val="Compact"/>
                    <w:jc w:val="left"/>
                    <w:jc w:val="center"/>
                  </w:pPr>
                  <w:r>
                    <w:t xml:space="preserve">No AWS</w:t>
                  </w:r>
                </w:p>
              </w:tc>
              <w:tc>
                <w:tcPr/>
                <w:p>
                  <w:pPr>
                    <w:pStyle w:val="Compact"/>
                    <w:jc w:val="left"/>
                    <w:jc w:val="center"/>
                  </w:pPr>
                  <w:r>
                    <w:t xml:space="preserve">10,160</w:t>
                  </w:r>
                </w:p>
              </w:tc>
              <w:tc>
                <w:tcPr/>
                <w:p>
                  <w:pPr>
                    <w:pStyle w:val="Compact"/>
                    <w:jc w:val="left"/>
                    <w:jc w:val="center"/>
                  </w:pPr>
                  <w:r>
                    <w:t xml:space="preserve">5.31%</w:t>
                  </w:r>
                </w:p>
              </w:tc>
            </w:tr>
            <w:tr>
              <w:tc>
                <w:tcPr/>
                <w:p>
                  <w:pPr>
                    <w:pStyle w:val="Compact"/>
                    <w:jc w:val="left"/>
                    <w:jc w:val="center"/>
                  </w:pPr>
                  <w:r>
                    <w:t xml:space="preserve">Institutional discharge (among survivors)</w:t>
                  </w:r>
                </w:p>
              </w:tc>
              <w:tc>
                <w:tcPr/>
                <w:p>
                  <w:pPr>
                    <w:pStyle w:val="Compact"/>
                    <w:jc w:val="left"/>
                    <w:jc w:val="center"/>
                  </w:pPr>
                  <w:r>
                    <w:t xml:space="preserve">AWS</w:t>
                  </w:r>
                </w:p>
              </w:tc>
              <w:tc>
                <w:tcPr/>
                <w:p>
                  <w:pPr>
                    <w:pStyle w:val="Compact"/>
                    <w:jc w:val="left"/>
                    <w:jc w:val="center"/>
                  </w:pPr>
                  <w:r>
                    <w:t xml:space="preserve">2,330</w:t>
                  </w:r>
                </w:p>
              </w:tc>
              <w:tc>
                <w:tcPr/>
                <w:p>
                  <w:pPr>
                    <w:pStyle w:val="Compact"/>
                    <w:jc w:val="left"/>
                    <w:jc w:val="center"/>
                  </w:pPr>
                  <w:r>
                    <w:t xml:space="preserve">4.00%</w:t>
                  </w:r>
                </w:p>
              </w:tc>
            </w:tr>
            <w:tr>
              <w:tc>
                <w:tcPr/>
                <w:p>
                  <w:pPr>
                    <w:pStyle w:val="Compact"/>
                    <w:jc w:val="left"/>
                    <w:jc w:val="center"/>
                  </w:pPr>
                  <w:r>
                    <w:t xml:space="preserve">Discharge against medical advice (among survivors)</w:t>
                  </w:r>
                </w:p>
              </w:tc>
              <w:tc>
                <w:tcPr/>
                <w:p>
                  <w:pPr>
                    <w:pStyle w:val="Compact"/>
                    <w:jc w:val="left"/>
                    <w:jc w:val="center"/>
                  </w:pPr>
                  <w:r>
                    <w:t xml:space="preserve">No AWS</w:t>
                  </w:r>
                </w:p>
              </w:tc>
              <w:tc>
                <w:tcPr/>
                <w:p>
                  <w:pPr>
                    <w:pStyle w:val="Compact"/>
                    <w:jc w:val="left"/>
                    <w:jc w:val="center"/>
                  </w:pPr>
                  <w:r>
                    <w:t xml:space="preserve">10,160</w:t>
                  </w:r>
                </w:p>
              </w:tc>
              <w:tc>
                <w:tcPr/>
                <w:p>
                  <w:pPr>
                    <w:pStyle w:val="Compact"/>
                    <w:jc w:val="left"/>
                    <w:jc w:val="center"/>
                  </w:pPr>
                  <w:r>
                    <w:t xml:space="preserve">5.31%</w:t>
                  </w:r>
                </w:p>
              </w:tc>
            </w:tr>
            <w:tr>
              <w:tc>
                <w:tcPr/>
                <w:p>
                  <w:pPr>
                    <w:pStyle w:val="Compact"/>
                    <w:jc w:val="left"/>
                    <w:jc w:val="center"/>
                  </w:pPr>
                  <w:r>
                    <w:t xml:space="preserve">Discharge against medical advice (among survivors)</w:t>
                  </w:r>
                </w:p>
              </w:tc>
              <w:tc>
                <w:tcPr/>
                <w:p>
                  <w:pPr>
                    <w:pStyle w:val="Compact"/>
                    <w:jc w:val="left"/>
                    <w:jc w:val="center"/>
                  </w:pPr>
                  <w:r>
                    <w:t xml:space="preserve">AWS</w:t>
                  </w:r>
                </w:p>
              </w:tc>
              <w:tc>
                <w:tcPr/>
                <w:p>
                  <w:pPr>
                    <w:pStyle w:val="Compact"/>
                    <w:jc w:val="left"/>
                    <w:jc w:val="center"/>
                  </w:pPr>
                  <w:r>
                    <w:t xml:space="preserve">2,330</w:t>
                  </w:r>
                </w:p>
              </w:tc>
              <w:tc>
                <w:tcPr/>
                <w:p>
                  <w:pPr>
                    <w:pStyle w:val="Compact"/>
                    <w:jc w:val="left"/>
                    <w:jc w:val="center"/>
                  </w:pPr>
                  <w:r>
                    <w:t xml:space="preserve">4.00%</w:t>
                  </w:r>
                </w:p>
              </w:tc>
            </w:tr>
            <w:tr>
              <w:tc>
                <w:tcPr/>
                <w:p>
                  <w:pPr>
                    <w:pStyle w:val="Compact"/>
                    <w:jc w:val="left"/>
                    <w:jc w:val="center"/>
                  </w:pPr>
                  <w:r>
                    <w:t xml:space="preserve">Length of stay, days</w:t>
                  </w:r>
                </w:p>
              </w:tc>
              <w:tc>
                <w:tcPr/>
                <w:p>
                  <w:pPr>
                    <w:pStyle w:val="Compact"/>
                    <w:jc w:val="left"/>
                    <w:jc w:val="center"/>
                  </w:pPr>
                  <w:r>
                    <w:t xml:space="preserve">No AWS</w:t>
                  </w:r>
                </w:p>
              </w:tc>
              <w:tc>
                <w:tcPr/>
                <w:p>
                  <w:pPr>
                    <w:pStyle w:val="Compact"/>
                    <w:jc w:val="left"/>
                    <w:jc w:val="center"/>
                  </w:pPr>
                  <w:r>
                    <w:t xml:space="preserve">≤10</w:t>
                  </w:r>
                </w:p>
              </w:tc>
              <w:tc>
                <w:tcPr/>
                <w:p>
                  <w:pPr>
                    <w:pStyle w:val="Compact"/>
                    <w:jc w:val="left"/>
                    <w:jc w:val="center"/>
                  </w:pPr>
                  <w:r>
                    <w:t xml:space="preserve">≤10</w:t>
                  </w:r>
                </w:p>
              </w:tc>
            </w:tr>
            <w:tr>
              <w:tc>
                <w:tcPr/>
                <w:p>
                  <w:pPr>
                    <w:pStyle w:val="Compact"/>
                    <w:jc w:val="left"/>
                    <w:jc w:val="center"/>
                  </w:pPr>
                  <w:r>
                    <w:t xml:space="preserve">Length of stay, days</w:t>
                  </w:r>
                </w:p>
              </w:tc>
              <w:tc>
                <w:tcPr/>
                <w:p>
                  <w:pPr>
                    <w:pStyle w:val="Compact"/>
                    <w:jc w:val="left"/>
                    <w:jc w:val="center"/>
                  </w:pPr>
                  <w:r>
                    <w:t xml:space="preserve">AWS</w:t>
                  </w:r>
                </w:p>
              </w:tc>
              <w:tc>
                <w:tcPr/>
                <w:p>
                  <w:pPr>
                    <w:pStyle w:val="Compact"/>
                    <w:jc w:val="left"/>
                    <w:jc w:val="center"/>
                  </w:pPr>
                  <w:r>
                    <w:t xml:space="preserve">0</w:t>
                  </w:r>
                </w:p>
              </w:tc>
              <w:tc>
                <w:tcPr/>
                <w:p>
                  <w:pPr>
                    <w:pStyle w:val="Compact"/>
                    <w:jc w:val="left"/>
                    <w:jc w:val="center"/>
                  </w:pPr>
                  <w:r>
                    <w:t xml:space="preserve">0.00%</w:t>
                  </w:r>
                </w:p>
              </w:tc>
            </w:tr>
            <w:tr>
              <w:tc>
                <w:tcPr/>
                <w:p>
                  <w:pPr>
                    <w:pStyle w:val="Compact"/>
                    <w:jc w:val="left"/>
                    <w:jc w:val="center"/>
                  </w:pPr>
                  <w:r>
                    <w:t xml:space="preserve">Hospital cost (2022 USD)</w:t>
                  </w:r>
                </w:p>
              </w:tc>
              <w:tc>
                <w:tcPr/>
                <w:p>
                  <w:pPr>
                    <w:pStyle w:val="Compact"/>
                    <w:jc w:val="left"/>
                    <w:jc w:val="center"/>
                  </w:pPr>
                  <w:r>
                    <w:t xml:space="preserve">No AWS</w:t>
                  </w:r>
                </w:p>
              </w:tc>
              <w:tc>
                <w:tcPr/>
                <w:p>
                  <w:pPr>
                    <w:pStyle w:val="Compact"/>
                    <w:jc w:val="left"/>
                    <w:jc w:val="center"/>
                  </w:pPr>
                  <w:r>
                    <w:t xml:space="preserve">2,320</w:t>
                  </w:r>
                </w:p>
              </w:tc>
              <w:tc>
                <w:tcPr/>
                <w:p>
                  <w:pPr>
                    <w:pStyle w:val="Compact"/>
                    <w:jc w:val="left"/>
                    <w:jc w:val="center"/>
                  </w:pPr>
                  <w:r>
                    <w:t xml:space="preserve">1.21%</w:t>
                  </w:r>
                </w:p>
              </w:tc>
            </w:tr>
            <w:tr>
              <w:tc>
                <w:tcPr/>
                <w:p>
                  <w:pPr>
                    <w:pStyle w:val="Compact"/>
                    <w:jc w:val="left"/>
                    <w:jc w:val="center"/>
                  </w:pPr>
                  <w:r>
                    <w:t xml:space="preserve">Hospital cost (2022 USD)</w:t>
                  </w:r>
                </w:p>
              </w:tc>
              <w:tc>
                <w:tcPr/>
                <w:p>
                  <w:pPr>
                    <w:pStyle w:val="Compact"/>
                    <w:jc w:val="left"/>
                    <w:jc w:val="center"/>
                  </w:pPr>
                  <w:r>
                    <w:t xml:space="preserve">AWS</w:t>
                  </w:r>
                </w:p>
              </w:tc>
              <w:tc>
                <w:tcPr/>
                <w:p>
                  <w:pPr>
                    <w:pStyle w:val="Compact"/>
                    <w:jc w:val="left"/>
                    <w:jc w:val="center"/>
                  </w:pPr>
                  <w:r>
                    <w:t xml:space="preserve">640</w:t>
                  </w:r>
                </w:p>
              </w:tc>
              <w:tc>
                <w:tcPr/>
                <w:p>
                  <w:pPr>
                    <w:pStyle w:val="Compact"/>
                    <w:jc w:val="left"/>
                    <w:jc w:val="center"/>
                  </w:pPr>
                  <w:r>
                    <w:t xml:space="preserve">1.10%</w:t>
                  </w:r>
                </w:p>
              </w:tc>
            </w:tr>
          </w:tbl>
          <w:bookmarkEnd w:id="48"/>
          <w:p/>
        </w:tc>
      </w:tr>
    </w:tbl>
    <w:p>
      <w:pPr>
        <w:pStyle w:val="BodyText"/>
      </w:pPr>
      <w:r>
        <w:rPr>
          <w:i/>
          <w:iCs/>
        </w:rPr>
        <w:t xml:space="preserve">Missingness is reported as weighted n (weighted %) within each AWS group; cells with ≤10 unweighted records are suppressed.</w:t>
      </w:r>
    </w:p>
    <w:bookmarkEnd w:id="49"/>
    <w:bookmarkStart w:id="51" w:name="table-s4.-annual-aws-prevalence"/>
    <w:p>
      <w:pPr>
        <w:pStyle w:val="Heading3"/>
      </w:pPr>
      <w:r>
        <w:t xml:space="preserve">Table S4. Annual AWS prevalence</w:t>
      </w:r>
    </w:p>
    <w:p>
      <w:pPr>
        <w:pStyle w:val="FirstParagraph"/>
      </w:pPr>
      <w:r>
        <w:rPr>
          <w:b/>
          <w:bCs/>
        </w:rPr>
        <w:t xml:space="preserve">Table S4. Annual weighted prevalence of coded AWS in the analytic cohort.</w:t>
      </w:r>
    </w:p>
    <w:tbl>
      <w:tblPr>
        <w:tblStyle w:val="Table"/>
        <w:tblW w:type="pct" w:w="5000"/>
        <w:tblLayout w:type="fixed"/>
        <w:tblLook w:firstRow="0" w:lastRow="0" w:firstColumn="0" w:lastColumn="0" w:noHBand="0" w:noVBand="0" w:val="0000"/>
      </w:tblPr>
      <w:tblGrid>
        <w:gridCol w:w="7920"/>
      </w:tblGrid>
      <w:tr>
        <w:tc>
          <w:tcPr/>
          <w:bookmarkStart w:id="50" w:name="tbl-s4"/>
          <w:p>
            <w:pPr>
              <w:jc w:val="center"/>
            </w:pPr>
            <w:pPr>
              <w:jc w:val="left"/>
              <w:spacing w:before="200"/>
              <w:pStyle w:val="ImageCaption"/>
            </w:pPr>
            <w:r>
              <w:t xml:space="preserve">Table 7</w:t>
            </w:r>
          </w:p>
          <w:tbl>
            <w:tblPr>
              <w:tblStyle w:val="Table"/>
              <w:tblW w:type="pct" w:w="5000"/>
              <w:tblLayout w:type="fixed"/>
              <w:tblLook w:firstRow="1" w:lastRow="0" w:firstColumn="0" w:lastColumn="0" w:noHBand="0" w:noVBand="0" w:val="0020"/>
            </w:tblPr>
            <w:tblGrid>
              <w:gridCol w:w="366"/>
              <w:gridCol w:w="1320"/>
              <w:gridCol w:w="1100"/>
              <w:gridCol w:w="2053"/>
              <w:gridCol w:w="880"/>
              <w:gridCol w:w="2200"/>
            </w:tblGrid>
            <w:tr>
              <w:trPr>
                <w:tblHeader w:val="on"/>
              </w:trPr>
              <w:tc>
                <w:tcPr/>
                <w:p>
                  <w:pPr>
                    <w:pStyle w:val="Compact"/>
                    <w:jc w:val="left"/>
                    <w:jc w:val="center"/>
                  </w:pPr>
                  <w:r>
                    <w:t xml:space="preserve">Year</w:t>
                  </w:r>
                </w:p>
              </w:tc>
              <w:tc>
                <w:tcPr/>
                <w:p>
                  <w:pPr>
                    <w:pStyle w:val="Compact"/>
                    <w:jc w:val="left"/>
                    <w:jc w:val="center"/>
                  </w:pPr>
                  <w:r>
                    <w:t xml:space="preserve">Weighted cohort n</w:t>
                  </w:r>
                </w:p>
              </w:tc>
              <w:tc>
                <w:tcPr/>
                <w:p>
                  <w:pPr>
                    <w:pStyle w:val="Compact"/>
                    <w:jc w:val="left"/>
                    <w:jc w:val="center"/>
                  </w:pPr>
                  <w:r>
                    <w:t xml:space="preserve">Weighted AWS n</w:t>
                  </w:r>
                </w:p>
              </w:tc>
              <w:tc>
                <w:tcPr/>
                <w:p>
                  <w:pPr>
                    <w:pStyle w:val="Compact"/>
                    <w:jc w:val="left"/>
                    <w:jc w:val="center"/>
                  </w:pPr>
                  <w:r>
                    <w:t xml:space="preserve">AWS prevalence (weighted %)</w:t>
                  </w:r>
                </w:p>
              </w:tc>
              <w:tc>
                <w:tcPr/>
                <w:p>
                  <w:pPr>
                    <w:pStyle w:val="Compact"/>
                    <w:jc w:val="left"/>
                    <w:jc w:val="center"/>
                  </w:pPr>
                  <w:r>
                    <w:t xml:space="preserve">95% CI</w:t>
                  </w:r>
                </w:p>
              </w:tc>
              <w:tc>
                <w:tcPr/>
                <w:p>
                  <w:pPr>
                    <w:pStyle w:val="Compact"/>
                    <w:jc w:val="left"/>
                    <w:jc w:val="center"/>
                  </w:pPr>
                  <w:r>
                    <w:t xml:space="preserve">p-for-trend (continuous year)</w:t>
                  </w:r>
                </w:p>
              </w:tc>
            </w:tr>
            <w:tr>
              <w:tc>
                <w:tcPr/>
                <w:p>
                  <w:pPr>
                    <w:pStyle w:val="Compact"/>
                    <w:jc w:val="left"/>
                    <w:jc w:val="center"/>
                  </w:pPr>
                  <w:r>
                    <w:t xml:space="preserve">2017</w:t>
                  </w:r>
                </w:p>
              </w:tc>
              <w:tc>
                <w:tcPr/>
                <w:p>
                  <w:pPr>
                    <w:pStyle w:val="Compact"/>
                    <w:jc w:val="left"/>
                    <w:jc w:val="center"/>
                  </w:pPr>
                  <w:r>
                    <w:t xml:space="preserve">41,280</w:t>
                  </w:r>
                </w:p>
              </w:tc>
              <w:tc>
                <w:tcPr/>
                <w:p>
                  <w:pPr>
                    <w:pStyle w:val="Compact"/>
                    <w:jc w:val="left"/>
                    <w:jc w:val="center"/>
                  </w:pPr>
                  <w:r>
                    <w:t xml:space="preserve">8,530</w:t>
                  </w:r>
                </w:p>
              </w:tc>
              <w:tc>
                <w:tcPr/>
                <w:p>
                  <w:pPr>
                    <w:pStyle w:val="Compact"/>
                    <w:jc w:val="left"/>
                    <w:jc w:val="center"/>
                  </w:pPr>
                  <w:r>
                    <w:t xml:space="preserve">20.7%</w:t>
                  </w:r>
                </w:p>
              </w:tc>
              <w:tc>
                <w:tcPr/>
                <w:p>
                  <w:pPr>
                    <w:pStyle w:val="Compact"/>
                    <w:jc w:val="left"/>
                    <w:jc w:val="center"/>
                  </w:pPr>
                  <w:r>
                    <w:t xml:space="preserve">19.7%–21.7%</w:t>
                  </w:r>
                </w:p>
              </w:tc>
              <w:tc>
                <w:tcPr/>
                <w:p>
                  <w:pPr>
                    <w:pStyle w:val="Compact"/>
                  </w:pPr>
                </w:p>
              </w:tc>
            </w:tr>
            <w:tr>
              <w:tc>
                <w:tcPr/>
                <w:p>
                  <w:pPr>
                    <w:pStyle w:val="Compact"/>
                    <w:jc w:val="left"/>
                    <w:jc w:val="center"/>
                  </w:pPr>
                  <w:r>
                    <w:t xml:space="preserve">2018</w:t>
                  </w:r>
                </w:p>
              </w:tc>
              <w:tc>
                <w:tcPr/>
                <w:p>
                  <w:pPr>
                    <w:pStyle w:val="Compact"/>
                    <w:jc w:val="left"/>
                    <w:jc w:val="center"/>
                  </w:pPr>
                  <w:r>
                    <w:t xml:space="preserve">41,660</w:t>
                  </w:r>
                </w:p>
              </w:tc>
              <w:tc>
                <w:tcPr/>
                <w:p>
                  <w:pPr>
                    <w:pStyle w:val="Compact"/>
                    <w:jc w:val="left"/>
                    <w:jc w:val="center"/>
                  </w:pPr>
                  <w:r>
                    <w:t xml:space="preserve">9,310</w:t>
                  </w:r>
                </w:p>
              </w:tc>
              <w:tc>
                <w:tcPr/>
                <w:p>
                  <w:pPr>
                    <w:pStyle w:val="Compact"/>
                    <w:jc w:val="left"/>
                    <w:jc w:val="center"/>
                  </w:pPr>
                  <w:r>
                    <w:t xml:space="preserve">22.4%</w:t>
                  </w:r>
                </w:p>
              </w:tc>
              <w:tc>
                <w:tcPr/>
                <w:p>
                  <w:pPr>
                    <w:pStyle w:val="Compact"/>
                    <w:jc w:val="left"/>
                    <w:jc w:val="center"/>
                  </w:pPr>
                  <w:r>
                    <w:t xml:space="preserve">21.3%–23.5%</w:t>
                  </w:r>
                </w:p>
              </w:tc>
              <w:tc>
                <w:tcPr/>
                <w:p>
                  <w:pPr>
                    <w:pStyle w:val="Compact"/>
                  </w:pPr>
                </w:p>
              </w:tc>
            </w:tr>
            <w:tr>
              <w:tc>
                <w:tcPr/>
                <w:p>
                  <w:pPr>
                    <w:pStyle w:val="Compact"/>
                    <w:jc w:val="left"/>
                    <w:jc w:val="center"/>
                  </w:pPr>
                  <w:r>
                    <w:t xml:space="preserve">2019</w:t>
                  </w:r>
                </w:p>
              </w:tc>
              <w:tc>
                <w:tcPr/>
                <w:p>
                  <w:pPr>
                    <w:pStyle w:val="Compact"/>
                    <w:jc w:val="left"/>
                    <w:jc w:val="center"/>
                  </w:pPr>
                  <w:r>
                    <w:t xml:space="preserve">40,890</w:t>
                  </w:r>
                </w:p>
              </w:tc>
              <w:tc>
                <w:tcPr/>
                <w:p>
                  <w:pPr>
                    <w:pStyle w:val="Compact"/>
                    <w:jc w:val="left"/>
                    <w:jc w:val="center"/>
                  </w:pPr>
                  <w:r>
                    <w:t xml:space="preserve">8,960</w:t>
                  </w:r>
                </w:p>
              </w:tc>
              <w:tc>
                <w:tcPr/>
                <w:p>
                  <w:pPr>
                    <w:pStyle w:val="Compact"/>
                    <w:jc w:val="left"/>
                    <w:jc w:val="center"/>
                  </w:pPr>
                  <w:r>
                    <w:t xml:space="preserve">21.9%</w:t>
                  </w:r>
                </w:p>
              </w:tc>
              <w:tc>
                <w:tcPr/>
                <w:p>
                  <w:pPr>
                    <w:pStyle w:val="Compact"/>
                    <w:jc w:val="left"/>
                    <w:jc w:val="center"/>
                  </w:pPr>
                  <w:r>
                    <w:t xml:space="preserve">20.9%–22.9%</w:t>
                  </w:r>
                </w:p>
              </w:tc>
              <w:tc>
                <w:tcPr/>
                <w:p>
                  <w:pPr>
                    <w:pStyle w:val="Compact"/>
                  </w:pPr>
                </w:p>
              </w:tc>
            </w:tr>
            <w:tr>
              <w:tc>
                <w:tcPr/>
                <w:p>
                  <w:pPr>
                    <w:pStyle w:val="Compact"/>
                    <w:jc w:val="left"/>
                    <w:jc w:val="center"/>
                  </w:pPr>
                  <w:r>
                    <w:t xml:space="preserve">2020</w:t>
                  </w:r>
                </w:p>
              </w:tc>
              <w:tc>
                <w:tcPr/>
                <w:p>
                  <w:pPr>
                    <w:pStyle w:val="Compact"/>
                    <w:jc w:val="left"/>
                    <w:jc w:val="center"/>
                  </w:pPr>
                  <w:r>
                    <w:t xml:space="preserve">43,370</w:t>
                  </w:r>
                </w:p>
              </w:tc>
              <w:tc>
                <w:tcPr/>
                <w:p>
                  <w:pPr>
                    <w:pStyle w:val="Compact"/>
                    <w:jc w:val="left"/>
                    <w:jc w:val="center"/>
                  </w:pPr>
                  <w:r>
                    <w:t xml:space="preserve">10,520</w:t>
                  </w:r>
                </w:p>
              </w:tc>
              <w:tc>
                <w:tcPr/>
                <w:p>
                  <w:pPr>
                    <w:pStyle w:val="Compact"/>
                    <w:jc w:val="left"/>
                    <w:jc w:val="center"/>
                  </w:pPr>
                  <w:r>
                    <w:t xml:space="preserve">24.3%</w:t>
                  </w:r>
                </w:p>
              </w:tc>
              <w:tc>
                <w:tcPr/>
                <w:p>
                  <w:pPr>
                    <w:pStyle w:val="Compact"/>
                    <w:jc w:val="left"/>
                    <w:jc w:val="center"/>
                  </w:pPr>
                  <w:r>
                    <w:t xml:space="preserve">23.2%–25.3%</w:t>
                  </w:r>
                </w:p>
              </w:tc>
              <w:tc>
                <w:tcPr/>
                <w:p>
                  <w:pPr>
                    <w:pStyle w:val="Compact"/>
                  </w:pPr>
                </w:p>
              </w:tc>
            </w:tr>
            <w:tr>
              <w:tc>
                <w:tcPr/>
                <w:p>
                  <w:pPr>
                    <w:pStyle w:val="Compact"/>
                    <w:jc w:val="left"/>
                    <w:jc w:val="center"/>
                  </w:pPr>
                  <w:r>
                    <w:t xml:space="preserve">2021</w:t>
                  </w:r>
                </w:p>
              </w:tc>
              <w:tc>
                <w:tcPr/>
                <w:p>
                  <w:pPr>
                    <w:pStyle w:val="Compact"/>
                    <w:jc w:val="left"/>
                    <w:jc w:val="center"/>
                  </w:pPr>
                  <w:r>
                    <w:t xml:space="preserve">41,670</w:t>
                  </w:r>
                </w:p>
              </w:tc>
              <w:tc>
                <w:tcPr/>
                <w:p>
                  <w:pPr>
                    <w:pStyle w:val="Compact"/>
                    <w:jc w:val="left"/>
                    <w:jc w:val="center"/>
                  </w:pPr>
                  <w:r>
                    <w:t xml:space="preserve">10,610</w:t>
                  </w:r>
                </w:p>
              </w:tc>
              <w:tc>
                <w:tcPr/>
                <w:p>
                  <w:pPr>
                    <w:pStyle w:val="Compact"/>
                    <w:jc w:val="left"/>
                    <w:jc w:val="center"/>
                  </w:pPr>
                  <w:r>
                    <w:t xml:space="preserve">25.5%</w:t>
                  </w:r>
                </w:p>
              </w:tc>
              <w:tc>
                <w:tcPr/>
                <w:p>
                  <w:pPr>
                    <w:pStyle w:val="Compact"/>
                    <w:jc w:val="left"/>
                    <w:jc w:val="center"/>
                  </w:pPr>
                  <w:r>
                    <w:t xml:space="preserve">24.4%–26.6%</w:t>
                  </w:r>
                </w:p>
              </w:tc>
              <w:tc>
                <w:tcPr/>
                <w:p>
                  <w:pPr>
                    <w:pStyle w:val="Compact"/>
                  </w:pPr>
                </w:p>
              </w:tc>
            </w:tr>
            <w:tr>
              <w:tc>
                <w:tcPr/>
                <w:p>
                  <w:pPr>
                    <w:pStyle w:val="Compact"/>
                    <w:jc w:val="left"/>
                    <w:jc w:val="center"/>
                  </w:pPr>
                  <w:r>
                    <w:t xml:space="preserve">2022</w:t>
                  </w:r>
                </w:p>
              </w:tc>
              <w:tc>
                <w:tcPr/>
                <w:p>
                  <w:pPr>
                    <w:pStyle w:val="Compact"/>
                    <w:jc w:val="left"/>
                    <w:jc w:val="center"/>
                  </w:pPr>
                  <w:r>
                    <w:t xml:space="preserve">40,690</w:t>
                  </w:r>
                </w:p>
              </w:tc>
              <w:tc>
                <w:tcPr/>
                <w:p>
                  <w:pPr>
                    <w:pStyle w:val="Compact"/>
                    <w:jc w:val="left"/>
                    <w:jc w:val="center"/>
                  </w:pPr>
                  <w:r>
                    <w:t xml:space="preserve">10,340</w:t>
                  </w:r>
                </w:p>
              </w:tc>
              <w:tc>
                <w:tcPr/>
                <w:p>
                  <w:pPr>
                    <w:pStyle w:val="Compact"/>
                    <w:jc w:val="left"/>
                    <w:jc w:val="center"/>
                  </w:pPr>
                  <w:r>
                    <w:t xml:space="preserve">25.4%</w:t>
                  </w:r>
                </w:p>
              </w:tc>
              <w:tc>
                <w:tcPr/>
                <w:p>
                  <w:pPr>
                    <w:pStyle w:val="Compact"/>
                    <w:jc w:val="left"/>
                    <w:jc w:val="center"/>
                  </w:pPr>
                  <w:r>
                    <w:t xml:space="preserve">24.3%–26.5%</w:t>
                  </w:r>
                </w:p>
              </w:tc>
              <w:tc>
                <w:tcPr/>
                <w:p>
                  <w:pPr>
                    <w:pStyle w:val="Compact"/>
                    <w:jc w:val="left"/>
                    <w:jc w:val="center"/>
                  </w:pPr>
                  <w:r>
                    <w:t xml:space="preserve">&lt;0.001</w:t>
                  </w:r>
                </w:p>
              </w:tc>
            </w:tr>
          </w:tbl>
          <w:bookmarkEnd w:id="50"/>
          <w:p/>
        </w:tc>
      </w:tr>
    </w:tbl>
    <w:p>
      <w:pPr>
        <w:pStyle w:val="BodyText"/>
      </w:pPr>
      <w:r>
        <w:rPr>
          <w:i/>
          <w:iCs/>
        </w:rPr>
        <w:t xml:space="preserve">Annual counts are weighted n and prevalence is weighted %. P-for-trend is from a survey-weighted logistic regression with year entered as a continuous term. Cells with ≤10 unweighted records are suppressed.</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2026-10-26T08:21:50Z</dcterms:created>
  <dcterms:modified xsi:type="dcterms:W3CDTF">2026-10-26T08:21:50Z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