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5.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Alcohol Withdrawal Syndrome in Adult Traumatic Brain Injury with Alcohol Use Disorder</w:t>
      </w:r>
    </w:p>
    <w:p>
      <w:pPr>
        <w:pStyle w:val="Subtitle"/>
      </w:pPr>
      <w:r>
        <w:t xml:space="preserve">National Inpatient Sample, 2017–2022</w:t>
      </w:r>
    </w:p>
    <w:p>
      <w:pPr>
        <w:pStyle w:val="Author"/>
      </w:pPr>
      <w:r>
        <w:t xml:space="preserve">Muhammad Saad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b/>
          <w:bCs/>
        </w:rPr>
        <w:t xml:space="preserve">Muhammad Saad</w:t>
      </w:r>
      <w:r>
        <w:t xml:space="preserve"> </w:t>
      </w:r>
      <w:r>
        <w:t xml:space="preserve">· Dow University of Health Sciences ·</w:t>
      </w:r>
      <w:r>
        <w:t xml:space="preserve"> </w:t>
      </w:r>
      <w:hyperlink r:id="rId9">
        <w:r>
          <w:rPr>
            <w:rStyle w:val="Hyperlink"/>
          </w:rPr>
          <w:t xml:space="preserve">msaadasif.md@gmail.com</w:t>
        </w:r>
      </w:hyperlink>
      <w:r>
        <w:t xml:space="preserve"> </w:t>
      </w:r>
      <w:r>
        <w:t xml:space="preserve">·</w:t>
      </w:r>
      <w:r>
        <w:t xml:space="preserve"> </w:t>
      </w:r>
      <w:hyperlink r:id="rId10">
        <w:r>
          <w:rPr>
            <w:rStyle w:val="Hyperlink"/>
          </w:rPr>
          <w:t xml:space="preserve">ORCID 0000-0002-1792-2357</w:t>
        </w:r>
      </w:hyperlink>
    </w:p>
    <w:bookmarkStart w:id="14" w:name="key-findings"/>
    <w:p>
      <w:pPr>
        <w:pStyle w:val="Heading2"/>
      </w:pPr>
      <w:r>
        <w:t xml:space="preserve">Key Findings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2" name="Picture"/>
                  <a:graphic>
                    <a:graphicData uri="http://schemas.openxmlformats.org/drawingml/2006/picture">
                      <pic:pic>
                        <pic:nvPicPr>
                          <pic:cNvPr descr="C:\Program File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Compact"/>
              <w:numPr>
                <w:ilvl w:val="0"/>
                <w:numId w:val="1001"/>
              </w:numPr>
            </w:pPr>
            <w:r>
              <w:t xml:space="preserve">The study included</w:t>
            </w:r>
            <w:r>
              <w:t xml:space="preserve"> </w:t>
            </w:r>
            <w:r>
              <w:rPr>
                <w:b/>
                <w:bCs/>
              </w:rPr>
              <w:t xml:space="preserve">49,914</w:t>
            </w:r>
            <w:r>
              <w:t xml:space="preserve"> </w:t>
            </w:r>
            <w:r>
              <w:t xml:space="preserve">adult hospitalizations;</w:t>
            </w:r>
            <w:r>
              <w:t xml:space="preserve"> </w:t>
            </w:r>
            <w:r>
              <w:rPr>
                <w:b/>
                <w:bCs/>
              </w:rPr>
              <w:t xml:space="preserve">11,654</w:t>
            </w:r>
            <w:r>
              <w:t xml:space="preserve"> </w:t>
            </w:r>
            <w:r>
              <w:t xml:space="preserve">had coded alcohol withdrawal syndrome (AWS).</w:t>
            </w:r>
          </w:p>
          <w:p>
            <w:pPr>
              <w:pStyle w:val="Compact"/>
              <w:numPr>
                <w:ilvl w:val="0"/>
                <w:numId w:val="1001"/>
              </w:numPr>
            </w:pPr>
            <w:r>
              <w:t xml:space="preserve">AWS was documented in</w:t>
            </w:r>
            <w:r>
              <w:t xml:space="preserve"> </w:t>
            </w:r>
            <w:r>
              <w:rPr>
                <w:b/>
                <w:bCs/>
              </w:rPr>
              <w:t xml:space="preserve">23.3%</w:t>
            </w:r>
            <w:r>
              <w:t xml:space="preserve"> </w:t>
            </w:r>
            <w:r>
              <w:t xml:space="preserve">of hospitalizations across</w:t>
            </w:r>
            <w:r>
              <w:t xml:space="preserve"> </w:t>
            </w:r>
            <w:r>
              <w:rPr>
                <w:b/>
                <w:bCs/>
              </w:rPr>
              <w:t xml:space="preserve">2017–2022</w:t>
            </w:r>
            <w:r>
              <w:t xml:space="preserve">.</w:t>
            </w:r>
          </w:p>
          <w:p>
            <w:pPr>
              <w:pStyle w:val="Compact"/>
              <w:numPr>
                <w:ilvl w:val="0"/>
                <w:numId w:val="1001"/>
              </w:numPr>
            </w:pPr>
            <w:r>
              <w:t xml:space="preserve">AWS was associated with lower adjusted odds of in-hospital death (adjusted odds ratio [aOR],</w:t>
            </w:r>
            <w:r>
              <w:t xml:space="preserve"> </w:t>
            </w:r>
            <w:r>
              <w:rPr>
                <w:b/>
                <w:bCs/>
              </w:rPr>
              <w:t xml:space="preserve">0.60 (0.53–0.67)</w:t>
            </w:r>
            <w:r>
              <w:t xml:space="preserve">).</w:t>
            </w:r>
          </w:p>
          <w:p>
            <w:pPr>
              <w:pStyle w:val="Compact"/>
              <w:numPr>
                <w:ilvl w:val="0"/>
                <w:numId w:val="1001"/>
              </w:numPr>
            </w:pPr>
            <w:r>
              <w:t xml:space="preserve">AWS was associated with higher adjusted odds of invasive ventilation (</w:t>
            </w:r>
            <w:r>
              <w:rPr>
                <w:b/>
                <w:bCs/>
              </w:rPr>
              <w:t xml:space="preserve">1.42 (1.34–1.50)</w:t>
            </w:r>
            <w:r>
              <w:t xml:space="preserve">), pneumonia or aspiration (</w:t>
            </w:r>
            <w:r>
              <w:rPr>
                <w:b/>
                <w:bCs/>
              </w:rPr>
              <w:t xml:space="preserve">2.32 (2.17–2.49)</w:t>
            </w:r>
            <w:r>
              <w:t xml:space="preserve">), institutional discharge among survivors (</w:t>
            </w:r>
            <w:r>
              <w:rPr>
                <w:b/>
                <w:bCs/>
              </w:rPr>
              <w:t xml:space="preserve">1.74 (1.65–1.84)</w:t>
            </w:r>
            <w:r>
              <w:t xml:space="preserve">), and discharge against medical advice among survivors (</w:t>
            </w:r>
            <w:r>
              <w:rPr>
                <w:b/>
                <w:bCs/>
              </w:rPr>
              <w:t xml:space="preserve">1.49 (1.34–1.66)</w:t>
            </w:r>
            <w:r>
              <w:t xml:space="preserve">).</w:t>
            </w:r>
          </w:p>
          <w:p>
            <w:pPr>
              <w:pStyle w:val="Compact"/>
              <w:numPr>
                <w:ilvl w:val="0"/>
                <w:numId w:val="1001"/>
              </w:numPr>
            </w:pPr>
            <w:r>
              <w:t xml:space="preserve">Hospitalizations with AWS had longer stays (</w:t>
            </w:r>
            <w:r>
              <w:rPr>
                <w:b/>
                <w:bCs/>
              </w:rPr>
              <w:t xml:space="preserve">11.43 days</w:t>
            </w:r>
            <w:r>
              <w:t xml:space="preserve"> </w:t>
            </w:r>
            <w:r>
              <w:t xml:space="preserve">vs</w:t>
            </w:r>
            <w:r>
              <w:t xml:space="preserve"> </w:t>
            </w:r>
            <w:r>
              <w:rPr>
                <w:b/>
                <w:bCs/>
              </w:rPr>
              <w:t xml:space="preserve">6.74 days</w:t>
            </w:r>
            <w:r>
              <w:t xml:space="preserve">) and higher costs (</w:t>
            </w:r>
            <w:r>
              <w:rPr>
                <w:b/>
                <w:bCs/>
              </w:rPr>
              <w:t xml:space="preserve">$42,702</w:t>
            </w:r>
            <w:r>
              <w:t xml:space="preserve"> </w:t>
            </w:r>
            <w:r>
              <w:t xml:space="preserve">vs</w:t>
            </w:r>
            <w:r>
              <w:t xml:space="preserve"> </w:t>
            </w:r>
            <w:r>
              <w:rPr>
                <w:b/>
                <w:bCs/>
              </w:rPr>
              <w:t xml:space="preserve">$29,159</w:t>
            </w:r>
            <w:r>
              <w:t xml:space="preserve">).</w:t>
            </w:r>
          </w:p>
        </w:tc>
      </w:tr>
    </w:tbl>
    <w:bookmarkEnd w:id="14"/>
    <w:bookmarkStart w:id="18" w:name="methods"/>
    <w:p>
      <w:pPr>
        <w:pStyle w:val="Heading2"/>
      </w:pPr>
      <w:r>
        <w:t xml:space="preserve">Methods</w:t>
      </w:r>
    </w:p>
    <w:bookmarkStart w:id="15" w:name="data-and-cohort"/>
    <w:p>
      <w:pPr>
        <w:pStyle w:val="Heading3"/>
      </w:pPr>
      <w:r>
        <w:t xml:space="preserve">Data and cohort</w:t>
      </w:r>
    </w:p>
    <w:p>
      <w:pPr>
        <w:pStyle w:val="FirstParagraph"/>
      </w:pPr>
      <w:r>
        <w:t xml:space="preserve">We analyzed the Healthcare Cost and Utilization Project (HCUP) National Inpatient Sample (NIS) for</w:t>
      </w:r>
      <w:r>
        <w:t xml:space="preserve"> </w:t>
      </w:r>
      <w:r>
        <w:rPr>
          <w:b/>
          <w:bCs/>
        </w:rPr>
        <w:t xml:space="preserve">2017–2022</w:t>
      </w:r>
      <w:r>
        <w:t xml:space="preserve">. The cohort included adult hospitalizations for acute traumatic brain injury (TBI) with documented alcohol use disorder. Each record represents a hospitalization, not a unique person. Survey weights were used to estimate national patterns.</w:t>
      </w:r>
    </w:p>
    <w:bookmarkEnd w:id="15"/>
    <w:bookmarkStart w:id="16" w:name="exposure-outcomes-and-covariates"/>
    <w:p>
      <w:pPr>
        <w:pStyle w:val="Heading3"/>
      </w:pPr>
      <w:r>
        <w:t xml:space="preserve">Exposure, outcomes, and covariates</w:t>
      </w:r>
    </w:p>
    <w:p>
      <w:pPr>
        <w:pStyle w:val="FirstParagraph"/>
      </w:pPr>
      <w:r>
        <w:t xml:space="preserve">The exposure was a diagnosis code for AWS during the hospitalization. Outcomes were in-hospital death, invasive mechanical ventilation, pneumonia or aspiration, discharge to an institution, discharge against medical advice, length of stay (LOS), and hospital cost. Adjusted models accounted for patient demographics, hospital characteristics, injury features, and chronic conditions.</w:t>
      </w:r>
    </w:p>
    <w:bookmarkEnd w:id="16"/>
    <w:bookmarkStart w:id="17" w:name="statistical-analysis"/>
    <w:p>
      <w:pPr>
        <w:pStyle w:val="Heading3"/>
      </w:pPr>
      <w:r>
        <w:t xml:space="preserve">Statistical analysis</w:t>
      </w:r>
    </w:p>
    <w:p>
      <w:pPr>
        <w:pStyle w:val="FirstParagraph"/>
      </w:pPr>
      <w:r>
        <w:t xml:space="preserve">We compared hospitalizations with and without coded AWS using survey-weighted regression. Adjusted odds ratios summarize the association after accounting for the listed covariates; values above 1 indicate higher odds and values below 1 indicate lower odds. Results describe associations and do not establish cause and effect. HCUP-required small-cell suppression is shown as</w:t>
      </w:r>
      <w:r>
        <w:t xml:space="preserve"> </w:t>
      </w:r>
      <w:r>
        <w:rPr>
          <w:b/>
          <w:bCs/>
        </w:rPr>
        <w:t xml:space="preserve">≤10</w:t>
      </w:r>
      <w:r>
        <w:t xml:space="preserve">; related percentages and values recoverable by subtraction are also masked.</w:t>
      </w:r>
    </w:p>
    <w:bookmarkEnd w:id="17"/>
    <w:bookmarkEnd w:id="18"/>
    <w:bookmarkStart w:id="20" w:name="figure-1.-cohort-flow"/>
    <w:p>
      <w:pPr>
        <w:pStyle w:val="Heading2"/>
      </w:pPr>
      <w:r>
        <w:t xml:space="preserve">Figure 1. Cohort Flow</w:t>
      </w:r>
    </w:p>
    <w:p>
      <w:pPr>
        <w:pStyle w:val="FirstParagraph"/>
      </w:pPr>
      <w:r>
        <w:t xml:space="preserve">The steps below show how the analytic cohort was selected from NIS hospitalizations.</w:t>
      </w:r>
    </w:p>
    <w:tbl>
      <w:tblPr>
        <w:tblStyle w:val="Table"/>
        <w:tblW w:type="pct" w:w="5000"/>
        <w:tblLayout w:type="fixed"/>
        <w:tblLook w:firstRow="0" w:lastRow="0" w:firstColumn="0" w:lastColumn="0" w:noHBand="0" w:noVBand="0" w:val="0000"/>
      </w:tblPr>
      <w:tblGrid>
        <w:gridCol w:w="7920"/>
      </w:tblGrid>
      <w:tr>
        <w:tc>
          <w:tcPr/>
          <w:bookmarkStart w:id="19" w:name="fig-cohort-flow"/>
          <w:p>
            <w:pPr>
              <w:pStyle w:val="Compact"/>
              <w:jc w:val="center"/>
            </w:pPr>
            <w:r>
              <w:t xml:space="preserve">Figure 1. Cohort flow for adult TBI hospitalizations with alcohol use disorder, NIS 2017–2022.</w:t>
            </w:r>
          </w:p>
          <w:tbl>
            <w:tblPr>
              <w:tblStyle w:val="Table"/>
              <w:tblW w:type="pct" w:w="5000"/>
              <w:tblLayout w:type="fixed"/>
              <w:tblLook w:firstRow="1" w:lastRow="0" w:firstColumn="0" w:lastColumn="0" w:noHBand="0" w:noVBand="0" w:val="0020"/>
              <w:tblCaption w:val="Figure 1. Cohort flow for adult TBI hospitalizations with alcohol use disorder, NIS 2017–2022."/>
            </w:tblPr>
            <w:tblGrid>
              <w:gridCol w:w="4040"/>
              <w:gridCol w:w="2424"/>
              <w:gridCol w:w="1454"/>
            </w:tblGrid>
            <w:tr>
              <w:trPr>
                <w:tblHeader w:val="on"/>
              </w:trPr>
              <w:tc>
                <w:tcPr/>
                <w:p>
                  <w:pPr>
                    <w:pStyle w:val="Compact"/>
                    <w:jc w:val="left"/>
                    <w:jc w:val="center"/>
                  </w:pPr>
                  <w:r>
                    <w:t xml:space="preserve">Step</w:t>
                  </w:r>
                </w:p>
              </w:tc>
              <w:tc>
                <w:tcPr/>
                <w:p>
                  <w:pPr>
                    <w:pStyle w:val="Compact"/>
                    <w:jc w:val="right"/>
                    <w:jc w:val="center"/>
                  </w:pPr>
                  <w:r>
                    <w:t xml:space="preserve">Hospitalizations (unweighted)</w:t>
                  </w:r>
                </w:p>
              </w:tc>
              <w:tc>
                <w:tcPr/>
                <w:p>
                  <w:pPr>
                    <w:pStyle w:val="Compact"/>
                    <w:jc w:val="right"/>
                    <w:jc w:val="center"/>
                  </w:pPr>
                  <w:r>
                    <w:t xml:space="preserve">Weighted estimate</w:t>
                  </w:r>
                </w:p>
              </w:tc>
            </w:tr>
            <w:tr>
              <w:tc>
                <w:tcPr/>
                <w:p>
                  <w:pPr>
                    <w:pStyle w:val="Compact"/>
                    <w:jc w:val="left"/>
                    <w:jc w:val="center"/>
                  </w:pPr>
                  <w:r>
                    <w:t xml:space="preserve">All NIS hospitalizations (2017–2022)</w:t>
                  </w:r>
                </w:p>
              </w:tc>
              <w:tc>
                <w:tcPr/>
                <w:p>
                  <w:pPr>
                    <w:pStyle w:val="Compact"/>
                    <w:jc w:val="right"/>
                    <w:jc w:val="center"/>
                  </w:pPr>
                  <w:r>
                    <w:t xml:space="preserve">41065286</w:t>
                  </w:r>
                </w:p>
              </w:tc>
              <w:tc>
                <w:tcPr/>
                <w:p>
                  <w:pPr>
                    <w:pStyle w:val="Compact"/>
                    <w:jc w:val="right"/>
                    <w:jc w:val="center"/>
                  </w:pPr>
                  <w:r>
                    <w:t xml:space="preserve">205326348</w:t>
                  </w:r>
                </w:p>
              </w:tc>
            </w:tr>
            <w:tr>
              <w:tc>
                <w:tcPr/>
                <w:p>
                  <w:pPr>
                    <w:pStyle w:val="Compact"/>
                    <w:jc w:val="left"/>
                    <w:jc w:val="center"/>
                  </w:pPr>
                  <w:r>
                    <w:t xml:space="preserve">Adults aged ≥18 years</w:t>
                  </w:r>
                </w:p>
              </w:tc>
              <w:tc>
                <w:tcPr/>
                <w:p>
                  <w:pPr>
                    <w:pStyle w:val="Compact"/>
                    <w:jc w:val="right"/>
                    <w:jc w:val="center"/>
                  </w:pPr>
                  <w:r>
                    <w:t xml:space="preserve">34972964</w:t>
                  </w:r>
                </w:p>
              </w:tc>
              <w:tc>
                <w:tcPr/>
                <w:p>
                  <w:pPr>
                    <w:pStyle w:val="Compact"/>
                    <w:jc w:val="right"/>
                    <w:jc w:val="center"/>
                  </w:pPr>
                  <w:r>
                    <w:t xml:space="preserve">174864748</w:t>
                  </w:r>
                </w:p>
              </w:tc>
            </w:tr>
            <w:tr>
              <w:tc>
                <w:tcPr/>
                <w:p>
                  <w:pPr>
                    <w:pStyle w:val="Compact"/>
                    <w:jc w:val="left"/>
                    <w:jc w:val="center"/>
                  </w:pPr>
                  <w:r>
                    <w:t xml:space="preserve">Acute traumatic brain injury</w:t>
                  </w:r>
                </w:p>
              </w:tc>
              <w:tc>
                <w:tcPr/>
                <w:p>
                  <w:pPr>
                    <w:pStyle w:val="Compact"/>
                    <w:jc w:val="right"/>
                    <w:jc w:val="center"/>
                  </w:pPr>
                  <w:r>
                    <w:t xml:space="preserve">340749</w:t>
                  </w:r>
                </w:p>
              </w:tc>
              <w:tc>
                <w:tcPr/>
                <w:p>
                  <w:pPr>
                    <w:pStyle w:val="Compact"/>
                    <w:jc w:val="right"/>
                    <w:jc w:val="center"/>
                  </w:pPr>
                  <w:r>
                    <w:t xml:space="preserve">1703745</w:t>
                  </w:r>
                </w:p>
              </w:tc>
            </w:tr>
            <w:tr>
              <w:tc>
                <w:tcPr/>
                <w:p>
                  <w:pPr>
                    <w:pStyle w:val="Compact"/>
                    <w:jc w:val="left"/>
                    <w:jc w:val="center"/>
                  </w:pPr>
                  <w:r>
                    <w:t xml:space="preserve">Documented alcohol use disorder</w:t>
                  </w:r>
                </w:p>
              </w:tc>
              <w:tc>
                <w:tcPr/>
                <w:p>
                  <w:pPr>
                    <w:pStyle w:val="Compact"/>
                    <w:jc w:val="right"/>
                    <w:jc w:val="center"/>
                  </w:pPr>
                  <w:r>
                    <w:t xml:space="preserve">49941</w:t>
                  </w:r>
                </w:p>
              </w:tc>
              <w:tc>
                <w:tcPr/>
                <w:p>
                  <w:pPr>
                    <w:pStyle w:val="Compact"/>
                    <w:jc w:val="right"/>
                    <w:jc w:val="center"/>
                  </w:pPr>
                  <w:r>
                    <w:t xml:space="preserve">249705</w:t>
                  </w:r>
                </w:p>
              </w:tc>
            </w:tr>
            <w:tr>
              <w:tc>
                <w:tcPr/>
                <w:p>
                  <w:pPr>
                    <w:pStyle w:val="Compact"/>
                    <w:jc w:val="left"/>
                    <w:jc w:val="center"/>
                  </w:pPr>
                  <w:r>
                    <w:t xml:space="preserve">Known in-hospital mortality status (final cohort)</w:t>
                  </w:r>
                </w:p>
              </w:tc>
              <w:tc>
                <w:tcPr/>
                <w:p>
                  <w:pPr>
                    <w:pStyle w:val="Compact"/>
                    <w:jc w:val="right"/>
                    <w:jc w:val="center"/>
                  </w:pPr>
                  <w:r>
                    <w:t xml:space="preserve">49914</w:t>
                  </w:r>
                </w:p>
              </w:tc>
              <w:tc>
                <w:tcPr/>
                <w:p>
                  <w:pPr>
                    <w:pStyle w:val="Compact"/>
                    <w:jc w:val="right"/>
                    <w:jc w:val="center"/>
                  </w:pPr>
                  <w:r>
                    <w:t xml:space="preserve">249570</w:t>
                  </w:r>
                </w:p>
              </w:tc>
            </w:tr>
          </w:tbl>
          <w:p>
            <w:pPr>
              <w:jc w:val="center"/>
            </w:pPr>
            <w:pPr>
              <w:jc w:val="left"/>
              <w:spacing w:before="200"/>
              <w:pStyle w:val="ImageCaption"/>
            </w:pPr>
            <w:r>
              <w:t xml:space="preserve">Figure 1</w:t>
            </w:r>
          </w:p>
          <w:bookmarkEnd w:id="19"/>
        </w:tc>
      </w:tr>
    </w:tbl>
    <w:bookmarkEnd w:id="20"/>
    <w:bookmarkStart w:id="22" w:name="table-1.-baseline-characteristics"/>
    <w:p>
      <w:pPr>
        <w:pStyle w:val="Heading2"/>
      </w:pPr>
      <w:r>
        <w:t xml:space="preserve">Table 1. Baseline Characteristics</w:t>
      </w:r>
    </w:p>
    <w:p>
      <w:pPr>
        <w:pStyle w:val="FirstParagraph"/>
      </w:pPr>
      <w:r>
        <w:t xml:space="preserve">Baseline characteristics are shown for the full cohort and by coded AWS status.</w:t>
      </w:r>
    </w:p>
    <w:tbl>
      <w:tblPr>
        <w:tblStyle w:val="Table"/>
        <w:tblW w:type="pct" w:w="5000"/>
        <w:tblLayout w:type="fixed"/>
        <w:tblLook w:firstRow="0" w:lastRow="0" w:firstColumn="0" w:lastColumn="0" w:noHBand="0" w:noVBand="0" w:val="0000"/>
      </w:tblPr>
      <w:tblGrid>
        <w:gridCol w:w="7920"/>
      </w:tblGrid>
      <w:tr>
        <w:tc>
          <w:tcPr/>
          <w:bookmarkStart w:id="21" w:name="tbl-baseline"/>
          <w:p>
            <w:pPr>
              <w:jc w:val="center"/>
            </w:pPr>
            <w:pPr>
              <w:jc w:val="left"/>
              <w:spacing w:before="200"/>
              <w:pStyle w:val="ImageCaption"/>
            </w:pPr>
            <w:r>
              <w:t xml:space="preserve">Table 1</w:t>
            </w:r>
          </w:p>
          <w:tbl>
            <w:tblPr>
              <w:tblStyle w:val="Table"/>
              <w:tblW w:type="pct" w:w="5000"/>
              <w:tblLayout w:type="fixed"/>
              <w:tblLook w:firstRow="1" w:lastRow="0" w:firstColumn="0" w:lastColumn="0" w:noHBand="0" w:noVBand="0" w:val="0020"/>
            </w:tblPr>
            <w:tblGrid>
              <w:gridCol w:w="4364"/>
              <w:gridCol w:w="969"/>
              <w:gridCol w:w="969"/>
              <w:gridCol w:w="969"/>
              <w:gridCol w:w="646"/>
            </w:tblGrid>
            <w:tr>
              <w:trPr>
                <w:tblHeader w:val="on"/>
              </w:trPr>
              <w:tc>
                <w:tcPr/>
                <w:p>
                  <w:pPr>
                    <w:pStyle w:val="Compact"/>
                    <w:jc w:val="left"/>
                    <w:jc w:val="center"/>
                  </w:pPr>
                  <w:r>
                    <w:t xml:space="preserve">Characteristic</w:t>
                  </w:r>
                </w:p>
              </w:tc>
              <w:tc>
                <w:tcPr/>
                <w:p>
                  <w:pPr>
                    <w:pStyle w:val="Compact"/>
                    <w:jc w:val="left"/>
                    <w:jc w:val="center"/>
                  </w:pPr>
                  <w:r>
                    <w:t xml:space="preserve">Overall</w:t>
                  </w:r>
                </w:p>
              </w:tc>
              <w:tc>
                <w:tcPr/>
                <w:p>
                  <w:pPr>
                    <w:pStyle w:val="Compact"/>
                    <w:jc w:val="left"/>
                    <w:jc w:val="center"/>
                  </w:pPr>
                  <w:r>
                    <w:t xml:space="preserve">No AWS</w:t>
                  </w:r>
                </w:p>
              </w:tc>
              <w:tc>
                <w:tcPr/>
                <w:p>
                  <w:pPr>
                    <w:pStyle w:val="Compact"/>
                    <w:jc w:val="left"/>
                    <w:jc w:val="center"/>
                  </w:pPr>
                  <w:r>
                    <w:t xml:space="preserve">AWS</w:t>
                  </w:r>
                </w:p>
              </w:tc>
              <w:tc>
                <w:tcPr/>
                <w:p>
                  <w:pPr>
                    <w:pStyle w:val="Compact"/>
                    <w:jc w:val="left"/>
                    <w:jc w:val="center"/>
                  </w:pPr>
                  <w:r>
                    <w:t xml:space="preserve">p-value</w:t>
                  </w:r>
                </w:p>
              </w:tc>
            </w:tr>
            <w:tr>
              <w:tc>
                <w:tcPr/>
                <w:p>
                  <w:pPr>
                    <w:pStyle w:val="Compact"/>
                    <w:jc w:val="left"/>
                    <w:jc w:val="center"/>
                  </w:pPr>
                  <w:r>
                    <w:t xml:space="preserve">Age, years</w:t>
                  </w:r>
                </w:p>
              </w:tc>
              <w:tc>
                <w:tcPr/>
                <w:p>
                  <w:pPr>
                    <w:pStyle w:val="Compact"/>
                    <w:jc w:val="left"/>
                    <w:jc w:val="center"/>
                  </w:pPr>
                  <w:r>
                    <w:t xml:space="preserve">53 (38, 63)</w:t>
                  </w:r>
                </w:p>
              </w:tc>
              <w:tc>
                <w:tcPr/>
                <w:p>
                  <w:pPr>
                    <w:pStyle w:val="Compact"/>
                    <w:jc w:val="left"/>
                    <w:jc w:val="center"/>
                  </w:pPr>
                  <w:r>
                    <w:t xml:space="preserve">52 (36, 63)</w:t>
                  </w:r>
                </w:p>
              </w:tc>
              <w:tc>
                <w:tcPr/>
                <w:p>
                  <w:pPr>
                    <w:pStyle w:val="Compact"/>
                    <w:jc w:val="left"/>
                    <w:jc w:val="center"/>
                  </w:pPr>
                  <w:r>
                    <w:t xml:space="preserve">56 (46, 64)</w:t>
                  </w:r>
                </w:p>
              </w:tc>
              <w:tc>
                <w:tcPr/>
                <w:p>
                  <w:pPr>
                    <w:pStyle w:val="Compact"/>
                    <w:jc w:val="left"/>
                    <w:jc w:val="center"/>
                  </w:pPr>
                  <w:r>
                    <w:t xml:space="preserve">&lt;0.001</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jc w:val="left"/>
                    <w:jc w:val="center"/>
                  </w:pPr>
                  <w:r>
                    <w:t xml:space="preserve">&lt;0.001</w:t>
                  </w:r>
                </w:p>
              </w:tc>
            </w:tr>
            <w:tr>
              <w:tc>
                <w:tcPr/>
                <w:p>
                  <w:pPr>
                    <w:pStyle w:val="Compact"/>
                    <w:jc w:val="left"/>
                    <w:jc w:val="center"/>
                  </w:pPr>
                  <w:r>
                    <w:t xml:space="preserve">Male</w:t>
                  </w:r>
                </w:p>
              </w:tc>
              <w:tc>
                <w:tcPr/>
                <w:p>
                  <w:pPr>
                    <w:pStyle w:val="Compact"/>
                    <w:jc w:val="left"/>
                    <w:jc w:val="center"/>
                  </w:pPr>
                  <w:r>
                    <w:t xml:space="preserve">78%</w:t>
                  </w:r>
                </w:p>
              </w:tc>
              <w:tc>
                <w:tcPr/>
                <w:p>
                  <w:pPr>
                    <w:pStyle w:val="Compact"/>
                    <w:jc w:val="left"/>
                    <w:jc w:val="center"/>
                  </w:pPr>
                  <w:r>
                    <w:t xml:space="preserve">77%</w:t>
                  </w:r>
                </w:p>
              </w:tc>
              <w:tc>
                <w:tcPr/>
                <w:p>
                  <w:pPr>
                    <w:pStyle w:val="Compact"/>
                    <w:jc w:val="left"/>
                    <w:jc w:val="center"/>
                  </w:pPr>
                  <w:r>
                    <w:t xml:space="preserve">81%</w:t>
                  </w:r>
                </w:p>
              </w:tc>
              <w:tc>
                <w:tcPr/>
                <w:p>
                  <w:pPr>
                    <w:pStyle w:val="Compact"/>
                  </w:pPr>
                </w:p>
              </w:tc>
            </w:tr>
            <w:tr>
              <w:tc>
                <w:tcPr/>
                <w:p>
                  <w:pPr>
                    <w:pStyle w:val="Compact"/>
                    <w:jc w:val="left"/>
                    <w:jc w:val="center"/>
                  </w:pPr>
                  <w:r>
                    <w:t xml:space="preserve">Female</w:t>
                  </w:r>
                </w:p>
              </w:tc>
              <w:tc>
                <w:tcPr/>
                <w:p>
                  <w:pPr>
                    <w:pStyle w:val="Compact"/>
                    <w:jc w:val="left"/>
                    <w:jc w:val="center"/>
                  </w:pPr>
                  <w:r>
                    <w:t xml:space="preserve">22%</w:t>
                  </w:r>
                </w:p>
              </w:tc>
              <w:tc>
                <w:tcPr/>
                <w:p>
                  <w:pPr>
                    <w:pStyle w:val="Compact"/>
                    <w:jc w:val="left"/>
                    <w:jc w:val="center"/>
                  </w:pPr>
                  <w:r>
                    <w:t xml:space="preserve">23%</w:t>
                  </w:r>
                </w:p>
              </w:tc>
              <w:tc>
                <w:tcPr/>
                <w:p>
                  <w:pPr>
                    <w:pStyle w:val="Compact"/>
                    <w:jc w:val="left"/>
                    <w:jc w:val="center"/>
                  </w:pPr>
                  <w:r>
                    <w:t xml:space="preserve">19%</w:t>
                  </w:r>
                </w:p>
              </w:tc>
              <w:tc>
                <w:tcPr/>
                <w:p>
                  <w:pPr>
                    <w:pStyle w:val="Compact"/>
                  </w:pPr>
                </w:p>
              </w:tc>
            </w:tr>
            <w:tr>
              <w:tc>
                <w:tcPr/>
                <w:p>
                  <w:pPr>
                    <w:pStyle w:val="Compact"/>
                    <w:jc w:val="left"/>
                    <w:jc w:val="center"/>
                  </w:pPr>
                  <w:r>
                    <w:t xml:space="preserve">Unknown</w:t>
                  </w:r>
                </w:p>
              </w:tc>
              <w:tc>
                <w:tcPr/>
                <w:p>
                  <w:pPr>
                    <w:pStyle w:val="Compact"/>
                    <w:jc w:val="left"/>
                    <w:jc w:val="center"/>
                  </w:pPr>
                  <w:r>
                    <w:t xml:space="preserve">Masked</w:t>
                  </w:r>
                </w:p>
              </w:tc>
              <w:tc>
                <w:tcPr/>
                <w:p>
                  <w:pPr>
                    <w:pStyle w:val="Compact"/>
                    <w:jc w:val="left"/>
                    <w:jc w:val="center"/>
                  </w:pPr>
                  <w:r>
                    <w:t xml:space="preserve">&lt;0.1%</w:t>
                  </w:r>
                </w:p>
              </w:tc>
              <w:tc>
                <w:tcPr/>
                <w:p>
                  <w:pPr>
                    <w:pStyle w:val="Compact"/>
                    <w:jc w:val="left"/>
                    <w:jc w:val="center"/>
                  </w:pPr>
                  <w:r>
                    <w:t xml:space="preserve">≤10</w:t>
                  </w:r>
                </w:p>
              </w:tc>
              <w:tc>
                <w:tcPr/>
                <w:p>
                  <w:pPr>
                    <w:pStyle w:val="Compact"/>
                  </w:pPr>
                </w:p>
              </w:tc>
            </w:tr>
            <w:tr>
              <w:tc>
                <w:tcPr/>
                <w:p>
                  <w:pPr>
                    <w:pStyle w:val="Compact"/>
                    <w:jc w:val="left"/>
                    <w:jc w:val="center"/>
                  </w:pPr>
                  <w:r>
                    <w:t xml:space="preserve">Race/ethnicity</w:t>
                  </w:r>
                </w:p>
              </w:tc>
              <w:tc>
                <w:tcPr/>
                <w:p>
                  <w:pPr>
                    <w:pStyle w:val="Compact"/>
                  </w:pPr>
                </w:p>
              </w:tc>
              <w:tc>
                <w:tcPr/>
                <w:p>
                  <w:pPr>
                    <w:pStyle w:val="Compact"/>
                  </w:pPr>
                </w:p>
              </w:tc>
              <w:tc>
                <w:tcPr/>
                <w:p>
                  <w:pPr>
                    <w:pStyle w:val="Compact"/>
                  </w:pPr>
                </w:p>
              </w:tc>
              <w:tc>
                <w:tcPr/>
                <w:p>
                  <w:pPr>
                    <w:pStyle w:val="Compact"/>
                    <w:jc w:val="left"/>
                    <w:jc w:val="center"/>
                  </w:pPr>
                  <w:r>
                    <w:t xml:space="preserve">&lt;0.001</w:t>
                  </w:r>
                </w:p>
              </w:tc>
            </w:tr>
            <w:tr>
              <w:tc>
                <w:tcPr/>
                <w:p>
                  <w:pPr>
                    <w:pStyle w:val="Compact"/>
                    <w:jc w:val="left"/>
                    <w:jc w:val="center"/>
                  </w:pPr>
                  <w:r>
                    <w:t xml:space="preserve">White</w:t>
                  </w:r>
                </w:p>
              </w:tc>
              <w:tc>
                <w:tcPr/>
                <w:p>
                  <w:pPr>
                    <w:pStyle w:val="Compact"/>
                    <w:jc w:val="left"/>
                    <w:jc w:val="center"/>
                  </w:pPr>
                  <w:r>
                    <w:t xml:space="preserve">62%</w:t>
                  </w:r>
                </w:p>
              </w:tc>
              <w:tc>
                <w:tcPr/>
                <w:p>
                  <w:pPr>
                    <w:pStyle w:val="Compact"/>
                    <w:jc w:val="left"/>
                    <w:jc w:val="center"/>
                  </w:pPr>
                  <w:r>
                    <w:t xml:space="preserve">61%</w:t>
                  </w:r>
                </w:p>
              </w:tc>
              <w:tc>
                <w:tcPr/>
                <w:p>
                  <w:pPr>
                    <w:pStyle w:val="Compact"/>
                    <w:jc w:val="left"/>
                    <w:jc w:val="center"/>
                  </w:pPr>
                  <w:r>
                    <w:t xml:space="preserve">68%</w:t>
                  </w:r>
                </w:p>
              </w:tc>
              <w:tc>
                <w:tcPr/>
                <w:p>
                  <w:pPr>
                    <w:pStyle w:val="Compact"/>
                  </w:pPr>
                </w:p>
              </w:tc>
            </w:tr>
            <w:tr>
              <w:tc>
                <w:tcPr/>
                <w:p>
                  <w:pPr>
                    <w:pStyle w:val="Compact"/>
                    <w:jc w:val="left"/>
                    <w:jc w:val="center"/>
                  </w:pPr>
                  <w:r>
                    <w:t xml:space="preserve">Black</w:t>
                  </w:r>
                </w:p>
              </w:tc>
              <w:tc>
                <w:tcPr/>
                <w:p>
                  <w:pPr>
                    <w:pStyle w:val="Compact"/>
                    <w:jc w:val="left"/>
                    <w:jc w:val="center"/>
                  </w:pPr>
                  <w:r>
                    <w:t xml:space="preserve">13%</w:t>
                  </w:r>
                </w:p>
              </w:tc>
              <w:tc>
                <w:tcPr/>
                <w:p>
                  <w:pPr>
                    <w:pStyle w:val="Compact"/>
                    <w:jc w:val="left"/>
                    <w:jc w:val="center"/>
                  </w:pPr>
                  <w:r>
                    <w:t xml:space="preserve">14%</w:t>
                  </w:r>
                </w:p>
              </w:tc>
              <w:tc>
                <w:tcPr/>
                <w:p>
                  <w:pPr>
                    <w:pStyle w:val="Compact"/>
                    <w:jc w:val="left"/>
                    <w:jc w:val="center"/>
                  </w:pPr>
                  <w:r>
                    <w:t xml:space="preserve">9.6%</w:t>
                  </w:r>
                </w:p>
              </w:tc>
              <w:tc>
                <w:tcPr/>
                <w:p>
                  <w:pPr>
                    <w:pStyle w:val="Compact"/>
                  </w:pPr>
                </w:p>
              </w:tc>
            </w:tr>
            <w:tr>
              <w:tc>
                <w:tcPr/>
                <w:p>
                  <w:pPr>
                    <w:pStyle w:val="Compact"/>
                    <w:jc w:val="left"/>
                    <w:jc w:val="center"/>
                  </w:pPr>
                  <w:r>
                    <w:t xml:space="preserve">Hispanic</w:t>
                  </w:r>
                </w:p>
              </w:tc>
              <w:tc>
                <w:tcPr/>
                <w:p>
                  <w:pPr>
                    <w:pStyle w:val="Compact"/>
                    <w:jc w:val="left"/>
                    <w:jc w:val="center"/>
                  </w:pPr>
                  <w:r>
                    <w:t xml:space="preserve">14%</w:t>
                  </w:r>
                </w:p>
              </w:tc>
              <w:tc>
                <w:tcPr/>
                <w:p>
                  <w:pPr>
                    <w:pStyle w:val="Compact"/>
                    <w:jc w:val="left"/>
                    <w:jc w:val="center"/>
                  </w:pPr>
                  <w:r>
                    <w:t xml:space="preserve">14%</w:t>
                  </w:r>
                </w:p>
              </w:tc>
              <w:tc>
                <w:tcPr/>
                <w:p>
                  <w:pPr>
                    <w:pStyle w:val="Compact"/>
                    <w:jc w:val="left"/>
                    <w:jc w:val="center"/>
                  </w:pPr>
                  <w:r>
                    <w:t xml:space="preserve">12%</w:t>
                  </w:r>
                </w:p>
              </w:tc>
              <w:tc>
                <w:tcPr/>
                <w:p>
                  <w:pPr>
                    <w:pStyle w:val="Compact"/>
                  </w:pPr>
                </w:p>
              </w:tc>
            </w:tr>
            <w:tr>
              <w:tc>
                <w:tcPr/>
                <w:p>
                  <w:pPr>
                    <w:pStyle w:val="Compact"/>
                    <w:jc w:val="left"/>
                    <w:jc w:val="center"/>
                  </w:pPr>
                  <w:r>
                    <w:t xml:space="preserve">Asian or Pacific Islander</w:t>
                  </w:r>
                </w:p>
              </w:tc>
              <w:tc>
                <w:tcPr/>
                <w:p>
                  <w:pPr>
                    <w:pStyle w:val="Compact"/>
                    <w:jc w:val="left"/>
                    <w:jc w:val="center"/>
                  </w:pPr>
                  <w:r>
                    <w:t xml:space="preserve">1.4%</w:t>
                  </w:r>
                </w:p>
              </w:tc>
              <w:tc>
                <w:tcPr/>
                <w:p>
                  <w:pPr>
                    <w:pStyle w:val="Compact"/>
                    <w:jc w:val="left"/>
                    <w:jc w:val="center"/>
                  </w:pPr>
                  <w:r>
                    <w:t xml:space="preserve">1.4%</w:t>
                  </w:r>
                </w:p>
              </w:tc>
              <w:tc>
                <w:tcPr/>
                <w:p>
                  <w:pPr>
                    <w:pStyle w:val="Compact"/>
                    <w:jc w:val="left"/>
                    <w:jc w:val="center"/>
                  </w:pPr>
                  <w:r>
                    <w:t xml:space="preserve">1.1%</w:t>
                  </w:r>
                </w:p>
              </w:tc>
              <w:tc>
                <w:tcPr/>
                <w:p>
                  <w:pPr>
                    <w:pStyle w:val="Compact"/>
                  </w:pPr>
                </w:p>
              </w:tc>
            </w:tr>
            <w:tr>
              <w:tc>
                <w:tcPr/>
                <w:p>
                  <w:pPr>
                    <w:pStyle w:val="Compact"/>
                    <w:jc w:val="left"/>
                    <w:jc w:val="center"/>
                  </w:pPr>
                  <w:r>
                    <w:t xml:space="preserve">Native American</w:t>
                  </w:r>
                </w:p>
              </w:tc>
              <w:tc>
                <w:tcPr/>
                <w:p>
                  <w:pPr>
                    <w:pStyle w:val="Compact"/>
                    <w:jc w:val="left"/>
                    <w:jc w:val="center"/>
                  </w:pPr>
                  <w:r>
                    <w:t xml:space="preserve">2.2%</w:t>
                  </w:r>
                </w:p>
              </w:tc>
              <w:tc>
                <w:tcPr/>
                <w:p>
                  <w:pPr>
                    <w:pStyle w:val="Compact"/>
                    <w:jc w:val="left"/>
                    <w:jc w:val="center"/>
                  </w:pPr>
                  <w:r>
                    <w:t xml:space="preserve">2.1%</w:t>
                  </w:r>
                </w:p>
              </w:tc>
              <w:tc>
                <w:tcPr/>
                <w:p>
                  <w:pPr>
                    <w:pStyle w:val="Compact"/>
                    <w:jc w:val="left"/>
                    <w:jc w:val="center"/>
                  </w:pPr>
                  <w:r>
                    <w:t xml:space="preserve">2.4%</w:t>
                  </w:r>
                </w:p>
              </w:tc>
              <w:tc>
                <w:tcPr/>
                <w:p>
                  <w:pPr>
                    <w:pStyle w:val="Compact"/>
                  </w:pPr>
                </w:p>
              </w:tc>
            </w:tr>
            <w:tr>
              <w:tc>
                <w:tcPr/>
                <w:p>
                  <w:pPr>
                    <w:pStyle w:val="Compact"/>
                    <w:jc w:val="left"/>
                    <w:jc w:val="center"/>
                  </w:pPr>
                  <w:r>
                    <w:t xml:space="preserve">Other</w:t>
                  </w:r>
                </w:p>
              </w:tc>
              <w:tc>
                <w:tcPr/>
                <w:p>
                  <w:pPr>
                    <w:pStyle w:val="Compact"/>
                    <w:jc w:val="left"/>
                    <w:jc w:val="center"/>
                  </w:pPr>
                  <w:r>
                    <w:t xml:space="preserve">3.7%</w:t>
                  </w:r>
                </w:p>
              </w:tc>
              <w:tc>
                <w:tcPr/>
                <w:p>
                  <w:pPr>
                    <w:pStyle w:val="Compact"/>
                    <w:jc w:val="left"/>
                    <w:jc w:val="center"/>
                  </w:pPr>
                  <w:r>
                    <w:t xml:space="preserve">3.9%</w:t>
                  </w:r>
                </w:p>
              </w:tc>
              <w:tc>
                <w:tcPr/>
                <w:p>
                  <w:pPr>
                    <w:pStyle w:val="Compact"/>
                    <w:jc w:val="left"/>
                    <w:jc w:val="center"/>
                  </w:pPr>
                  <w:r>
                    <w:t xml:space="preserve">3.2%</w:t>
                  </w:r>
                </w:p>
              </w:tc>
              <w:tc>
                <w:tcPr/>
                <w:p>
                  <w:pPr>
                    <w:pStyle w:val="Compact"/>
                  </w:pPr>
                </w:p>
              </w:tc>
            </w:tr>
            <w:tr>
              <w:tc>
                <w:tcPr/>
                <w:p>
                  <w:pPr>
                    <w:pStyle w:val="Compact"/>
                    <w:jc w:val="left"/>
                    <w:jc w:val="center"/>
                  </w:pPr>
                  <w:r>
                    <w:t xml:space="preserve">Unknown</w:t>
                  </w:r>
                </w:p>
              </w:tc>
              <w:tc>
                <w:tcPr/>
                <w:p>
                  <w:pPr>
                    <w:pStyle w:val="Compact"/>
                    <w:jc w:val="left"/>
                    <w:jc w:val="center"/>
                  </w:pPr>
                  <w:r>
                    <w:t xml:space="preserve">3.8%</w:t>
                  </w:r>
                </w:p>
              </w:tc>
              <w:tc>
                <w:tcPr/>
                <w:p>
                  <w:pPr>
                    <w:pStyle w:val="Compact"/>
                    <w:jc w:val="left"/>
                    <w:jc w:val="center"/>
                  </w:pPr>
                  <w:r>
                    <w:t xml:space="preserve">4.0%</w:t>
                  </w:r>
                </w:p>
              </w:tc>
              <w:tc>
                <w:tcPr/>
                <w:p>
                  <w:pPr>
                    <w:pStyle w:val="Compact"/>
                    <w:jc w:val="left"/>
                    <w:jc w:val="center"/>
                  </w:pPr>
                  <w:r>
                    <w:t xml:space="preserve">3.3%</w:t>
                  </w:r>
                </w:p>
              </w:tc>
              <w:tc>
                <w:tcPr/>
                <w:p>
                  <w:pPr>
                    <w:pStyle w:val="Compact"/>
                  </w:pPr>
                </w:p>
              </w:tc>
            </w:tr>
            <w:tr>
              <w:tc>
                <w:tcPr/>
                <w:p>
                  <w:pPr>
                    <w:pStyle w:val="Compact"/>
                    <w:jc w:val="left"/>
                    <w:jc w:val="center"/>
                  </w:pPr>
                  <w:r>
                    <w:t xml:space="preserve">Primary expected payer</w:t>
                  </w:r>
                </w:p>
              </w:tc>
              <w:tc>
                <w:tcPr/>
                <w:p>
                  <w:pPr>
                    <w:pStyle w:val="Compact"/>
                  </w:pPr>
                </w:p>
              </w:tc>
              <w:tc>
                <w:tcPr/>
                <w:p>
                  <w:pPr>
                    <w:pStyle w:val="Compact"/>
                  </w:pPr>
                </w:p>
              </w:tc>
              <w:tc>
                <w:tcPr/>
                <w:p>
                  <w:pPr>
                    <w:pStyle w:val="Compact"/>
                  </w:pPr>
                </w:p>
              </w:tc>
              <w:tc>
                <w:tcPr/>
                <w:p>
                  <w:pPr>
                    <w:pStyle w:val="Compact"/>
                    <w:jc w:val="left"/>
                    <w:jc w:val="center"/>
                  </w:pPr>
                  <w:r>
                    <w:t xml:space="preserve">&lt;0.001</w:t>
                  </w:r>
                </w:p>
              </w:tc>
            </w:tr>
            <w:tr>
              <w:tc>
                <w:tcPr/>
                <w:p>
                  <w:pPr>
                    <w:pStyle w:val="Compact"/>
                    <w:jc w:val="left"/>
                    <w:jc w:val="center"/>
                  </w:pPr>
                  <w:r>
                    <w:t xml:space="preserve">Medicare</w:t>
                  </w:r>
                </w:p>
              </w:tc>
              <w:tc>
                <w:tcPr/>
                <w:p>
                  <w:pPr>
                    <w:pStyle w:val="Compact"/>
                    <w:jc w:val="left"/>
                    <w:jc w:val="center"/>
                  </w:pPr>
                  <w:r>
                    <w:t xml:space="preserve">25%</w:t>
                  </w:r>
                </w:p>
              </w:tc>
              <w:tc>
                <w:tcPr/>
                <w:p>
                  <w:pPr>
                    <w:pStyle w:val="Compact"/>
                    <w:jc w:val="left"/>
                    <w:jc w:val="center"/>
                  </w:pPr>
                  <w:r>
                    <w:t xml:space="preserve">24%</w:t>
                  </w:r>
                </w:p>
              </w:tc>
              <w:tc>
                <w:tcPr/>
                <w:p>
                  <w:pPr>
                    <w:pStyle w:val="Compact"/>
                    <w:jc w:val="left"/>
                    <w:jc w:val="center"/>
                  </w:pPr>
                  <w:r>
                    <w:t xml:space="preserve">27%</w:t>
                  </w:r>
                </w:p>
              </w:tc>
              <w:tc>
                <w:tcPr/>
                <w:p>
                  <w:pPr>
                    <w:pStyle w:val="Compact"/>
                  </w:pPr>
                </w:p>
              </w:tc>
            </w:tr>
            <w:tr>
              <w:tc>
                <w:tcPr/>
                <w:p>
                  <w:pPr>
                    <w:pStyle w:val="Compact"/>
                    <w:jc w:val="left"/>
                    <w:jc w:val="center"/>
                  </w:pPr>
                  <w:r>
                    <w:t xml:space="preserve">Medicaid</w:t>
                  </w:r>
                </w:p>
              </w:tc>
              <w:tc>
                <w:tcPr/>
                <w:p>
                  <w:pPr>
                    <w:pStyle w:val="Compact"/>
                    <w:jc w:val="left"/>
                    <w:jc w:val="center"/>
                  </w:pPr>
                  <w:r>
                    <w:t xml:space="preserve">29%</w:t>
                  </w:r>
                </w:p>
              </w:tc>
              <w:tc>
                <w:tcPr/>
                <w:p>
                  <w:pPr>
                    <w:pStyle w:val="Compact"/>
                    <w:jc w:val="left"/>
                    <w:jc w:val="center"/>
                  </w:pPr>
                  <w:r>
                    <w:t xml:space="preserve">27%</w:t>
                  </w:r>
                </w:p>
              </w:tc>
              <w:tc>
                <w:tcPr/>
                <w:p>
                  <w:pPr>
                    <w:pStyle w:val="Compact"/>
                    <w:jc w:val="left"/>
                    <w:jc w:val="center"/>
                  </w:pPr>
                  <w:r>
                    <w:t xml:space="preserve">34%</w:t>
                  </w:r>
                </w:p>
              </w:tc>
              <w:tc>
                <w:tcPr/>
                <w:p>
                  <w:pPr>
                    <w:pStyle w:val="Compact"/>
                  </w:pPr>
                </w:p>
              </w:tc>
            </w:tr>
            <w:tr>
              <w:tc>
                <w:tcPr/>
                <w:p>
                  <w:pPr>
                    <w:pStyle w:val="Compact"/>
                    <w:jc w:val="left"/>
                    <w:jc w:val="center"/>
                  </w:pPr>
                  <w:r>
                    <w:t xml:space="preserve">Private including HMO</w:t>
                  </w:r>
                </w:p>
              </w:tc>
              <w:tc>
                <w:tcPr/>
                <w:p>
                  <w:pPr>
                    <w:pStyle w:val="Compact"/>
                    <w:jc w:val="left"/>
                    <w:jc w:val="center"/>
                  </w:pPr>
                  <w:r>
                    <w:t xml:space="preserve">28%</w:t>
                  </w:r>
                </w:p>
              </w:tc>
              <w:tc>
                <w:tcPr/>
                <w:p>
                  <w:pPr>
                    <w:pStyle w:val="Compact"/>
                    <w:jc w:val="left"/>
                    <w:jc w:val="center"/>
                  </w:pPr>
                  <w:r>
                    <w:t xml:space="preserve">30%</w:t>
                  </w:r>
                </w:p>
              </w:tc>
              <w:tc>
                <w:tcPr/>
                <w:p>
                  <w:pPr>
                    <w:pStyle w:val="Compact"/>
                    <w:jc w:val="left"/>
                    <w:jc w:val="center"/>
                  </w:pPr>
                  <w:r>
                    <w:t xml:space="preserve">24%</w:t>
                  </w:r>
                </w:p>
              </w:tc>
              <w:tc>
                <w:tcPr/>
                <w:p>
                  <w:pPr>
                    <w:pStyle w:val="Compact"/>
                  </w:pPr>
                </w:p>
              </w:tc>
            </w:tr>
            <w:tr>
              <w:tc>
                <w:tcPr/>
                <w:p>
                  <w:pPr>
                    <w:pStyle w:val="Compact"/>
                    <w:jc w:val="left"/>
                    <w:jc w:val="center"/>
                  </w:pPr>
                  <w:r>
                    <w:t xml:space="preserve">Self-pay</w:t>
                  </w:r>
                </w:p>
              </w:tc>
              <w:tc>
                <w:tcPr/>
                <w:p>
                  <w:pPr>
                    <w:pStyle w:val="Compact"/>
                    <w:jc w:val="left"/>
                    <w:jc w:val="center"/>
                  </w:pPr>
                  <w:r>
                    <w:t xml:space="preserve">12%</w:t>
                  </w:r>
                </w:p>
              </w:tc>
              <w:tc>
                <w:tcPr/>
                <w:p>
                  <w:pPr>
                    <w:pStyle w:val="Compact"/>
                    <w:jc w:val="left"/>
                    <w:jc w:val="center"/>
                  </w:pPr>
                  <w:r>
                    <w:t xml:space="preserve">12%</w:t>
                  </w:r>
                </w:p>
              </w:tc>
              <w:tc>
                <w:tcPr/>
                <w:p>
                  <w:pPr>
                    <w:pStyle w:val="Compact"/>
                    <w:jc w:val="left"/>
                    <w:jc w:val="center"/>
                  </w:pPr>
                  <w:r>
                    <w:t xml:space="preserve">9.5%</w:t>
                  </w:r>
                </w:p>
              </w:tc>
              <w:tc>
                <w:tcPr/>
                <w:p>
                  <w:pPr>
                    <w:pStyle w:val="Compact"/>
                  </w:pPr>
                </w:p>
              </w:tc>
            </w:tr>
            <w:tr>
              <w:tc>
                <w:tcPr/>
                <w:p>
                  <w:pPr>
                    <w:pStyle w:val="Compact"/>
                    <w:jc w:val="left"/>
                    <w:jc w:val="center"/>
                  </w:pPr>
                  <w:r>
                    <w:t xml:space="preserve">No charge</w:t>
                  </w:r>
                </w:p>
              </w:tc>
              <w:tc>
                <w:tcPr/>
                <w:p>
                  <w:pPr>
                    <w:pStyle w:val="Compact"/>
                    <w:jc w:val="left"/>
                    <w:jc w:val="center"/>
                  </w:pPr>
                  <w:r>
                    <w:t xml:space="preserve">1.1%</w:t>
                  </w:r>
                </w:p>
              </w:tc>
              <w:tc>
                <w:tcPr/>
                <w:p>
                  <w:pPr>
                    <w:pStyle w:val="Compact"/>
                    <w:jc w:val="left"/>
                    <w:jc w:val="center"/>
                  </w:pPr>
                  <w:r>
                    <w:t xml:space="preserve">1.1%</w:t>
                  </w:r>
                </w:p>
              </w:tc>
              <w:tc>
                <w:tcPr/>
                <w:p>
                  <w:pPr>
                    <w:pStyle w:val="Compact"/>
                    <w:jc w:val="left"/>
                    <w:jc w:val="center"/>
                  </w:pPr>
                  <w:r>
                    <w:t xml:space="preserve">1.0%</w:t>
                  </w:r>
                </w:p>
              </w:tc>
              <w:tc>
                <w:tcPr/>
                <w:p>
                  <w:pPr>
                    <w:pStyle w:val="Compact"/>
                  </w:pPr>
                </w:p>
              </w:tc>
            </w:tr>
            <w:tr>
              <w:tc>
                <w:tcPr/>
                <w:p>
                  <w:pPr>
                    <w:pStyle w:val="Compact"/>
                    <w:jc w:val="left"/>
                    <w:jc w:val="center"/>
                  </w:pPr>
                  <w:r>
                    <w:t xml:space="preserve">Other</w:t>
                  </w:r>
                </w:p>
              </w:tc>
              <w:tc>
                <w:tcPr/>
                <w:p>
                  <w:pPr>
                    <w:pStyle w:val="Compact"/>
                    <w:jc w:val="left"/>
                    <w:jc w:val="center"/>
                  </w:pPr>
                  <w:r>
                    <w:t xml:space="preserve">4.8%</w:t>
                  </w:r>
                </w:p>
              </w:tc>
              <w:tc>
                <w:tcPr/>
                <w:p>
                  <w:pPr>
                    <w:pStyle w:val="Compact"/>
                    <w:jc w:val="left"/>
                    <w:jc w:val="center"/>
                  </w:pPr>
                  <w:r>
                    <w:t xml:space="preserve">4.8%</w:t>
                  </w:r>
                </w:p>
              </w:tc>
              <w:tc>
                <w:tcPr/>
                <w:p>
                  <w:pPr>
                    <w:pStyle w:val="Compact"/>
                    <w:jc w:val="left"/>
                    <w:jc w:val="center"/>
                  </w:pPr>
                  <w:r>
                    <w:t xml:space="preserve">4.9%</w:t>
                  </w:r>
                </w:p>
              </w:tc>
              <w:tc>
                <w:tcPr/>
                <w:p>
                  <w:pPr>
                    <w:pStyle w:val="Compact"/>
                  </w:pPr>
                </w:p>
              </w:tc>
            </w:tr>
            <w:tr>
              <w:tc>
                <w:tcPr/>
                <w:p>
                  <w:pPr>
                    <w:pStyle w:val="Compact"/>
                    <w:jc w:val="left"/>
                    <w:jc w:val="center"/>
                  </w:pPr>
                  <w:r>
                    <w:t xml:space="preserve">Unknown</w:t>
                  </w:r>
                </w:p>
              </w:tc>
              <w:tc>
                <w:tcPr/>
                <w:p>
                  <w:pPr>
                    <w:pStyle w:val="Compact"/>
                    <w:jc w:val="left"/>
                    <w:jc w:val="center"/>
                  </w:pPr>
                  <w:r>
                    <w:t xml:space="preserve">0.3%</w:t>
                  </w:r>
                </w:p>
              </w:tc>
              <w:tc>
                <w:tcPr/>
                <w:p>
                  <w:pPr>
                    <w:pStyle w:val="Compact"/>
                    <w:jc w:val="left"/>
                    <w:jc w:val="center"/>
                  </w:pPr>
                  <w:r>
                    <w:t xml:space="preserve">0.3%</w:t>
                  </w:r>
                </w:p>
              </w:tc>
              <w:tc>
                <w:tcPr/>
                <w:p>
                  <w:pPr>
                    <w:pStyle w:val="Compact"/>
                    <w:jc w:val="left"/>
                    <w:jc w:val="center"/>
                  </w:pPr>
                  <w:r>
                    <w:t xml:space="preserve">0.2%</w:t>
                  </w:r>
                </w:p>
              </w:tc>
              <w:tc>
                <w:tcPr/>
                <w:p>
                  <w:pPr>
                    <w:pStyle w:val="Compact"/>
                  </w:pPr>
                </w:p>
              </w:tc>
            </w:tr>
            <w:tr>
              <w:tc>
                <w:tcPr/>
                <w:p>
                  <w:pPr>
                    <w:pStyle w:val="Compact"/>
                    <w:jc w:val="left"/>
                    <w:jc w:val="center"/>
                  </w:pPr>
                  <w:r>
                    <w:t xml:space="preserve">Median household income quartile for patient ZIP code</w:t>
                  </w:r>
                </w:p>
              </w:tc>
              <w:tc>
                <w:tcPr/>
                <w:p>
                  <w:pPr>
                    <w:pStyle w:val="Compact"/>
                  </w:pPr>
                </w:p>
              </w:tc>
              <w:tc>
                <w:tcPr/>
                <w:p>
                  <w:pPr>
                    <w:pStyle w:val="Compact"/>
                  </w:pPr>
                </w:p>
              </w:tc>
              <w:tc>
                <w:tcPr/>
                <w:p>
                  <w:pPr>
                    <w:pStyle w:val="Compact"/>
                  </w:pPr>
                </w:p>
              </w:tc>
              <w:tc>
                <w:tcPr/>
                <w:p>
                  <w:pPr>
                    <w:pStyle w:val="Compact"/>
                    <w:jc w:val="left"/>
                    <w:jc w:val="center"/>
                  </w:pPr>
                  <w:r>
                    <w:t xml:space="preserve">&lt;0.001</w:t>
                  </w:r>
                </w:p>
              </w:tc>
            </w:tr>
            <w:tr>
              <w:tc>
                <w:tcPr/>
                <w:p>
                  <w:pPr>
                    <w:pStyle w:val="Compact"/>
                    <w:jc w:val="left"/>
                    <w:jc w:val="center"/>
                  </w:pPr>
                  <w:r>
                    <w:t xml:space="preserve">Q1</w:t>
                  </w:r>
                </w:p>
              </w:tc>
              <w:tc>
                <w:tcPr/>
                <w:p>
                  <w:pPr>
                    <w:pStyle w:val="Compact"/>
                    <w:jc w:val="left"/>
                    <w:jc w:val="center"/>
                  </w:pPr>
                  <w:r>
                    <w:t xml:space="preserve">30%</w:t>
                  </w:r>
                </w:p>
              </w:tc>
              <w:tc>
                <w:tcPr/>
                <w:p>
                  <w:pPr>
                    <w:pStyle w:val="Compact"/>
                    <w:jc w:val="left"/>
                    <w:jc w:val="center"/>
                  </w:pPr>
                  <w:r>
                    <w:t xml:space="preserve">31%</w:t>
                  </w:r>
                </w:p>
              </w:tc>
              <w:tc>
                <w:tcPr/>
                <w:p>
                  <w:pPr>
                    <w:pStyle w:val="Compact"/>
                    <w:jc w:val="left"/>
                    <w:jc w:val="center"/>
                  </w:pPr>
                  <w:r>
                    <w:t xml:space="preserve">28%</w:t>
                  </w:r>
                </w:p>
              </w:tc>
              <w:tc>
                <w:tcPr/>
                <w:p>
                  <w:pPr>
                    <w:pStyle w:val="Compact"/>
                  </w:pPr>
                </w:p>
              </w:tc>
            </w:tr>
            <w:tr>
              <w:tc>
                <w:tcPr/>
                <w:p>
                  <w:pPr>
                    <w:pStyle w:val="Compact"/>
                    <w:jc w:val="left"/>
                    <w:jc w:val="center"/>
                  </w:pPr>
                  <w:r>
                    <w:t xml:space="preserve">Q2</w:t>
                  </w:r>
                </w:p>
              </w:tc>
              <w:tc>
                <w:tcPr/>
                <w:p>
                  <w:pPr>
                    <w:pStyle w:val="Compact"/>
                    <w:jc w:val="left"/>
                    <w:jc w:val="center"/>
                  </w:pPr>
                  <w:r>
                    <w:t xml:space="preserve">24%</w:t>
                  </w:r>
                </w:p>
              </w:tc>
              <w:tc>
                <w:tcPr/>
                <w:p>
                  <w:pPr>
                    <w:pStyle w:val="Compact"/>
                    <w:jc w:val="left"/>
                    <w:jc w:val="center"/>
                  </w:pPr>
                  <w:r>
                    <w:t xml:space="preserve">24%</w:t>
                  </w:r>
                </w:p>
              </w:tc>
              <w:tc>
                <w:tcPr/>
                <w:p>
                  <w:pPr>
                    <w:pStyle w:val="Compact"/>
                    <w:jc w:val="left"/>
                    <w:jc w:val="center"/>
                  </w:pPr>
                  <w:r>
                    <w:t xml:space="preserve">23%</w:t>
                  </w:r>
                </w:p>
              </w:tc>
              <w:tc>
                <w:tcPr/>
                <w:p>
                  <w:pPr>
                    <w:pStyle w:val="Compact"/>
                  </w:pPr>
                </w:p>
              </w:tc>
            </w:tr>
            <w:tr>
              <w:tc>
                <w:tcPr/>
                <w:p>
                  <w:pPr>
                    <w:pStyle w:val="Compact"/>
                    <w:jc w:val="left"/>
                    <w:jc w:val="center"/>
                  </w:pPr>
                  <w:r>
                    <w:t xml:space="preserve">Q3</w:t>
                  </w:r>
                </w:p>
              </w:tc>
              <w:tc>
                <w:tcPr/>
                <w:p>
                  <w:pPr>
                    <w:pStyle w:val="Compact"/>
                    <w:jc w:val="left"/>
                    <w:jc w:val="center"/>
                  </w:pPr>
                  <w:r>
                    <w:t xml:space="preserve">23%</w:t>
                  </w:r>
                </w:p>
              </w:tc>
              <w:tc>
                <w:tcPr/>
                <w:p>
                  <w:pPr>
                    <w:pStyle w:val="Compact"/>
                    <w:jc w:val="left"/>
                    <w:jc w:val="center"/>
                  </w:pPr>
                  <w:r>
                    <w:t xml:space="preserve">23%</w:t>
                  </w:r>
                </w:p>
              </w:tc>
              <w:tc>
                <w:tcPr/>
                <w:p>
                  <w:pPr>
                    <w:pStyle w:val="Compact"/>
                    <w:jc w:val="left"/>
                    <w:jc w:val="center"/>
                  </w:pPr>
                  <w:r>
                    <w:t xml:space="preserve">24%</w:t>
                  </w:r>
                </w:p>
              </w:tc>
              <w:tc>
                <w:tcPr/>
                <w:p>
                  <w:pPr>
                    <w:pStyle w:val="Compact"/>
                  </w:pPr>
                </w:p>
              </w:tc>
            </w:tr>
            <w:tr>
              <w:tc>
                <w:tcPr/>
                <w:p>
                  <w:pPr>
                    <w:pStyle w:val="Compact"/>
                    <w:jc w:val="left"/>
                    <w:jc w:val="center"/>
                  </w:pPr>
                  <w:r>
                    <w:t xml:space="preserve">Q4</w:t>
                  </w:r>
                </w:p>
              </w:tc>
              <w:tc>
                <w:tcPr/>
                <w:p>
                  <w:pPr>
                    <w:pStyle w:val="Compact"/>
                    <w:jc w:val="left"/>
                    <w:jc w:val="center"/>
                  </w:pPr>
                  <w:r>
                    <w:t xml:space="preserve">19%</w:t>
                  </w:r>
                </w:p>
              </w:tc>
              <w:tc>
                <w:tcPr/>
                <w:p>
                  <w:pPr>
                    <w:pStyle w:val="Compact"/>
                    <w:jc w:val="left"/>
                    <w:jc w:val="center"/>
                  </w:pPr>
                  <w:r>
                    <w:t xml:space="preserve">18%</w:t>
                  </w:r>
                </w:p>
              </w:tc>
              <w:tc>
                <w:tcPr/>
                <w:p>
                  <w:pPr>
                    <w:pStyle w:val="Compact"/>
                    <w:jc w:val="left"/>
                    <w:jc w:val="center"/>
                  </w:pPr>
                  <w:r>
                    <w:t xml:space="preserve">20%</w:t>
                  </w:r>
                </w:p>
              </w:tc>
              <w:tc>
                <w:tcPr/>
                <w:p>
                  <w:pPr>
                    <w:pStyle w:val="Compact"/>
                  </w:pPr>
                </w:p>
              </w:tc>
            </w:tr>
            <w:tr>
              <w:tc>
                <w:tcPr/>
                <w:p>
                  <w:pPr>
                    <w:pStyle w:val="Compact"/>
                    <w:jc w:val="left"/>
                    <w:jc w:val="center"/>
                  </w:pPr>
                  <w:r>
                    <w:t xml:space="preserve">Unknown</w:t>
                  </w:r>
                </w:p>
              </w:tc>
              <w:tc>
                <w:tcPr/>
                <w:p>
                  <w:pPr>
                    <w:pStyle w:val="Compact"/>
                    <w:jc w:val="left"/>
                    <w:jc w:val="center"/>
                  </w:pPr>
                  <w:r>
                    <w:t xml:space="preserve">4.0%</w:t>
                  </w:r>
                </w:p>
              </w:tc>
              <w:tc>
                <w:tcPr/>
                <w:p>
                  <w:pPr>
                    <w:pStyle w:val="Compact"/>
                    <w:jc w:val="left"/>
                    <w:jc w:val="center"/>
                  </w:pPr>
                  <w:r>
                    <w:t xml:space="preserve">3.7%</w:t>
                  </w:r>
                </w:p>
              </w:tc>
              <w:tc>
                <w:tcPr/>
                <w:p>
                  <w:pPr>
                    <w:pStyle w:val="Compact"/>
                    <w:jc w:val="left"/>
                    <w:jc w:val="center"/>
                  </w:pPr>
                  <w:r>
                    <w:t xml:space="preserve">5.2%</w:t>
                  </w:r>
                </w:p>
              </w:tc>
              <w:tc>
                <w:tcPr/>
                <w:p>
                  <w:pPr>
                    <w:pStyle w:val="Compact"/>
                  </w:pPr>
                </w:p>
              </w:tc>
            </w:tr>
            <w:tr>
              <w:tc>
                <w:tcPr/>
                <w:p>
                  <w:pPr>
                    <w:pStyle w:val="Compact"/>
                    <w:jc w:val="left"/>
                    <w:jc w:val="center"/>
                  </w:pPr>
                  <w:r>
                    <w:t xml:space="preserve">Calendar era</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2017–2019</w:t>
                  </w:r>
                </w:p>
              </w:tc>
              <w:tc>
                <w:tcPr/>
                <w:p>
                  <w:pPr>
                    <w:pStyle w:val="Compact"/>
                    <w:jc w:val="left"/>
                    <w:jc w:val="center"/>
                  </w:pPr>
                  <w:r>
                    <w:t xml:space="preserve">50%</w:t>
                  </w:r>
                </w:p>
              </w:tc>
              <w:tc>
                <w:tcPr/>
                <w:p>
                  <w:pPr>
                    <w:pStyle w:val="Compact"/>
                    <w:jc w:val="left"/>
                    <w:jc w:val="center"/>
                  </w:pPr>
                  <w:r>
                    <w:t xml:space="preserve">51%</w:t>
                  </w:r>
                </w:p>
              </w:tc>
              <w:tc>
                <w:tcPr/>
                <w:p>
                  <w:pPr>
                    <w:pStyle w:val="Compact"/>
                    <w:jc w:val="left"/>
                    <w:jc w:val="center"/>
                  </w:pPr>
                  <w:r>
                    <w:t xml:space="preserve">46%</w:t>
                  </w:r>
                </w:p>
              </w:tc>
              <w:tc>
                <w:tcPr/>
                <w:p>
                  <w:pPr>
                    <w:pStyle w:val="Compact"/>
                  </w:pPr>
                </w:p>
              </w:tc>
            </w:tr>
            <w:tr>
              <w:tc>
                <w:tcPr/>
                <w:p>
                  <w:pPr>
                    <w:pStyle w:val="Compact"/>
                    <w:jc w:val="left"/>
                    <w:jc w:val="center"/>
                  </w:pPr>
                  <w:r>
                    <w:t xml:space="preserve">2020</w:t>
                  </w:r>
                </w:p>
              </w:tc>
              <w:tc>
                <w:tcPr/>
                <w:p>
                  <w:pPr>
                    <w:pStyle w:val="Compact"/>
                    <w:jc w:val="left"/>
                    <w:jc w:val="center"/>
                  </w:pPr>
                  <w:r>
                    <w:t xml:space="preserve">17%</w:t>
                  </w:r>
                </w:p>
              </w:tc>
              <w:tc>
                <w:tcPr/>
                <w:p>
                  <w:pPr>
                    <w:pStyle w:val="Compact"/>
                    <w:jc w:val="left"/>
                    <w:jc w:val="center"/>
                  </w:pPr>
                  <w:r>
                    <w:t xml:space="preserve">17%</w:t>
                  </w:r>
                </w:p>
              </w:tc>
              <w:tc>
                <w:tcPr/>
                <w:p>
                  <w:pPr>
                    <w:pStyle w:val="Compact"/>
                    <w:jc w:val="left"/>
                    <w:jc w:val="center"/>
                  </w:pPr>
                  <w:r>
                    <w:t xml:space="preserve">18%</w:t>
                  </w:r>
                </w:p>
              </w:tc>
              <w:tc>
                <w:tcPr/>
                <w:p>
                  <w:pPr>
                    <w:pStyle w:val="Compact"/>
                  </w:pPr>
                </w:p>
              </w:tc>
            </w:tr>
            <w:tr>
              <w:tc>
                <w:tcPr/>
                <w:p>
                  <w:pPr>
                    <w:pStyle w:val="Compact"/>
                    <w:jc w:val="left"/>
                    <w:jc w:val="center"/>
                  </w:pPr>
                  <w:r>
                    <w:t xml:space="preserve">2021–2022</w:t>
                  </w:r>
                </w:p>
              </w:tc>
              <w:tc>
                <w:tcPr/>
                <w:p>
                  <w:pPr>
                    <w:pStyle w:val="Compact"/>
                    <w:jc w:val="left"/>
                    <w:jc w:val="center"/>
                  </w:pPr>
                  <w:r>
                    <w:t xml:space="preserve">33%</w:t>
                  </w:r>
                </w:p>
              </w:tc>
              <w:tc>
                <w:tcPr/>
                <w:p>
                  <w:pPr>
                    <w:pStyle w:val="Compact"/>
                    <w:jc w:val="left"/>
                    <w:jc w:val="center"/>
                  </w:pPr>
                  <w:r>
                    <w:t xml:space="preserve">32%</w:t>
                  </w:r>
                </w:p>
              </w:tc>
              <w:tc>
                <w:tcPr/>
                <w:p>
                  <w:pPr>
                    <w:pStyle w:val="Compact"/>
                    <w:jc w:val="left"/>
                    <w:jc w:val="center"/>
                  </w:pPr>
                  <w:r>
                    <w:t xml:space="preserve">36%</w:t>
                  </w:r>
                </w:p>
              </w:tc>
              <w:tc>
                <w:tcPr/>
                <w:p>
                  <w:pPr>
                    <w:pStyle w:val="Compact"/>
                  </w:pPr>
                </w:p>
              </w:tc>
            </w:tr>
            <w:tr>
              <w:tc>
                <w:tcPr/>
                <w:p>
                  <w:pPr>
                    <w:pStyle w:val="Compact"/>
                    <w:jc w:val="left"/>
                    <w:jc w:val="center"/>
                  </w:pPr>
                  <w:r>
                    <w:t xml:space="preserve">Unknown</w:t>
                  </w:r>
                </w:p>
              </w:tc>
              <w:tc>
                <w:tcPr/>
                <w:p>
                  <w:pPr>
                    <w:pStyle w:val="Compact"/>
                    <w:jc w:val="left"/>
                    <w:jc w:val="center"/>
                  </w:pPr>
                  <w:r>
                    <w:t xml:space="preserve">≤10</w:t>
                  </w:r>
                </w:p>
              </w:tc>
              <w:tc>
                <w:tcPr/>
                <w:p>
                  <w:pPr>
                    <w:pStyle w:val="Compact"/>
                    <w:jc w:val="left"/>
                    <w:jc w:val="center"/>
                  </w:pPr>
                  <w:r>
                    <w:t xml:space="preserve">≤10</w:t>
                  </w:r>
                </w:p>
              </w:tc>
              <w:tc>
                <w:tcPr/>
                <w:p>
                  <w:pPr>
                    <w:pStyle w:val="Compact"/>
                    <w:jc w:val="left"/>
                    <w:jc w:val="center"/>
                  </w:pPr>
                  <w:r>
                    <w:t xml:space="preserve">≤10</w:t>
                  </w:r>
                </w:p>
              </w:tc>
              <w:tc>
                <w:tcPr/>
                <w:p>
                  <w:pPr>
                    <w:pStyle w:val="Compact"/>
                  </w:pPr>
                </w:p>
              </w:tc>
            </w:tr>
            <w:tr>
              <w:tc>
                <w:tcPr/>
                <w:p>
                  <w:pPr>
                    <w:pStyle w:val="Compact"/>
                    <w:jc w:val="left"/>
                    <w:jc w:val="center"/>
                  </w:pPr>
                  <w:r>
                    <w:t xml:space="preserve">Hospital census region</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Northeast</w:t>
                  </w:r>
                </w:p>
              </w:tc>
              <w:tc>
                <w:tcPr/>
                <w:p>
                  <w:pPr>
                    <w:pStyle w:val="Compact"/>
                    <w:jc w:val="left"/>
                    <w:jc w:val="center"/>
                  </w:pPr>
                  <w:r>
                    <w:t xml:space="preserve">17%</w:t>
                  </w:r>
                </w:p>
              </w:tc>
              <w:tc>
                <w:tcPr/>
                <w:p>
                  <w:pPr>
                    <w:pStyle w:val="Compact"/>
                    <w:jc w:val="left"/>
                    <w:jc w:val="center"/>
                  </w:pPr>
                  <w:r>
                    <w:t xml:space="preserve">16%</w:t>
                  </w:r>
                </w:p>
              </w:tc>
              <w:tc>
                <w:tcPr/>
                <w:p>
                  <w:pPr>
                    <w:pStyle w:val="Compact"/>
                    <w:jc w:val="left"/>
                    <w:jc w:val="center"/>
                  </w:pPr>
                  <w:r>
                    <w:t xml:space="preserve">19%</w:t>
                  </w:r>
                </w:p>
              </w:tc>
              <w:tc>
                <w:tcPr/>
                <w:p>
                  <w:pPr>
                    <w:pStyle w:val="Compact"/>
                  </w:pPr>
                </w:p>
              </w:tc>
            </w:tr>
            <w:tr>
              <w:tc>
                <w:tcPr/>
                <w:p>
                  <w:pPr>
                    <w:pStyle w:val="Compact"/>
                    <w:jc w:val="left"/>
                    <w:jc w:val="center"/>
                  </w:pPr>
                  <w:r>
                    <w:t xml:space="preserve">Midwest</w:t>
                  </w:r>
                </w:p>
              </w:tc>
              <w:tc>
                <w:tcPr/>
                <w:p>
                  <w:pPr>
                    <w:pStyle w:val="Compact"/>
                    <w:jc w:val="left"/>
                    <w:jc w:val="center"/>
                  </w:pPr>
                  <w:r>
                    <w:t xml:space="preserve">23%</w:t>
                  </w:r>
                </w:p>
              </w:tc>
              <w:tc>
                <w:tcPr/>
                <w:p>
                  <w:pPr>
                    <w:pStyle w:val="Compact"/>
                    <w:jc w:val="left"/>
                    <w:jc w:val="center"/>
                  </w:pPr>
                  <w:r>
                    <w:t xml:space="preserve">24%</w:t>
                  </w:r>
                </w:p>
              </w:tc>
              <w:tc>
                <w:tcPr/>
                <w:p>
                  <w:pPr>
                    <w:pStyle w:val="Compact"/>
                    <w:jc w:val="left"/>
                    <w:jc w:val="center"/>
                  </w:pPr>
                  <w:r>
                    <w:t xml:space="preserve">22%</w:t>
                  </w:r>
                </w:p>
              </w:tc>
              <w:tc>
                <w:tcPr/>
                <w:p>
                  <w:pPr>
                    <w:pStyle w:val="Compact"/>
                  </w:pPr>
                </w:p>
              </w:tc>
            </w:tr>
            <w:tr>
              <w:tc>
                <w:tcPr/>
                <w:p>
                  <w:pPr>
                    <w:pStyle w:val="Compact"/>
                    <w:jc w:val="left"/>
                    <w:jc w:val="center"/>
                  </w:pPr>
                  <w:r>
                    <w:t xml:space="preserve">South</w:t>
                  </w:r>
                </w:p>
              </w:tc>
              <w:tc>
                <w:tcPr/>
                <w:p>
                  <w:pPr>
                    <w:pStyle w:val="Compact"/>
                    <w:jc w:val="left"/>
                    <w:jc w:val="center"/>
                  </w:pPr>
                  <w:r>
                    <w:t xml:space="preserve">33%</w:t>
                  </w:r>
                </w:p>
              </w:tc>
              <w:tc>
                <w:tcPr/>
                <w:p>
                  <w:pPr>
                    <w:pStyle w:val="Compact"/>
                    <w:jc w:val="left"/>
                    <w:jc w:val="center"/>
                  </w:pPr>
                  <w:r>
                    <w:t xml:space="preserve">33%</w:t>
                  </w:r>
                </w:p>
              </w:tc>
              <w:tc>
                <w:tcPr/>
                <w:p>
                  <w:pPr>
                    <w:pStyle w:val="Compact"/>
                    <w:jc w:val="left"/>
                    <w:jc w:val="center"/>
                  </w:pPr>
                  <w:r>
                    <w:t xml:space="preserve">30%</w:t>
                  </w:r>
                </w:p>
              </w:tc>
              <w:tc>
                <w:tcPr/>
                <w:p>
                  <w:pPr>
                    <w:pStyle w:val="Compact"/>
                  </w:pPr>
                </w:p>
              </w:tc>
            </w:tr>
            <w:tr>
              <w:tc>
                <w:tcPr/>
                <w:p>
                  <w:pPr>
                    <w:pStyle w:val="Compact"/>
                    <w:jc w:val="left"/>
                    <w:jc w:val="center"/>
                  </w:pPr>
                  <w:r>
                    <w:t xml:space="preserve">West</w:t>
                  </w:r>
                </w:p>
              </w:tc>
              <w:tc>
                <w:tcPr/>
                <w:p>
                  <w:pPr>
                    <w:pStyle w:val="Compact"/>
                    <w:jc w:val="left"/>
                    <w:jc w:val="center"/>
                  </w:pPr>
                  <w:r>
                    <w:t xml:space="preserve">27%</w:t>
                  </w:r>
                </w:p>
              </w:tc>
              <w:tc>
                <w:tcPr/>
                <w:p>
                  <w:pPr>
                    <w:pStyle w:val="Compact"/>
                    <w:jc w:val="left"/>
                    <w:jc w:val="center"/>
                  </w:pPr>
                  <w:r>
                    <w:t xml:space="preserve">27%</w:t>
                  </w:r>
                </w:p>
              </w:tc>
              <w:tc>
                <w:tcPr/>
                <w:p>
                  <w:pPr>
                    <w:pStyle w:val="Compact"/>
                    <w:jc w:val="left"/>
                    <w:jc w:val="center"/>
                  </w:pPr>
                  <w:r>
                    <w:t xml:space="preserve">29%</w:t>
                  </w:r>
                </w:p>
              </w:tc>
              <w:tc>
                <w:tcPr/>
                <w:p>
                  <w:pPr>
                    <w:pStyle w:val="Compact"/>
                  </w:pPr>
                </w:p>
              </w:tc>
            </w:tr>
            <w:tr>
              <w:tc>
                <w:tcPr/>
                <w:p>
                  <w:pPr>
                    <w:pStyle w:val="Compact"/>
                    <w:jc w:val="left"/>
                    <w:jc w:val="center"/>
                  </w:pPr>
                  <w:r>
                    <w:t xml:space="preserve">Unknown</w:t>
                  </w:r>
                </w:p>
              </w:tc>
              <w:tc>
                <w:tcPr/>
                <w:p>
                  <w:pPr>
                    <w:pStyle w:val="Compact"/>
                    <w:jc w:val="left"/>
                    <w:jc w:val="center"/>
                  </w:pPr>
                  <w:r>
                    <w:t xml:space="preserve">≤10</w:t>
                  </w:r>
                </w:p>
              </w:tc>
              <w:tc>
                <w:tcPr/>
                <w:p>
                  <w:pPr>
                    <w:pStyle w:val="Compact"/>
                    <w:jc w:val="left"/>
                    <w:jc w:val="center"/>
                  </w:pPr>
                  <w:r>
                    <w:t xml:space="preserve">≤10</w:t>
                  </w:r>
                </w:p>
              </w:tc>
              <w:tc>
                <w:tcPr/>
                <w:p>
                  <w:pPr>
                    <w:pStyle w:val="Compact"/>
                    <w:jc w:val="left"/>
                    <w:jc w:val="center"/>
                  </w:pPr>
                  <w:r>
                    <w:t xml:space="preserve">≤10</w:t>
                  </w:r>
                </w:p>
              </w:tc>
              <w:tc>
                <w:tcPr/>
                <w:p>
                  <w:pPr>
                    <w:pStyle w:val="Compact"/>
                  </w:pPr>
                </w:p>
              </w:tc>
            </w:tr>
            <w:tr>
              <w:tc>
                <w:tcPr/>
                <w:p>
                  <w:pPr>
                    <w:pStyle w:val="Compact"/>
                    <w:jc w:val="left"/>
                    <w:jc w:val="center"/>
                  </w:pPr>
                  <w:r>
                    <w:t xml:space="preserve">Hospital bed size</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Small</w:t>
                  </w:r>
                </w:p>
              </w:tc>
              <w:tc>
                <w:tcPr/>
                <w:p>
                  <w:pPr>
                    <w:pStyle w:val="Compact"/>
                    <w:jc w:val="left"/>
                    <w:jc w:val="center"/>
                  </w:pPr>
                  <w:r>
                    <w:t xml:space="preserve">10%</w:t>
                  </w:r>
                </w:p>
              </w:tc>
              <w:tc>
                <w:tcPr/>
                <w:p>
                  <w:pPr>
                    <w:pStyle w:val="Compact"/>
                    <w:jc w:val="left"/>
                    <w:jc w:val="center"/>
                  </w:pPr>
                  <w:r>
                    <w:t xml:space="preserve">9.9%</w:t>
                  </w:r>
                </w:p>
              </w:tc>
              <w:tc>
                <w:tcPr/>
                <w:p>
                  <w:pPr>
                    <w:pStyle w:val="Compact"/>
                    <w:jc w:val="left"/>
                    <w:jc w:val="center"/>
                  </w:pPr>
                  <w:r>
                    <w:t xml:space="preserve">11%</w:t>
                  </w:r>
                </w:p>
              </w:tc>
              <w:tc>
                <w:tcPr/>
                <w:p>
                  <w:pPr>
                    <w:pStyle w:val="Compact"/>
                  </w:pPr>
                </w:p>
              </w:tc>
            </w:tr>
            <w:tr>
              <w:tc>
                <w:tcPr/>
                <w:p>
                  <w:pPr>
                    <w:pStyle w:val="Compact"/>
                    <w:jc w:val="left"/>
                    <w:jc w:val="center"/>
                  </w:pPr>
                  <w:r>
                    <w:t xml:space="preserve">Medium</w:t>
                  </w:r>
                </w:p>
              </w:tc>
              <w:tc>
                <w:tcPr/>
                <w:p>
                  <w:pPr>
                    <w:pStyle w:val="Compact"/>
                    <w:jc w:val="left"/>
                    <w:jc w:val="center"/>
                  </w:pPr>
                  <w:r>
                    <w:t xml:space="preserve">26%</w:t>
                  </w:r>
                </w:p>
              </w:tc>
              <w:tc>
                <w:tcPr/>
                <w:p>
                  <w:pPr>
                    <w:pStyle w:val="Compact"/>
                    <w:jc w:val="left"/>
                    <w:jc w:val="center"/>
                  </w:pPr>
                  <w:r>
                    <w:t xml:space="preserve">26%</w:t>
                  </w:r>
                </w:p>
              </w:tc>
              <w:tc>
                <w:tcPr/>
                <w:p>
                  <w:pPr>
                    <w:pStyle w:val="Compact"/>
                    <w:jc w:val="left"/>
                    <w:jc w:val="center"/>
                  </w:pPr>
                  <w:r>
                    <w:t xml:space="preserve">26%</w:t>
                  </w:r>
                </w:p>
              </w:tc>
              <w:tc>
                <w:tcPr/>
                <w:p>
                  <w:pPr>
                    <w:pStyle w:val="Compact"/>
                  </w:pPr>
                </w:p>
              </w:tc>
            </w:tr>
            <w:tr>
              <w:tc>
                <w:tcPr/>
                <w:p>
                  <w:pPr>
                    <w:pStyle w:val="Compact"/>
                    <w:jc w:val="left"/>
                    <w:jc w:val="center"/>
                  </w:pPr>
                  <w:r>
                    <w:t xml:space="preserve">Large</w:t>
                  </w:r>
                </w:p>
              </w:tc>
              <w:tc>
                <w:tcPr/>
                <w:p>
                  <w:pPr>
                    <w:pStyle w:val="Compact"/>
                    <w:jc w:val="left"/>
                    <w:jc w:val="center"/>
                  </w:pPr>
                  <w:r>
                    <w:t xml:space="preserve">64%</w:t>
                  </w:r>
                </w:p>
              </w:tc>
              <w:tc>
                <w:tcPr/>
                <w:p>
                  <w:pPr>
                    <w:pStyle w:val="Compact"/>
                    <w:jc w:val="left"/>
                    <w:jc w:val="center"/>
                  </w:pPr>
                  <w:r>
                    <w:t xml:space="preserve">64%</w:t>
                  </w:r>
                </w:p>
              </w:tc>
              <w:tc>
                <w:tcPr/>
                <w:p>
                  <w:pPr>
                    <w:pStyle w:val="Compact"/>
                    <w:jc w:val="left"/>
                    <w:jc w:val="center"/>
                  </w:pPr>
                  <w:r>
                    <w:t xml:space="preserve">62%</w:t>
                  </w:r>
                </w:p>
              </w:tc>
              <w:tc>
                <w:tcPr/>
                <w:p>
                  <w:pPr>
                    <w:pStyle w:val="Compact"/>
                  </w:pPr>
                </w:p>
              </w:tc>
            </w:tr>
            <w:tr>
              <w:tc>
                <w:tcPr/>
                <w:p>
                  <w:pPr>
                    <w:pStyle w:val="Compact"/>
                    <w:jc w:val="left"/>
                    <w:jc w:val="center"/>
                  </w:pPr>
                  <w:r>
                    <w:t xml:space="preserve">Unknown</w:t>
                  </w:r>
                </w:p>
              </w:tc>
              <w:tc>
                <w:tcPr/>
                <w:p>
                  <w:pPr>
                    <w:pStyle w:val="Compact"/>
                    <w:jc w:val="left"/>
                    <w:jc w:val="center"/>
                  </w:pPr>
                  <w:r>
                    <w:t xml:space="preserve">≤10</w:t>
                  </w:r>
                </w:p>
              </w:tc>
              <w:tc>
                <w:tcPr/>
                <w:p>
                  <w:pPr>
                    <w:pStyle w:val="Compact"/>
                    <w:jc w:val="left"/>
                    <w:jc w:val="center"/>
                  </w:pPr>
                  <w:r>
                    <w:t xml:space="preserve">≤10</w:t>
                  </w:r>
                </w:p>
              </w:tc>
              <w:tc>
                <w:tcPr/>
                <w:p>
                  <w:pPr>
                    <w:pStyle w:val="Compact"/>
                    <w:jc w:val="left"/>
                    <w:jc w:val="center"/>
                  </w:pPr>
                  <w:r>
                    <w:t xml:space="preserve">≤10</w:t>
                  </w:r>
                </w:p>
              </w:tc>
              <w:tc>
                <w:tcPr/>
                <w:p>
                  <w:pPr>
                    <w:pStyle w:val="Compact"/>
                  </w:pPr>
                </w:p>
              </w:tc>
            </w:tr>
            <w:tr>
              <w:tc>
                <w:tcPr/>
                <w:p>
                  <w:pPr>
                    <w:pStyle w:val="Compact"/>
                    <w:jc w:val="left"/>
                    <w:jc w:val="center"/>
                  </w:pPr>
                  <w:r>
                    <w:t xml:space="preserve">Hospital location and teaching status</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Rural</w:t>
                  </w:r>
                </w:p>
              </w:tc>
              <w:tc>
                <w:tcPr/>
                <w:p>
                  <w:pPr>
                    <w:pStyle w:val="Compact"/>
                    <w:jc w:val="left"/>
                    <w:jc w:val="center"/>
                  </w:pPr>
                  <w:r>
                    <w:t xml:space="preserve">2.2%</w:t>
                  </w:r>
                </w:p>
              </w:tc>
              <w:tc>
                <w:tcPr/>
                <w:p>
                  <w:pPr>
                    <w:pStyle w:val="Compact"/>
                    <w:jc w:val="left"/>
                    <w:jc w:val="center"/>
                  </w:pPr>
                  <w:r>
                    <w:t xml:space="preserve">2.2%</w:t>
                  </w:r>
                </w:p>
              </w:tc>
              <w:tc>
                <w:tcPr/>
                <w:p>
                  <w:pPr>
                    <w:pStyle w:val="Compact"/>
                    <w:jc w:val="left"/>
                    <w:jc w:val="center"/>
                  </w:pPr>
                  <w:r>
                    <w:t xml:space="preserve">2.4%</w:t>
                  </w:r>
                </w:p>
              </w:tc>
              <w:tc>
                <w:tcPr/>
                <w:p>
                  <w:pPr>
                    <w:pStyle w:val="Compact"/>
                  </w:pPr>
                </w:p>
              </w:tc>
            </w:tr>
            <w:tr>
              <w:tc>
                <w:tcPr/>
                <w:p>
                  <w:pPr>
                    <w:pStyle w:val="Compact"/>
                    <w:jc w:val="left"/>
                    <w:jc w:val="center"/>
                  </w:pPr>
                  <w:r>
                    <w:t xml:space="preserve">Urban, non-teaching</w:t>
                  </w:r>
                </w:p>
              </w:tc>
              <w:tc>
                <w:tcPr/>
                <w:p>
                  <w:pPr>
                    <w:pStyle w:val="Compact"/>
                    <w:jc w:val="left"/>
                    <w:jc w:val="center"/>
                  </w:pPr>
                  <w:r>
                    <w:t xml:space="preserve">9.8%</w:t>
                  </w:r>
                </w:p>
              </w:tc>
              <w:tc>
                <w:tcPr/>
                <w:p>
                  <w:pPr>
                    <w:pStyle w:val="Compact"/>
                    <w:jc w:val="left"/>
                    <w:jc w:val="center"/>
                  </w:pPr>
                  <w:r>
                    <w:t xml:space="preserve">9.4%</w:t>
                  </w:r>
                </w:p>
              </w:tc>
              <w:tc>
                <w:tcPr/>
                <w:p>
                  <w:pPr>
                    <w:pStyle w:val="Compact"/>
                    <w:jc w:val="left"/>
                    <w:jc w:val="center"/>
                  </w:pPr>
                  <w:r>
                    <w:t xml:space="preserve">11%</w:t>
                  </w:r>
                </w:p>
              </w:tc>
              <w:tc>
                <w:tcPr/>
                <w:p>
                  <w:pPr>
                    <w:pStyle w:val="Compact"/>
                  </w:pPr>
                </w:p>
              </w:tc>
            </w:tr>
            <w:tr>
              <w:tc>
                <w:tcPr/>
                <w:p>
                  <w:pPr>
                    <w:pStyle w:val="Compact"/>
                    <w:jc w:val="left"/>
                    <w:jc w:val="center"/>
                  </w:pPr>
                  <w:r>
                    <w:t xml:space="preserve">Urban, teaching</w:t>
                  </w:r>
                </w:p>
              </w:tc>
              <w:tc>
                <w:tcPr/>
                <w:p>
                  <w:pPr>
                    <w:pStyle w:val="Compact"/>
                    <w:jc w:val="left"/>
                    <w:jc w:val="center"/>
                  </w:pPr>
                  <w:r>
                    <w:t xml:space="preserve">88%</w:t>
                  </w:r>
                </w:p>
              </w:tc>
              <w:tc>
                <w:tcPr/>
                <w:p>
                  <w:pPr>
                    <w:pStyle w:val="Compact"/>
                    <w:jc w:val="left"/>
                    <w:jc w:val="center"/>
                  </w:pPr>
                  <w:r>
                    <w:t xml:space="preserve">88%</w:t>
                  </w:r>
                </w:p>
              </w:tc>
              <w:tc>
                <w:tcPr/>
                <w:p>
                  <w:pPr>
                    <w:pStyle w:val="Compact"/>
                    <w:jc w:val="left"/>
                    <w:jc w:val="center"/>
                  </w:pPr>
                  <w:r>
                    <w:t xml:space="preserve">87%</w:t>
                  </w:r>
                </w:p>
              </w:tc>
              <w:tc>
                <w:tcPr/>
                <w:p>
                  <w:pPr>
                    <w:pStyle w:val="Compact"/>
                  </w:pPr>
                </w:p>
              </w:tc>
            </w:tr>
            <w:tr>
              <w:tc>
                <w:tcPr/>
                <w:p>
                  <w:pPr>
                    <w:pStyle w:val="Compact"/>
                    <w:jc w:val="left"/>
                    <w:jc w:val="center"/>
                  </w:pPr>
                  <w:r>
                    <w:t xml:space="preserve">Unknown</w:t>
                  </w:r>
                </w:p>
              </w:tc>
              <w:tc>
                <w:tcPr/>
                <w:p>
                  <w:pPr>
                    <w:pStyle w:val="Compact"/>
                    <w:jc w:val="left"/>
                    <w:jc w:val="center"/>
                  </w:pPr>
                  <w:r>
                    <w:t xml:space="preserve">≤10</w:t>
                  </w:r>
                </w:p>
              </w:tc>
              <w:tc>
                <w:tcPr/>
                <w:p>
                  <w:pPr>
                    <w:pStyle w:val="Compact"/>
                    <w:jc w:val="left"/>
                    <w:jc w:val="center"/>
                  </w:pPr>
                  <w:r>
                    <w:t xml:space="preserve">≤10</w:t>
                  </w:r>
                </w:p>
              </w:tc>
              <w:tc>
                <w:tcPr/>
                <w:p>
                  <w:pPr>
                    <w:pStyle w:val="Compact"/>
                    <w:jc w:val="left"/>
                    <w:jc w:val="center"/>
                  </w:pPr>
                  <w:r>
                    <w:t xml:space="preserve">≤10</w:t>
                  </w:r>
                </w:p>
              </w:tc>
              <w:tc>
                <w:tcPr/>
                <w:p>
                  <w:pPr>
                    <w:pStyle w:val="Compact"/>
                  </w:pPr>
                </w:p>
              </w:tc>
            </w:tr>
            <w:tr>
              <w:tc>
                <w:tcPr/>
                <w:p>
                  <w:pPr>
                    <w:pStyle w:val="Compact"/>
                    <w:jc w:val="left"/>
                    <w:jc w:val="center"/>
                  </w:pPr>
                  <w:r>
                    <w:t xml:space="preserve">TBI injury subtype</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Concussion, other or unspecified only</w:t>
                  </w:r>
                </w:p>
              </w:tc>
              <w:tc>
                <w:tcPr/>
                <w:p>
                  <w:pPr>
                    <w:pStyle w:val="Compact"/>
                    <w:jc w:val="left"/>
                    <w:jc w:val="center"/>
                  </w:pPr>
                  <w:r>
                    <w:t xml:space="preserve">24%</w:t>
                  </w:r>
                </w:p>
              </w:tc>
              <w:tc>
                <w:tcPr/>
                <w:p>
                  <w:pPr>
                    <w:pStyle w:val="Compact"/>
                    <w:jc w:val="left"/>
                    <w:jc w:val="center"/>
                  </w:pPr>
                  <w:r>
                    <w:t xml:space="preserve">25%</w:t>
                  </w:r>
                </w:p>
              </w:tc>
              <w:tc>
                <w:tcPr/>
                <w:p>
                  <w:pPr>
                    <w:pStyle w:val="Compact"/>
                    <w:jc w:val="left"/>
                    <w:jc w:val="center"/>
                  </w:pPr>
                  <w:r>
                    <w:t xml:space="preserve">19%</w:t>
                  </w:r>
                </w:p>
              </w:tc>
              <w:tc>
                <w:tcPr/>
                <w:p>
                  <w:pPr>
                    <w:pStyle w:val="Compact"/>
                  </w:pPr>
                </w:p>
              </w:tc>
            </w:tr>
            <w:tr>
              <w:tc>
                <w:tcPr/>
                <w:p>
                  <w:pPr>
                    <w:pStyle w:val="Compact"/>
                    <w:jc w:val="left"/>
                    <w:jc w:val="center"/>
                  </w:pPr>
                  <w:r>
                    <w:t xml:space="preserve">Diffuse injury or brain compression</w:t>
                  </w:r>
                </w:p>
              </w:tc>
              <w:tc>
                <w:tcPr/>
                <w:p>
                  <w:pPr>
                    <w:pStyle w:val="Compact"/>
                    <w:jc w:val="left"/>
                    <w:jc w:val="center"/>
                  </w:pPr>
                  <w:r>
                    <w:t xml:space="preserve">7.0%</w:t>
                  </w:r>
                </w:p>
              </w:tc>
              <w:tc>
                <w:tcPr/>
                <w:p>
                  <w:pPr>
                    <w:pStyle w:val="Compact"/>
                    <w:jc w:val="left"/>
                    <w:jc w:val="center"/>
                  </w:pPr>
                  <w:r>
                    <w:t xml:space="preserve">6.9%</w:t>
                  </w:r>
                </w:p>
              </w:tc>
              <w:tc>
                <w:tcPr/>
                <w:p>
                  <w:pPr>
                    <w:pStyle w:val="Compact"/>
                    <w:jc w:val="left"/>
                    <w:jc w:val="center"/>
                  </w:pPr>
                  <w:r>
                    <w:t xml:space="preserve">7.2%</w:t>
                  </w:r>
                </w:p>
              </w:tc>
              <w:tc>
                <w:tcPr/>
                <w:p>
                  <w:pPr>
                    <w:pStyle w:val="Compact"/>
                  </w:pPr>
                </w:p>
              </w:tc>
            </w:tr>
            <w:tr>
              <w:tc>
                <w:tcPr/>
                <w:p>
                  <w:pPr>
                    <w:pStyle w:val="Compact"/>
                    <w:jc w:val="left"/>
                    <w:jc w:val="center"/>
                  </w:pPr>
                  <w:r>
                    <w:t xml:space="preserve">Epidural hemorrhage</w:t>
                  </w:r>
                </w:p>
              </w:tc>
              <w:tc>
                <w:tcPr/>
                <w:p>
                  <w:pPr>
                    <w:pStyle w:val="Compact"/>
                    <w:jc w:val="left"/>
                    <w:jc w:val="center"/>
                  </w:pPr>
                  <w:r>
                    <w:t xml:space="preserve">4.1%</w:t>
                  </w:r>
                </w:p>
              </w:tc>
              <w:tc>
                <w:tcPr/>
                <w:p>
                  <w:pPr>
                    <w:pStyle w:val="Compact"/>
                    <w:jc w:val="left"/>
                    <w:jc w:val="center"/>
                  </w:pPr>
                  <w:r>
                    <w:t xml:space="preserve">4.2%</w:t>
                  </w:r>
                </w:p>
              </w:tc>
              <w:tc>
                <w:tcPr/>
                <w:p>
                  <w:pPr>
                    <w:pStyle w:val="Compact"/>
                    <w:jc w:val="left"/>
                    <w:jc w:val="center"/>
                  </w:pPr>
                  <w:r>
                    <w:t xml:space="preserve">3.8%</w:t>
                  </w:r>
                </w:p>
              </w:tc>
              <w:tc>
                <w:tcPr/>
                <w:p>
                  <w:pPr>
                    <w:pStyle w:val="Compact"/>
                  </w:pPr>
                </w:p>
              </w:tc>
            </w:tr>
            <w:tr>
              <w:tc>
                <w:tcPr/>
                <w:p>
                  <w:pPr>
                    <w:pStyle w:val="Compact"/>
                    <w:jc w:val="left"/>
                    <w:jc w:val="center"/>
                  </w:pPr>
                  <w:r>
                    <w:t xml:space="preserve">Subdural hemorrhage</w:t>
                  </w:r>
                </w:p>
              </w:tc>
              <w:tc>
                <w:tcPr/>
                <w:p>
                  <w:pPr>
                    <w:pStyle w:val="Compact"/>
                    <w:jc w:val="left"/>
                    <w:jc w:val="center"/>
                  </w:pPr>
                  <w:r>
                    <w:t xml:space="preserve">41%</w:t>
                  </w:r>
                </w:p>
              </w:tc>
              <w:tc>
                <w:tcPr/>
                <w:p>
                  <w:pPr>
                    <w:pStyle w:val="Compact"/>
                    <w:jc w:val="left"/>
                    <w:jc w:val="center"/>
                  </w:pPr>
                  <w:r>
                    <w:t xml:space="preserve">39%</w:t>
                  </w:r>
                </w:p>
              </w:tc>
              <w:tc>
                <w:tcPr/>
                <w:p>
                  <w:pPr>
                    <w:pStyle w:val="Compact"/>
                    <w:jc w:val="left"/>
                    <w:jc w:val="center"/>
                  </w:pPr>
                  <w:r>
                    <w:t xml:space="preserve">47%</w:t>
                  </w:r>
                </w:p>
              </w:tc>
              <w:tc>
                <w:tcPr/>
                <w:p>
                  <w:pPr>
                    <w:pStyle w:val="Compact"/>
                  </w:pPr>
                </w:p>
              </w:tc>
            </w:tr>
            <w:tr>
              <w:tc>
                <w:tcPr/>
                <w:p>
                  <w:pPr>
                    <w:pStyle w:val="Compact"/>
                    <w:jc w:val="left"/>
                    <w:jc w:val="center"/>
                  </w:pPr>
                  <w:r>
                    <w:t xml:space="preserve">Contusion/focal, SAH, or edema</w:t>
                  </w:r>
                </w:p>
              </w:tc>
              <w:tc>
                <w:tcPr/>
                <w:p>
                  <w:pPr>
                    <w:pStyle w:val="Compact"/>
                    <w:jc w:val="left"/>
                    <w:jc w:val="center"/>
                  </w:pPr>
                  <w:r>
                    <w:t xml:space="preserve">24%</w:t>
                  </w:r>
                </w:p>
              </w:tc>
              <w:tc>
                <w:tcPr/>
                <w:p>
                  <w:pPr>
                    <w:pStyle w:val="Compact"/>
                    <w:jc w:val="left"/>
                    <w:jc w:val="center"/>
                  </w:pPr>
                  <w:r>
                    <w:t xml:space="preserve">24%</w:t>
                  </w:r>
                </w:p>
              </w:tc>
              <w:tc>
                <w:tcPr/>
                <w:p>
                  <w:pPr>
                    <w:pStyle w:val="Compact"/>
                    <w:jc w:val="left"/>
                    <w:jc w:val="center"/>
                  </w:pPr>
                  <w:r>
                    <w:t xml:space="preserve">22%</w:t>
                  </w:r>
                </w:p>
              </w:tc>
              <w:tc>
                <w:tcPr/>
                <w:p>
                  <w:pPr>
                    <w:pStyle w:val="Compact"/>
                  </w:pPr>
                </w:p>
              </w:tc>
            </w:tr>
            <w:tr>
              <w:tc>
                <w:tcPr/>
                <w:p>
                  <w:pPr>
                    <w:pStyle w:val="Compact"/>
                    <w:jc w:val="left"/>
                    <w:jc w:val="center"/>
                  </w:pPr>
                  <w:r>
                    <w:t xml:space="preserve">Unknown</w:t>
                  </w:r>
                </w:p>
              </w:tc>
              <w:tc>
                <w:tcPr/>
                <w:p>
                  <w:pPr>
                    <w:pStyle w:val="Compact"/>
                    <w:jc w:val="left"/>
                    <w:jc w:val="center"/>
                  </w:pPr>
                  <w:r>
                    <w:t xml:space="preserve">≤10</w:t>
                  </w:r>
                </w:p>
              </w:tc>
              <w:tc>
                <w:tcPr/>
                <w:p>
                  <w:pPr>
                    <w:pStyle w:val="Compact"/>
                    <w:jc w:val="left"/>
                    <w:jc w:val="center"/>
                  </w:pPr>
                  <w:r>
                    <w:t xml:space="preserve">≤10</w:t>
                  </w:r>
                </w:p>
              </w:tc>
              <w:tc>
                <w:tcPr/>
                <w:p>
                  <w:pPr>
                    <w:pStyle w:val="Compact"/>
                    <w:jc w:val="left"/>
                    <w:jc w:val="center"/>
                  </w:pPr>
                  <w:r>
                    <w:t xml:space="preserve">≤10</w:t>
                  </w:r>
                </w:p>
              </w:tc>
              <w:tc>
                <w:tcPr/>
                <w:p>
                  <w:pPr>
                    <w:pStyle w:val="Compact"/>
                  </w:pPr>
                </w:p>
              </w:tc>
            </w:tr>
            <w:tr>
              <w:tc>
                <w:tcPr/>
                <w:p>
                  <w:pPr>
                    <w:pStyle w:val="Compact"/>
                    <w:jc w:val="left"/>
                    <w:jc w:val="center"/>
                  </w:pPr>
                  <w:r>
                    <w:t xml:space="preserve">Skull fracture</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0</w:t>
                  </w:r>
                </w:p>
              </w:tc>
              <w:tc>
                <w:tcPr/>
                <w:p>
                  <w:pPr>
                    <w:pStyle w:val="Compact"/>
                    <w:jc w:val="left"/>
                    <w:jc w:val="center"/>
                  </w:pPr>
                  <w:r>
                    <w:t xml:space="preserve">80%</w:t>
                  </w:r>
                </w:p>
              </w:tc>
              <w:tc>
                <w:tcPr/>
                <w:p>
                  <w:pPr>
                    <w:pStyle w:val="Compact"/>
                    <w:jc w:val="left"/>
                    <w:jc w:val="center"/>
                  </w:pPr>
                  <w:r>
                    <w:t xml:space="preserve">78%</w:t>
                  </w:r>
                </w:p>
              </w:tc>
              <w:tc>
                <w:tcPr/>
                <w:p>
                  <w:pPr>
                    <w:pStyle w:val="Compact"/>
                    <w:jc w:val="left"/>
                    <w:jc w:val="center"/>
                  </w:pPr>
                  <w:r>
                    <w:t xml:space="preserve">84%</w:t>
                  </w:r>
                </w:p>
              </w:tc>
              <w:tc>
                <w:tcPr/>
                <w:p>
                  <w:pPr>
                    <w:pStyle w:val="Compact"/>
                  </w:pPr>
                </w:p>
              </w:tc>
            </w:tr>
            <w:tr>
              <w:tc>
                <w:tcPr/>
                <w:p>
                  <w:pPr>
                    <w:pStyle w:val="Compact"/>
                    <w:jc w:val="left"/>
                    <w:jc w:val="center"/>
                  </w:pPr>
                  <w:r>
                    <w:t xml:space="preserve">1</w:t>
                  </w:r>
                </w:p>
              </w:tc>
              <w:tc>
                <w:tcPr/>
                <w:p>
                  <w:pPr>
                    <w:pStyle w:val="Compact"/>
                    <w:jc w:val="left"/>
                    <w:jc w:val="center"/>
                  </w:pPr>
                  <w:r>
                    <w:t xml:space="preserve">20%</w:t>
                  </w:r>
                </w:p>
              </w:tc>
              <w:tc>
                <w:tcPr/>
                <w:p>
                  <w:pPr>
                    <w:pStyle w:val="Compact"/>
                    <w:jc w:val="left"/>
                    <w:jc w:val="center"/>
                  </w:pPr>
                  <w:r>
                    <w:t xml:space="preserve">22%</w:t>
                  </w:r>
                </w:p>
              </w:tc>
              <w:tc>
                <w:tcPr/>
                <w:p>
                  <w:pPr>
                    <w:pStyle w:val="Compact"/>
                    <w:jc w:val="left"/>
                    <w:jc w:val="center"/>
                  </w:pPr>
                  <w:r>
                    <w:t xml:space="preserve">16%</w:t>
                  </w:r>
                </w:p>
              </w:tc>
              <w:tc>
                <w:tcPr/>
                <w:p>
                  <w:pPr>
                    <w:pStyle w:val="Compact"/>
                  </w:pPr>
                </w:p>
              </w:tc>
            </w:tr>
            <w:tr>
              <w:tc>
                <w:tcPr/>
                <w:p>
                  <w:pPr>
                    <w:pStyle w:val="Compact"/>
                    <w:jc w:val="left"/>
                    <w:jc w:val="center"/>
                  </w:pPr>
                  <w:r>
                    <w:t xml:space="preserve">Unknown</w:t>
                  </w:r>
                </w:p>
              </w:tc>
              <w:tc>
                <w:tcPr/>
                <w:p>
                  <w:pPr>
                    <w:pStyle w:val="Compact"/>
                    <w:jc w:val="left"/>
                    <w:jc w:val="center"/>
                  </w:pPr>
                  <w:r>
                    <w:t xml:space="preserve">≤10</w:t>
                  </w:r>
                </w:p>
              </w:tc>
              <w:tc>
                <w:tcPr/>
                <w:p>
                  <w:pPr>
                    <w:pStyle w:val="Compact"/>
                    <w:jc w:val="left"/>
                    <w:jc w:val="center"/>
                  </w:pPr>
                  <w:r>
                    <w:t xml:space="preserve">≤10</w:t>
                  </w:r>
                </w:p>
              </w:tc>
              <w:tc>
                <w:tcPr/>
                <w:p>
                  <w:pPr>
                    <w:pStyle w:val="Compact"/>
                    <w:jc w:val="left"/>
                    <w:jc w:val="center"/>
                  </w:pPr>
                  <w:r>
                    <w:t xml:space="preserve">≤10</w:t>
                  </w:r>
                </w:p>
              </w:tc>
              <w:tc>
                <w:tcPr/>
                <w:p>
                  <w:pPr>
                    <w:pStyle w:val="Compact"/>
                  </w:pPr>
                </w:p>
              </w:tc>
            </w:tr>
            <w:tr>
              <w:tc>
                <w:tcPr/>
                <w:p>
                  <w:pPr>
                    <w:pStyle w:val="Compact"/>
                    <w:jc w:val="left"/>
                    <w:jc w:val="center"/>
                  </w:pPr>
                  <w:r>
                    <w:t xml:space="preserve">Any injury code outside the head (initial encounter)</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0</w:t>
                  </w:r>
                </w:p>
              </w:tc>
              <w:tc>
                <w:tcPr/>
                <w:p>
                  <w:pPr>
                    <w:pStyle w:val="Compact"/>
                    <w:jc w:val="left"/>
                    <w:jc w:val="center"/>
                  </w:pPr>
                  <w:r>
                    <w:t xml:space="preserve">55%</w:t>
                  </w:r>
                </w:p>
              </w:tc>
              <w:tc>
                <w:tcPr/>
                <w:p>
                  <w:pPr>
                    <w:pStyle w:val="Compact"/>
                    <w:jc w:val="left"/>
                    <w:jc w:val="center"/>
                  </w:pPr>
                  <w:r>
                    <w:t xml:space="preserve">52%</w:t>
                  </w:r>
                </w:p>
              </w:tc>
              <w:tc>
                <w:tcPr/>
                <w:p>
                  <w:pPr>
                    <w:pStyle w:val="Compact"/>
                    <w:jc w:val="left"/>
                    <w:jc w:val="center"/>
                  </w:pPr>
                  <w:r>
                    <w:t xml:space="preserve">62%</w:t>
                  </w:r>
                </w:p>
              </w:tc>
              <w:tc>
                <w:tcPr/>
                <w:p>
                  <w:pPr>
                    <w:pStyle w:val="Compact"/>
                  </w:pPr>
                </w:p>
              </w:tc>
            </w:tr>
            <w:tr>
              <w:tc>
                <w:tcPr/>
                <w:p>
                  <w:pPr>
                    <w:pStyle w:val="Compact"/>
                    <w:jc w:val="left"/>
                    <w:jc w:val="center"/>
                  </w:pPr>
                  <w:r>
                    <w:t xml:space="preserve">1</w:t>
                  </w:r>
                </w:p>
              </w:tc>
              <w:tc>
                <w:tcPr/>
                <w:p>
                  <w:pPr>
                    <w:pStyle w:val="Compact"/>
                    <w:jc w:val="left"/>
                    <w:jc w:val="center"/>
                  </w:pPr>
                  <w:r>
                    <w:t xml:space="preserve">45%</w:t>
                  </w:r>
                </w:p>
              </w:tc>
              <w:tc>
                <w:tcPr/>
                <w:p>
                  <w:pPr>
                    <w:pStyle w:val="Compact"/>
                    <w:jc w:val="left"/>
                    <w:jc w:val="center"/>
                  </w:pPr>
                  <w:r>
                    <w:t xml:space="preserve">48%</w:t>
                  </w:r>
                </w:p>
              </w:tc>
              <w:tc>
                <w:tcPr/>
                <w:p>
                  <w:pPr>
                    <w:pStyle w:val="Compact"/>
                    <w:jc w:val="left"/>
                    <w:jc w:val="center"/>
                  </w:pPr>
                  <w:r>
                    <w:t xml:space="preserve">38%</w:t>
                  </w:r>
                </w:p>
              </w:tc>
              <w:tc>
                <w:tcPr/>
                <w:p>
                  <w:pPr>
                    <w:pStyle w:val="Compact"/>
                  </w:pPr>
                </w:p>
              </w:tc>
            </w:tr>
            <w:tr>
              <w:tc>
                <w:tcPr/>
                <w:p>
                  <w:pPr>
                    <w:pStyle w:val="Compact"/>
                    <w:jc w:val="left"/>
                    <w:jc w:val="center"/>
                  </w:pPr>
                  <w:r>
                    <w:t xml:space="preserve">Unknown</w:t>
                  </w:r>
                </w:p>
              </w:tc>
              <w:tc>
                <w:tcPr/>
                <w:p>
                  <w:pPr>
                    <w:pStyle w:val="Compact"/>
                    <w:jc w:val="left"/>
                    <w:jc w:val="center"/>
                  </w:pPr>
                  <w:r>
                    <w:t xml:space="preserve">≤10</w:t>
                  </w:r>
                </w:p>
              </w:tc>
              <w:tc>
                <w:tcPr/>
                <w:p>
                  <w:pPr>
                    <w:pStyle w:val="Compact"/>
                    <w:jc w:val="left"/>
                    <w:jc w:val="center"/>
                  </w:pPr>
                  <w:r>
                    <w:t xml:space="preserve">≤10</w:t>
                  </w:r>
                </w:p>
              </w:tc>
              <w:tc>
                <w:tcPr/>
                <w:p>
                  <w:pPr>
                    <w:pStyle w:val="Compact"/>
                    <w:jc w:val="left"/>
                    <w:jc w:val="center"/>
                  </w:pPr>
                  <w:r>
                    <w:t xml:space="preserve">≤10</w:t>
                  </w:r>
                </w:p>
              </w:tc>
              <w:tc>
                <w:tcPr/>
                <w:p>
                  <w:pPr>
                    <w:pStyle w:val="Compact"/>
                  </w:pPr>
                </w:p>
              </w:tc>
            </w:tr>
            <w:tr>
              <w:tc>
                <w:tcPr/>
                <w:p>
                  <w:pPr>
                    <w:pStyle w:val="Compact"/>
                    <w:jc w:val="left"/>
                    <w:jc w:val="center"/>
                  </w:pPr>
                  <w:r>
                    <w:t xml:space="preserve">TBI as principal diagnosis</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0</w:t>
                  </w:r>
                </w:p>
              </w:tc>
              <w:tc>
                <w:tcPr/>
                <w:p>
                  <w:pPr>
                    <w:pStyle w:val="Compact"/>
                    <w:jc w:val="left"/>
                    <w:jc w:val="center"/>
                  </w:pPr>
                  <w:r>
                    <w:t xml:space="preserve">32%</w:t>
                  </w:r>
                </w:p>
              </w:tc>
              <w:tc>
                <w:tcPr/>
                <w:p>
                  <w:pPr>
                    <w:pStyle w:val="Compact"/>
                    <w:jc w:val="left"/>
                    <w:jc w:val="center"/>
                  </w:pPr>
                  <w:r>
                    <w:t xml:space="preserve">32%</w:t>
                  </w:r>
                </w:p>
              </w:tc>
              <w:tc>
                <w:tcPr/>
                <w:p>
                  <w:pPr>
                    <w:pStyle w:val="Compact"/>
                    <w:jc w:val="left"/>
                    <w:jc w:val="center"/>
                  </w:pPr>
                  <w:r>
                    <w:t xml:space="preserve">33%</w:t>
                  </w:r>
                </w:p>
              </w:tc>
              <w:tc>
                <w:tcPr/>
                <w:p>
                  <w:pPr>
                    <w:pStyle w:val="Compact"/>
                  </w:pPr>
                </w:p>
              </w:tc>
            </w:tr>
            <w:tr>
              <w:tc>
                <w:tcPr/>
                <w:p>
                  <w:pPr>
                    <w:pStyle w:val="Compact"/>
                    <w:jc w:val="left"/>
                    <w:jc w:val="center"/>
                  </w:pPr>
                  <w:r>
                    <w:t xml:space="preserve">1</w:t>
                  </w:r>
                </w:p>
              </w:tc>
              <w:tc>
                <w:tcPr/>
                <w:p>
                  <w:pPr>
                    <w:pStyle w:val="Compact"/>
                    <w:jc w:val="left"/>
                    <w:jc w:val="center"/>
                  </w:pPr>
                  <w:r>
                    <w:t xml:space="preserve">68%</w:t>
                  </w:r>
                </w:p>
              </w:tc>
              <w:tc>
                <w:tcPr/>
                <w:p>
                  <w:pPr>
                    <w:pStyle w:val="Compact"/>
                    <w:jc w:val="left"/>
                    <w:jc w:val="center"/>
                  </w:pPr>
                  <w:r>
                    <w:t xml:space="preserve">68%</w:t>
                  </w:r>
                </w:p>
              </w:tc>
              <w:tc>
                <w:tcPr/>
                <w:p>
                  <w:pPr>
                    <w:pStyle w:val="Compact"/>
                    <w:jc w:val="left"/>
                    <w:jc w:val="center"/>
                  </w:pPr>
                  <w:r>
                    <w:t xml:space="preserve">67%</w:t>
                  </w:r>
                </w:p>
              </w:tc>
              <w:tc>
                <w:tcPr/>
                <w:p>
                  <w:pPr>
                    <w:pStyle w:val="Compact"/>
                  </w:pPr>
                </w:p>
              </w:tc>
            </w:tr>
            <w:tr>
              <w:tc>
                <w:tcPr/>
                <w:p>
                  <w:pPr>
                    <w:pStyle w:val="Compact"/>
                    <w:jc w:val="left"/>
                    <w:jc w:val="center"/>
                  </w:pPr>
                  <w:r>
                    <w:t xml:space="preserve">Unknown</w:t>
                  </w:r>
                </w:p>
              </w:tc>
              <w:tc>
                <w:tcPr/>
                <w:p>
                  <w:pPr>
                    <w:pStyle w:val="Compact"/>
                    <w:jc w:val="left"/>
                    <w:jc w:val="center"/>
                  </w:pPr>
                  <w:r>
                    <w:t xml:space="preserve">≤10</w:t>
                  </w:r>
                </w:p>
              </w:tc>
              <w:tc>
                <w:tcPr/>
                <w:p>
                  <w:pPr>
                    <w:pStyle w:val="Compact"/>
                    <w:jc w:val="left"/>
                    <w:jc w:val="center"/>
                  </w:pPr>
                  <w:r>
                    <w:t xml:space="preserve">≤10</w:t>
                  </w:r>
                </w:p>
              </w:tc>
              <w:tc>
                <w:tcPr/>
                <w:p>
                  <w:pPr>
                    <w:pStyle w:val="Compact"/>
                    <w:jc w:val="left"/>
                    <w:jc w:val="center"/>
                  </w:pPr>
                  <w:r>
                    <w:t xml:space="preserve">≤10</w:t>
                  </w:r>
                </w:p>
              </w:tc>
              <w:tc>
                <w:tcPr/>
                <w:p>
                  <w:pPr>
                    <w:pStyle w:val="Compact"/>
                  </w:pPr>
                </w:p>
              </w:tc>
            </w:tr>
            <w:tr>
              <w:tc>
                <w:tcPr/>
                <w:p>
                  <w:pPr>
                    <w:pStyle w:val="Compact"/>
                    <w:jc w:val="left"/>
                    <w:jc w:val="center"/>
                  </w:pPr>
                  <w:r>
                    <w:t xml:space="preserve">Chronic comorbidity count (Elixhauser refined)</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0</w:t>
                  </w:r>
                </w:p>
              </w:tc>
              <w:tc>
                <w:tcPr/>
                <w:p>
                  <w:pPr>
                    <w:pStyle w:val="Compact"/>
                    <w:jc w:val="left"/>
                    <w:jc w:val="center"/>
                  </w:pPr>
                  <w:r>
                    <w:t xml:space="preserve">35%</w:t>
                  </w:r>
                </w:p>
              </w:tc>
              <w:tc>
                <w:tcPr/>
                <w:p>
                  <w:pPr>
                    <w:pStyle w:val="Compact"/>
                    <w:jc w:val="left"/>
                    <w:jc w:val="center"/>
                  </w:pPr>
                  <w:r>
                    <w:t xml:space="preserve">39%</w:t>
                  </w:r>
                </w:p>
              </w:tc>
              <w:tc>
                <w:tcPr/>
                <w:p>
                  <w:pPr>
                    <w:pStyle w:val="Compact"/>
                    <w:jc w:val="left"/>
                    <w:jc w:val="center"/>
                  </w:pPr>
                  <w:r>
                    <w:t xml:space="preserve">23%</w:t>
                  </w:r>
                </w:p>
              </w:tc>
              <w:tc>
                <w:tcPr/>
                <w:p>
                  <w:pPr>
                    <w:pStyle w:val="Compact"/>
                  </w:pPr>
                </w:p>
              </w:tc>
            </w:tr>
            <w:tr>
              <w:tc>
                <w:tcPr/>
                <w:p>
                  <w:pPr>
                    <w:pStyle w:val="Compact"/>
                    <w:jc w:val="left"/>
                    <w:jc w:val="center"/>
                  </w:pPr>
                  <w:r>
                    <w:t xml:space="preserve">1</w:t>
                  </w:r>
                </w:p>
              </w:tc>
              <w:tc>
                <w:tcPr/>
                <w:p>
                  <w:pPr>
                    <w:pStyle w:val="Compact"/>
                    <w:jc w:val="left"/>
                    <w:jc w:val="center"/>
                  </w:pPr>
                  <w:r>
                    <w:t xml:space="preserve">29%</w:t>
                  </w:r>
                </w:p>
              </w:tc>
              <w:tc>
                <w:tcPr/>
                <w:p>
                  <w:pPr>
                    <w:pStyle w:val="Compact"/>
                    <w:jc w:val="left"/>
                    <w:jc w:val="center"/>
                  </w:pPr>
                  <w:r>
                    <w:t xml:space="preserve">28%</w:t>
                  </w:r>
                </w:p>
              </w:tc>
              <w:tc>
                <w:tcPr/>
                <w:p>
                  <w:pPr>
                    <w:pStyle w:val="Compact"/>
                    <w:jc w:val="left"/>
                    <w:jc w:val="center"/>
                  </w:pPr>
                  <w:r>
                    <w:t xml:space="preserve">31%</w:t>
                  </w:r>
                </w:p>
              </w:tc>
              <w:tc>
                <w:tcPr/>
                <w:p>
                  <w:pPr>
                    <w:pStyle w:val="Compact"/>
                  </w:pPr>
                </w:p>
              </w:tc>
            </w:tr>
            <w:tr>
              <w:tc>
                <w:tcPr/>
                <w:p>
                  <w:pPr>
                    <w:pStyle w:val="Compact"/>
                    <w:jc w:val="left"/>
                    <w:jc w:val="center"/>
                  </w:pPr>
                  <w:r>
                    <w:t xml:space="preserve">2</w:t>
                  </w:r>
                </w:p>
              </w:tc>
              <w:tc>
                <w:tcPr/>
                <w:p>
                  <w:pPr>
                    <w:pStyle w:val="Compact"/>
                    <w:jc w:val="left"/>
                    <w:jc w:val="center"/>
                  </w:pPr>
                  <w:r>
                    <w:t xml:space="preserve">19%</w:t>
                  </w:r>
                </w:p>
              </w:tc>
              <w:tc>
                <w:tcPr/>
                <w:p>
                  <w:pPr>
                    <w:pStyle w:val="Compact"/>
                    <w:jc w:val="left"/>
                    <w:jc w:val="center"/>
                  </w:pPr>
                  <w:r>
                    <w:t xml:space="preserve">17%</w:t>
                  </w:r>
                </w:p>
              </w:tc>
              <w:tc>
                <w:tcPr/>
                <w:p>
                  <w:pPr>
                    <w:pStyle w:val="Compact"/>
                    <w:jc w:val="left"/>
                    <w:jc w:val="center"/>
                  </w:pPr>
                  <w:r>
                    <w:t xml:space="preserve">24%</w:t>
                  </w:r>
                </w:p>
              </w:tc>
              <w:tc>
                <w:tcPr/>
                <w:p>
                  <w:pPr>
                    <w:pStyle w:val="Compact"/>
                  </w:pPr>
                </w:p>
              </w:tc>
            </w:tr>
            <w:tr>
              <w:tc>
                <w:tcPr/>
                <w:p>
                  <w:pPr>
                    <w:pStyle w:val="Compact"/>
                    <w:jc w:val="left"/>
                    <w:jc w:val="center"/>
                  </w:pPr>
                  <w:r>
                    <w:t xml:space="preserve">&gt;=3</w:t>
                  </w:r>
                </w:p>
              </w:tc>
              <w:tc>
                <w:tcPr/>
                <w:p>
                  <w:pPr>
                    <w:pStyle w:val="Compact"/>
                    <w:jc w:val="left"/>
                    <w:jc w:val="center"/>
                  </w:pPr>
                  <w:r>
                    <w:t xml:space="preserve">17%</w:t>
                  </w:r>
                </w:p>
              </w:tc>
              <w:tc>
                <w:tcPr/>
                <w:p>
                  <w:pPr>
                    <w:pStyle w:val="Compact"/>
                    <w:jc w:val="left"/>
                    <w:jc w:val="center"/>
                  </w:pPr>
                  <w:r>
                    <w:t xml:space="preserve">16%</w:t>
                  </w:r>
                </w:p>
              </w:tc>
              <w:tc>
                <w:tcPr/>
                <w:p>
                  <w:pPr>
                    <w:pStyle w:val="Compact"/>
                    <w:jc w:val="left"/>
                    <w:jc w:val="center"/>
                  </w:pPr>
                  <w:r>
                    <w:t xml:space="preserve">22%</w:t>
                  </w:r>
                </w:p>
              </w:tc>
              <w:tc>
                <w:tcPr/>
                <w:p>
                  <w:pPr>
                    <w:pStyle w:val="Compact"/>
                  </w:pPr>
                </w:p>
              </w:tc>
            </w:tr>
            <w:tr>
              <w:tc>
                <w:tcPr/>
                <w:p>
                  <w:pPr>
                    <w:pStyle w:val="Compact"/>
                    <w:jc w:val="left"/>
                    <w:jc w:val="center"/>
                  </w:pPr>
                  <w:r>
                    <w:t xml:space="preserve">Unknown</w:t>
                  </w:r>
                </w:p>
              </w:tc>
              <w:tc>
                <w:tcPr/>
                <w:p>
                  <w:pPr>
                    <w:pStyle w:val="Compact"/>
                    <w:jc w:val="left"/>
                    <w:jc w:val="center"/>
                  </w:pPr>
                  <w:r>
                    <w:t xml:space="preserve">≤10</w:t>
                  </w:r>
                </w:p>
              </w:tc>
              <w:tc>
                <w:tcPr/>
                <w:p>
                  <w:pPr>
                    <w:pStyle w:val="Compact"/>
                    <w:jc w:val="left"/>
                    <w:jc w:val="center"/>
                  </w:pPr>
                  <w:r>
                    <w:t xml:space="preserve">≤10</w:t>
                  </w:r>
                </w:p>
              </w:tc>
              <w:tc>
                <w:tcPr/>
                <w:p>
                  <w:pPr>
                    <w:pStyle w:val="Compact"/>
                    <w:jc w:val="left"/>
                    <w:jc w:val="center"/>
                  </w:pPr>
                  <w:r>
                    <w:t xml:space="preserve">≤10</w:t>
                  </w:r>
                </w:p>
              </w:tc>
              <w:tc>
                <w:tcPr/>
                <w:p>
                  <w:pPr>
                    <w:pStyle w:val="Compact"/>
                  </w:pPr>
                </w:p>
              </w:tc>
            </w:tr>
            <w:tr>
              <w:tc>
                <w:tcPr/>
                <w:p>
                  <w:pPr>
                    <w:pStyle w:val="Compact"/>
                    <w:jc w:val="left"/>
                    <w:jc w:val="center"/>
                  </w:pPr>
                  <w:r>
                    <w:t xml:space="preserve">Hypertension</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0</w:t>
                  </w:r>
                </w:p>
              </w:tc>
              <w:tc>
                <w:tcPr/>
                <w:p>
                  <w:pPr>
                    <w:pStyle w:val="Compact"/>
                    <w:jc w:val="left"/>
                    <w:jc w:val="center"/>
                  </w:pPr>
                  <w:r>
                    <w:t xml:space="preserve">56%</w:t>
                  </w:r>
                </w:p>
              </w:tc>
              <w:tc>
                <w:tcPr/>
                <w:p>
                  <w:pPr>
                    <w:pStyle w:val="Compact"/>
                    <w:jc w:val="left"/>
                    <w:jc w:val="center"/>
                  </w:pPr>
                  <w:r>
                    <w:t xml:space="preserve">59%</w:t>
                  </w:r>
                </w:p>
              </w:tc>
              <w:tc>
                <w:tcPr/>
                <w:p>
                  <w:pPr>
                    <w:pStyle w:val="Compact"/>
                    <w:jc w:val="left"/>
                    <w:jc w:val="center"/>
                  </w:pPr>
                  <w:r>
                    <w:t xml:space="preserve">46%</w:t>
                  </w:r>
                </w:p>
              </w:tc>
              <w:tc>
                <w:tcPr/>
                <w:p>
                  <w:pPr>
                    <w:pStyle w:val="Compact"/>
                  </w:pPr>
                </w:p>
              </w:tc>
            </w:tr>
            <w:tr>
              <w:tc>
                <w:tcPr/>
                <w:p>
                  <w:pPr>
                    <w:pStyle w:val="Compact"/>
                    <w:jc w:val="left"/>
                    <w:jc w:val="center"/>
                  </w:pPr>
                  <w:r>
                    <w:t xml:space="preserve">1</w:t>
                  </w:r>
                </w:p>
              </w:tc>
              <w:tc>
                <w:tcPr/>
                <w:p>
                  <w:pPr>
                    <w:pStyle w:val="Compact"/>
                    <w:jc w:val="left"/>
                    <w:jc w:val="center"/>
                  </w:pPr>
                  <w:r>
                    <w:t xml:space="preserve">44%</w:t>
                  </w:r>
                </w:p>
              </w:tc>
              <w:tc>
                <w:tcPr/>
                <w:p>
                  <w:pPr>
                    <w:pStyle w:val="Compact"/>
                    <w:jc w:val="left"/>
                    <w:jc w:val="center"/>
                  </w:pPr>
                  <w:r>
                    <w:t xml:space="preserve">41%</w:t>
                  </w:r>
                </w:p>
              </w:tc>
              <w:tc>
                <w:tcPr/>
                <w:p>
                  <w:pPr>
                    <w:pStyle w:val="Compact"/>
                    <w:jc w:val="left"/>
                    <w:jc w:val="center"/>
                  </w:pPr>
                  <w:r>
                    <w:t xml:space="preserve">54%</w:t>
                  </w:r>
                </w:p>
              </w:tc>
              <w:tc>
                <w:tcPr/>
                <w:p>
                  <w:pPr>
                    <w:pStyle w:val="Compact"/>
                  </w:pPr>
                </w:p>
              </w:tc>
            </w:tr>
            <w:tr>
              <w:tc>
                <w:tcPr/>
                <w:p>
                  <w:pPr>
                    <w:pStyle w:val="Compact"/>
                    <w:jc w:val="left"/>
                    <w:jc w:val="center"/>
                  </w:pPr>
                  <w:r>
                    <w:t xml:space="preserve">Unknown</w:t>
                  </w:r>
                </w:p>
              </w:tc>
              <w:tc>
                <w:tcPr/>
                <w:p>
                  <w:pPr>
                    <w:pStyle w:val="Compact"/>
                    <w:jc w:val="left"/>
                    <w:jc w:val="center"/>
                  </w:pPr>
                  <w:r>
                    <w:t xml:space="preserve">≤10</w:t>
                  </w:r>
                </w:p>
              </w:tc>
              <w:tc>
                <w:tcPr/>
                <w:p>
                  <w:pPr>
                    <w:pStyle w:val="Compact"/>
                    <w:jc w:val="left"/>
                    <w:jc w:val="center"/>
                  </w:pPr>
                  <w:r>
                    <w:t xml:space="preserve">≤10</w:t>
                  </w:r>
                </w:p>
              </w:tc>
              <w:tc>
                <w:tcPr/>
                <w:p>
                  <w:pPr>
                    <w:pStyle w:val="Compact"/>
                    <w:jc w:val="left"/>
                    <w:jc w:val="center"/>
                  </w:pPr>
                  <w:r>
                    <w:t xml:space="preserve">≤10</w:t>
                  </w:r>
                </w:p>
              </w:tc>
              <w:tc>
                <w:tcPr/>
                <w:p>
                  <w:pPr>
                    <w:pStyle w:val="Compact"/>
                  </w:pPr>
                </w:p>
              </w:tc>
            </w:tr>
            <w:tr>
              <w:tc>
                <w:tcPr/>
                <w:p>
                  <w:pPr>
                    <w:pStyle w:val="Compact"/>
                    <w:jc w:val="left"/>
                    <w:jc w:val="center"/>
                  </w:pPr>
                  <w:r>
                    <w:t xml:space="preserve">Diabetes mellitus</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0</w:t>
                  </w:r>
                </w:p>
              </w:tc>
              <w:tc>
                <w:tcPr/>
                <w:p>
                  <w:pPr>
                    <w:pStyle w:val="Compact"/>
                    <w:jc w:val="left"/>
                    <w:jc w:val="center"/>
                  </w:pPr>
                  <w:r>
                    <w:t xml:space="preserve">89%</w:t>
                  </w:r>
                </w:p>
              </w:tc>
              <w:tc>
                <w:tcPr/>
                <w:p>
                  <w:pPr>
                    <w:pStyle w:val="Compact"/>
                    <w:jc w:val="left"/>
                    <w:jc w:val="center"/>
                  </w:pPr>
                  <w:r>
                    <w:t xml:space="preserve">89%</w:t>
                  </w:r>
                </w:p>
              </w:tc>
              <w:tc>
                <w:tcPr/>
                <w:p>
                  <w:pPr>
                    <w:pStyle w:val="Compact"/>
                    <w:jc w:val="left"/>
                    <w:jc w:val="center"/>
                  </w:pPr>
                  <w:r>
                    <w:t xml:space="preserve">89%</w:t>
                  </w:r>
                </w:p>
              </w:tc>
              <w:tc>
                <w:tcPr/>
                <w:p>
                  <w:pPr>
                    <w:pStyle w:val="Compact"/>
                  </w:pPr>
                </w:p>
              </w:tc>
            </w:tr>
            <w:tr>
              <w:tc>
                <w:tcPr/>
                <w:p>
                  <w:pPr>
                    <w:pStyle w:val="Compact"/>
                    <w:jc w:val="left"/>
                    <w:jc w:val="center"/>
                  </w:pPr>
                  <w:r>
                    <w:t xml:space="preserve">1</w:t>
                  </w:r>
                </w:p>
              </w:tc>
              <w:tc>
                <w:tcPr/>
                <w:p>
                  <w:pPr>
                    <w:pStyle w:val="Compact"/>
                    <w:jc w:val="left"/>
                    <w:jc w:val="center"/>
                  </w:pPr>
                  <w:r>
                    <w:t xml:space="preserve">11%</w:t>
                  </w:r>
                </w:p>
              </w:tc>
              <w:tc>
                <w:tcPr/>
                <w:p>
                  <w:pPr>
                    <w:pStyle w:val="Compact"/>
                    <w:jc w:val="left"/>
                    <w:jc w:val="center"/>
                  </w:pPr>
                  <w:r>
                    <w:t xml:space="preserve">11%</w:t>
                  </w:r>
                </w:p>
              </w:tc>
              <w:tc>
                <w:tcPr/>
                <w:p>
                  <w:pPr>
                    <w:pStyle w:val="Compact"/>
                    <w:jc w:val="left"/>
                    <w:jc w:val="center"/>
                  </w:pPr>
                  <w:r>
                    <w:t xml:space="preserve">11%</w:t>
                  </w:r>
                </w:p>
              </w:tc>
              <w:tc>
                <w:tcPr/>
                <w:p>
                  <w:pPr>
                    <w:pStyle w:val="Compact"/>
                  </w:pPr>
                </w:p>
              </w:tc>
            </w:tr>
            <w:tr>
              <w:tc>
                <w:tcPr/>
                <w:p>
                  <w:pPr>
                    <w:pStyle w:val="Compact"/>
                    <w:jc w:val="left"/>
                    <w:jc w:val="center"/>
                  </w:pPr>
                  <w:r>
                    <w:t xml:space="preserve">Unknown</w:t>
                  </w:r>
                </w:p>
              </w:tc>
              <w:tc>
                <w:tcPr/>
                <w:p>
                  <w:pPr>
                    <w:pStyle w:val="Compact"/>
                    <w:jc w:val="left"/>
                    <w:jc w:val="center"/>
                  </w:pPr>
                  <w:r>
                    <w:t xml:space="preserve">≤10</w:t>
                  </w:r>
                </w:p>
              </w:tc>
              <w:tc>
                <w:tcPr/>
                <w:p>
                  <w:pPr>
                    <w:pStyle w:val="Compact"/>
                    <w:jc w:val="left"/>
                    <w:jc w:val="center"/>
                  </w:pPr>
                  <w:r>
                    <w:t xml:space="preserve">≤10</w:t>
                  </w:r>
                </w:p>
              </w:tc>
              <w:tc>
                <w:tcPr/>
                <w:p>
                  <w:pPr>
                    <w:pStyle w:val="Compact"/>
                    <w:jc w:val="left"/>
                    <w:jc w:val="center"/>
                  </w:pPr>
                  <w:r>
                    <w:t xml:space="preserve">≤10</w:t>
                  </w:r>
                </w:p>
              </w:tc>
              <w:tc>
                <w:tcPr/>
                <w:p>
                  <w:pPr>
                    <w:pStyle w:val="Compact"/>
                  </w:pPr>
                </w:p>
              </w:tc>
            </w:tr>
            <w:tr>
              <w:tc>
                <w:tcPr/>
                <w:p>
                  <w:pPr>
                    <w:pStyle w:val="Compact"/>
                    <w:jc w:val="left"/>
                    <w:jc w:val="center"/>
                  </w:pPr>
                  <w:r>
                    <w:t xml:space="preserve">Chronic pulmonary disease</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0</w:t>
                  </w:r>
                </w:p>
              </w:tc>
              <w:tc>
                <w:tcPr/>
                <w:p>
                  <w:pPr>
                    <w:pStyle w:val="Compact"/>
                    <w:jc w:val="left"/>
                    <w:jc w:val="center"/>
                  </w:pPr>
                  <w:r>
                    <w:t xml:space="preserve">88%</w:t>
                  </w:r>
                </w:p>
              </w:tc>
              <w:tc>
                <w:tcPr/>
                <w:p>
                  <w:pPr>
                    <w:pStyle w:val="Compact"/>
                    <w:jc w:val="left"/>
                    <w:jc w:val="center"/>
                  </w:pPr>
                  <w:r>
                    <w:t xml:space="preserve">88%</w:t>
                  </w:r>
                </w:p>
              </w:tc>
              <w:tc>
                <w:tcPr/>
                <w:p>
                  <w:pPr>
                    <w:pStyle w:val="Compact"/>
                    <w:jc w:val="left"/>
                    <w:jc w:val="center"/>
                  </w:pPr>
                  <w:r>
                    <w:t xml:space="preserve">86%</w:t>
                  </w:r>
                </w:p>
              </w:tc>
              <w:tc>
                <w:tcPr/>
                <w:p>
                  <w:pPr>
                    <w:pStyle w:val="Compact"/>
                  </w:pPr>
                </w:p>
              </w:tc>
            </w:tr>
            <w:tr>
              <w:tc>
                <w:tcPr/>
                <w:p>
                  <w:pPr>
                    <w:pStyle w:val="Compact"/>
                    <w:jc w:val="left"/>
                    <w:jc w:val="center"/>
                  </w:pPr>
                  <w:r>
                    <w:t xml:space="preserve">1</w:t>
                  </w:r>
                </w:p>
              </w:tc>
              <w:tc>
                <w:tcPr/>
                <w:p>
                  <w:pPr>
                    <w:pStyle w:val="Compact"/>
                    <w:jc w:val="left"/>
                    <w:jc w:val="center"/>
                  </w:pPr>
                  <w:r>
                    <w:t xml:space="preserve">12%</w:t>
                  </w:r>
                </w:p>
              </w:tc>
              <w:tc>
                <w:tcPr/>
                <w:p>
                  <w:pPr>
                    <w:pStyle w:val="Compact"/>
                    <w:jc w:val="left"/>
                    <w:jc w:val="center"/>
                  </w:pPr>
                  <w:r>
                    <w:t xml:space="preserve">12%</w:t>
                  </w:r>
                </w:p>
              </w:tc>
              <w:tc>
                <w:tcPr/>
                <w:p>
                  <w:pPr>
                    <w:pStyle w:val="Compact"/>
                    <w:jc w:val="left"/>
                    <w:jc w:val="center"/>
                  </w:pPr>
                  <w:r>
                    <w:t xml:space="preserve">14%</w:t>
                  </w:r>
                </w:p>
              </w:tc>
              <w:tc>
                <w:tcPr/>
                <w:p>
                  <w:pPr>
                    <w:pStyle w:val="Compact"/>
                  </w:pPr>
                </w:p>
              </w:tc>
            </w:tr>
            <w:tr>
              <w:tc>
                <w:tcPr/>
                <w:p>
                  <w:pPr>
                    <w:pStyle w:val="Compact"/>
                    <w:jc w:val="left"/>
                    <w:jc w:val="center"/>
                  </w:pPr>
                  <w:r>
                    <w:t xml:space="preserve">Unknown</w:t>
                  </w:r>
                </w:p>
              </w:tc>
              <w:tc>
                <w:tcPr/>
                <w:p>
                  <w:pPr>
                    <w:pStyle w:val="Compact"/>
                    <w:jc w:val="left"/>
                    <w:jc w:val="center"/>
                  </w:pPr>
                  <w:r>
                    <w:t xml:space="preserve">≤10</w:t>
                  </w:r>
                </w:p>
              </w:tc>
              <w:tc>
                <w:tcPr/>
                <w:p>
                  <w:pPr>
                    <w:pStyle w:val="Compact"/>
                    <w:jc w:val="left"/>
                    <w:jc w:val="center"/>
                  </w:pPr>
                  <w:r>
                    <w:t xml:space="preserve">≤10</w:t>
                  </w:r>
                </w:p>
              </w:tc>
              <w:tc>
                <w:tcPr/>
                <w:p>
                  <w:pPr>
                    <w:pStyle w:val="Compact"/>
                    <w:jc w:val="left"/>
                    <w:jc w:val="center"/>
                  </w:pPr>
                  <w:r>
                    <w:t xml:space="preserve">≤10</w:t>
                  </w:r>
                </w:p>
              </w:tc>
              <w:tc>
                <w:tcPr/>
                <w:p>
                  <w:pPr>
                    <w:pStyle w:val="Compact"/>
                  </w:pPr>
                </w:p>
              </w:tc>
            </w:tr>
            <w:tr>
              <w:tc>
                <w:tcPr/>
                <w:p>
                  <w:pPr>
                    <w:pStyle w:val="Compact"/>
                    <w:jc w:val="left"/>
                    <w:jc w:val="center"/>
                  </w:pPr>
                  <w:r>
                    <w:t xml:space="preserve">Heart failure</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0</w:t>
                  </w:r>
                </w:p>
              </w:tc>
              <w:tc>
                <w:tcPr/>
                <w:p>
                  <w:pPr>
                    <w:pStyle w:val="Compact"/>
                    <w:jc w:val="left"/>
                    <w:jc w:val="center"/>
                  </w:pPr>
                  <w:r>
                    <w:t xml:space="preserve">95%</w:t>
                  </w:r>
                </w:p>
              </w:tc>
              <w:tc>
                <w:tcPr/>
                <w:p>
                  <w:pPr>
                    <w:pStyle w:val="Compact"/>
                    <w:jc w:val="left"/>
                    <w:jc w:val="center"/>
                  </w:pPr>
                  <w:r>
                    <w:t xml:space="preserve">96%</w:t>
                  </w:r>
                </w:p>
              </w:tc>
              <w:tc>
                <w:tcPr/>
                <w:p>
                  <w:pPr>
                    <w:pStyle w:val="Compact"/>
                    <w:jc w:val="left"/>
                    <w:jc w:val="center"/>
                  </w:pPr>
                  <w:r>
                    <w:t xml:space="preserve">93%</w:t>
                  </w:r>
                </w:p>
              </w:tc>
              <w:tc>
                <w:tcPr/>
                <w:p>
                  <w:pPr>
                    <w:pStyle w:val="Compact"/>
                  </w:pPr>
                </w:p>
              </w:tc>
            </w:tr>
            <w:tr>
              <w:tc>
                <w:tcPr/>
                <w:p>
                  <w:pPr>
                    <w:pStyle w:val="Compact"/>
                    <w:jc w:val="left"/>
                    <w:jc w:val="center"/>
                  </w:pPr>
                  <w:r>
                    <w:t xml:space="preserve">1</w:t>
                  </w:r>
                </w:p>
              </w:tc>
              <w:tc>
                <w:tcPr/>
                <w:p>
                  <w:pPr>
                    <w:pStyle w:val="Compact"/>
                    <w:jc w:val="left"/>
                    <w:jc w:val="center"/>
                  </w:pPr>
                  <w:r>
                    <w:t xml:space="preserve">4.9%</w:t>
                  </w:r>
                </w:p>
              </w:tc>
              <w:tc>
                <w:tcPr/>
                <w:p>
                  <w:pPr>
                    <w:pStyle w:val="Compact"/>
                    <w:jc w:val="left"/>
                    <w:jc w:val="center"/>
                  </w:pPr>
                  <w:r>
                    <w:t xml:space="preserve">4.3%</w:t>
                  </w:r>
                </w:p>
              </w:tc>
              <w:tc>
                <w:tcPr/>
                <w:p>
                  <w:pPr>
                    <w:pStyle w:val="Compact"/>
                    <w:jc w:val="left"/>
                    <w:jc w:val="center"/>
                  </w:pPr>
                  <w:r>
                    <w:t xml:space="preserve">6.7%</w:t>
                  </w:r>
                </w:p>
              </w:tc>
              <w:tc>
                <w:tcPr/>
                <w:p>
                  <w:pPr>
                    <w:pStyle w:val="Compact"/>
                  </w:pPr>
                </w:p>
              </w:tc>
            </w:tr>
            <w:tr>
              <w:tc>
                <w:tcPr/>
                <w:p>
                  <w:pPr>
                    <w:pStyle w:val="Compact"/>
                    <w:jc w:val="left"/>
                    <w:jc w:val="center"/>
                  </w:pPr>
                  <w:r>
                    <w:t xml:space="preserve">Unknown</w:t>
                  </w:r>
                </w:p>
              </w:tc>
              <w:tc>
                <w:tcPr/>
                <w:p>
                  <w:pPr>
                    <w:pStyle w:val="Compact"/>
                    <w:jc w:val="left"/>
                    <w:jc w:val="center"/>
                  </w:pPr>
                  <w:r>
                    <w:t xml:space="preserve">≤10</w:t>
                  </w:r>
                </w:p>
              </w:tc>
              <w:tc>
                <w:tcPr/>
                <w:p>
                  <w:pPr>
                    <w:pStyle w:val="Compact"/>
                    <w:jc w:val="left"/>
                    <w:jc w:val="center"/>
                  </w:pPr>
                  <w:r>
                    <w:t xml:space="preserve">≤10</w:t>
                  </w:r>
                </w:p>
              </w:tc>
              <w:tc>
                <w:tcPr/>
                <w:p>
                  <w:pPr>
                    <w:pStyle w:val="Compact"/>
                    <w:jc w:val="left"/>
                    <w:jc w:val="center"/>
                  </w:pPr>
                  <w:r>
                    <w:t xml:space="preserve">≤10</w:t>
                  </w:r>
                </w:p>
              </w:tc>
              <w:tc>
                <w:tcPr/>
                <w:p>
                  <w:pPr>
                    <w:pStyle w:val="Compact"/>
                  </w:pPr>
                </w:p>
              </w:tc>
            </w:tr>
            <w:tr>
              <w:tc>
                <w:tcPr/>
                <w:p>
                  <w:pPr>
                    <w:pStyle w:val="Compact"/>
                    <w:jc w:val="left"/>
                    <w:jc w:val="center"/>
                  </w:pPr>
                  <w:r>
                    <w:t xml:space="preserve">Chronic kidney disease</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0</w:t>
                  </w:r>
                </w:p>
              </w:tc>
              <w:tc>
                <w:tcPr/>
                <w:p>
                  <w:pPr>
                    <w:pStyle w:val="Compact"/>
                    <w:jc w:val="left"/>
                    <w:jc w:val="center"/>
                  </w:pPr>
                  <w:r>
                    <w:t xml:space="preserve">97%</w:t>
                  </w:r>
                </w:p>
              </w:tc>
              <w:tc>
                <w:tcPr/>
                <w:p>
                  <w:pPr>
                    <w:pStyle w:val="Compact"/>
                    <w:jc w:val="left"/>
                    <w:jc w:val="center"/>
                  </w:pPr>
                  <w:r>
                    <w:t xml:space="preserve">97%</w:t>
                  </w:r>
                </w:p>
              </w:tc>
              <w:tc>
                <w:tcPr/>
                <w:p>
                  <w:pPr>
                    <w:pStyle w:val="Compact"/>
                    <w:jc w:val="left"/>
                    <w:jc w:val="center"/>
                  </w:pPr>
                  <w:r>
                    <w:t xml:space="preserve">97%</w:t>
                  </w:r>
                </w:p>
              </w:tc>
              <w:tc>
                <w:tcPr/>
                <w:p>
                  <w:pPr>
                    <w:pStyle w:val="Compact"/>
                  </w:pPr>
                </w:p>
              </w:tc>
            </w:tr>
            <w:tr>
              <w:tc>
                <w:tcPr/>
                <w:p>
                  <w:pPr>
                    <w:pStyle w:val="Compact"/>
                    <w:jc w:val="left"/>
                    <w:jc w:val="center"/>
                  </w:pPr>
                  <w:r>
                    <w:t xml:space="preserve">1</w:t>
                  </w:r>
                </w:p>
              </w:tc>
              <w:tc>
                <w:tcPr/>
                <w:p>
                  <w:pPr>
                    <w:pStyle w:val="Compact"/>
                    <w:jc w:val="left"/>
                    <w:jc w:val="center"/>
                  </w:pPr>
                  <w:r>
                    <w:t xml:space="preserve">3.1%</w:t>
                  </w:r>
                </w:p>
              </w:tc>
              <w:tc>
                <w:tcPr/>
                <w:p>
                  <w:pPr>
                    <w:pStyle w:val="Compact"/>
                    <w:jc w:val="left"/>
                    <w:jc w:val="center"/>
                  </w:pPr>
                  <w:r>
                    <w:t xml:space="preserve">3.2%</w:t>
                  </w:r>
                </w:p>
              </w:tc>
              <w:tc>
                <w:tcPr/>
                <w:p>
                  <w:pPr>
                    <w:pStyle w:val="Compact"/>
                    <w:jc w:val="left"/>
                    <w:jc w:val="center"/>
                  </w:pPr>
                  <w:r>
                    <w:t xml:space="preserve">3.0%</w:t>
                  </w:r>
                </w:p>
              </w:tc>
              <w:tc>
                <w:tcPr/>
                <w:p>
                  <w:pPr>
                    <w:pStyle w:val="Compact"/>
                  </w:pPr>
                </w:p>
              </w:tc>
            </w:tr>
            <w:tr>
              <w:tc>
                <w:tcPr/>
                <w:p>
                  <w:pPr>
                    <w:pStyle w:val="Compact"/>
                    <w:jc w:val="left"/>
                    <w:jc w:val="center"/>
                  </w:pPr>
                  <w:r>
                    <w:t xml:space="preserve">Unknown</w:t>
                  </w:r>
                </w:p>
              </w:tc>
              <w:tc>
                <w:tcPr/>
                <w:p>
                  <w:pPr>
                    <w:pStyle w:val="Compact"/>
                    <w:jc w:val="left"/>
                    <w:jc w:val="center"/>
                  </w:pPr>
                  <w:r>
                    <w:t xml:space="preserve">≤10</w:t>
                  </w:r>
                </w:p>
              </w:tc>
              <w:tc>
                <w:tcPr/>
                <w:p>
                  <w:pPr>
                    <w:pStyle w:val="Compact"/>
                    <w:jc w:val="left"/>
                    <w:jc w:val="center"/>
                  </w:pPr>
                  <w:r>
                    <w:t xml:space="preserve">≤10</w:t>
                  </w:r>
                </w:p>
              </w:tc>
              <w:tc>
                <w:tcPr/>
                <w:p>
                  <w:pPr>
                    <w:pStyle w:val="Compact"/>
                    <w:jc w:val="left"/>
                    <w:jc w:val="center"/>
                  </w:pPr>
                  <w:r>
                    <w:t xml:space="preserve">≤10</w:t>
                  </w:r>
                </w:p>
              </w:tc>
              <w:tc>
                <w:tcPr/>
                <w:p>
                  <w:pPr>
                    <w:pStyle w:val="Compact"/>
                  </w:pPr>
                </w:p>
              </w:tc>
            </w:tr>
            <w:tr>
              <w:tc>
                <w:tcPr/>
                <w:p>
                  <w:pPr>
                    <w:pStyle w:val="Compact"/>
                    <w:jc w:val="left"/>
                    <w:jc w:val="center"/>
                  </w:pPr>
                  <w:r>
                    <w:t xml:space="preserve">Depression</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0</w:t>
                  </w:r>
                </w:p>
              </w:tc>
              <w:tc>
                <w:tcPr/>
                <w:p>
                  <w:pPr>
                    <w:pStyle w:val="Compact"/>
                    <w:jc w:val="left"/>
                    <w:jc w:val="center"/>
                  </w:pPr>
                  <w:r>
                    <w:t xml:space="preserve">87%</w:t>
                  </w:r>
                </w:p>
              </w:tc>
              <w:tc>
                <w:tcPr/>
                <w:p>
                  <w:pPr>
                    <w:pStyle w:val="Compact"/>
                    <w:jc w:val="left"/>
                    <w:jc w:val="center"/>
                  </w:pPr>
                  <w:r>
                    <w:t xml:space="preserve">88%</w:t>
                  </w:r>
                </w:p>
              </w:tc>
              <w:tc>
                <w:tcPr/>
                <w:p>
                  <w:pPr>
                    <w:pStyle w:val="Compact"/>
                    <w:jc w:val="left"/>
                    <w:jc w:val="center"/>
                  </w:pPr>
                  <w:r>
                    <w:t xml:space="preserve">82%</w:t>
                  </w:r>
                </w:p>
              </w:tc>
              <w:tc>
                <w:tcPr/>
                <w:p>
                  <w:pPr>
                    <w:pStyle w:val="Compact"/>
                  </w:pPr>
                </w:p>
              </w:tc>
            </w:tr>
            <w:tr>
              <w:tc>
                <w:tcPr/>
                <w:p>
                  <w:pPr>
                    <w:pStyle w:val="Compact"/>
                    <w:jc w:val="left"/>
                    <w:jc w:val="center"/>
                  </w:pPr>
                  <w:r>
                    <w:t xml:space="preserve">1</w:t>
                  </w:r>
                </w:p>
              </w:tc>
              <w:tc>
                <w:tcPr/>
                <w:p>
                  <w:pPr>
                    <w:pStyle w:val="Compact"/>
                    <w:jc w:val="left"/>
                    <w:jc w:val="center"/>
                  </w:pPr>
                  <w:r>
                    <w:t xml:space="preserve">13%</w:t>
                  </w:r>
                </w:p>
              </w:tc>
              <w:tc>
                <w:tcPr/>
                <w:p>
                  <w:pPr>
                    <w:pStyle w:val="Compact"/>
                    <w:jc w:val="left"/>
                    <w:jc w:val="center"/>
                  </w:pPr>
                  <w:r>
                    <w:t xml:space="preserve">12%</w:t>
                  </w:r>
                </w:p>
              </w:tc>
              <w:tc>
                <w:tcPr/>
                <w:p>
                  <w:pPr>
                    <w:pStyle w:val="Compact"/>
                    <w:jc w:val="left"/>
                    <w:jc w:val="center"/>
                  </w:pPr>
                  <w:r>
                    <w:t xml:space="preserve">18%</w:t>
                  </w:r>
                </w:p>
              </w:tc>
              <w:tc>
                <w:tcPr/>
                <w:p>
                  <w:pPr>
                    <w:pStyle w:val="Compact"/>
                  </w:pPr>
                </w:p>
              </w:tc>
            </w:tr>
            <w:tr>
              <w:tc>
                <w:tcPr/>
                <w:p>
                  <w:pPr>
                    <w:pStyle w:val="Compact"/>
                    <w:jc w:val="left"/>
                    <w:jc w:val="center"/>
                  </w:pPr>
                  <w:r>
                    <w:t xml:space="preserve">Unknown</w:t>
                  </w:r>
                </w:p>
              </w:tc>
              <w:tc>
                <w:tcPr/>
                <w:p>
                  <w:pPr>
                    <w:pStyle w:val="Compact"/>
                    <w:jc w:val="left"/>
                    <w:jc w:val="center"/>
                  </w:pPr>
                  <w:r>
                    <w:t xml:space="preserve">≤10</w:t>
                  </w:r>
                </w:p>
              </w:tc>
              <w:tc>
                <w:tcPr/>
                <w:p>
                  <w:pPr>
                    <w:pStyle w:val="Compact"/>
                    <w:jc w:val="left"/>
                    <w:jc w:val="center"/>
                  </w:pPr>
                  <w:r>
                    <w:t xml:space="preserve">≤10</w:t>
                  </w:r>
                </w:p>
              </w:tc>
              <w:tc>
                <w:tcPr/>
                <w:p>
                  <w:pPr>
                    <w:pStyle w:val="Compact"/>
                    <w:jc w:val="left"/>
                    <w:jc w:val="center"/>
                  </w:pPr>
                  <w:r>
                    <w:t xml:space="preserve">≤10</w:t>
                  </w:r>
                </w:p>
              </w:tc>
              <w:tc>
                <w:tcPr/>
                <w:p>
                  <w:pPr>
                    <w:pStyle w:val="Compact"/>
                  </w:pPr>
                </w:p>
              </w:tc>
            </w:tr>
            <w:tr>
              <w:tc>
                <w:tcPr/>
                <w:p>
                  <w:pPr>
                    <w:pStyle w:val="Compact"/>
                    <w:jc w:val="left"/>
                    <w:jc w:val="center"/>
                  </w:pPr>
                  <w:r>
                    <w:t xml:space="preserve">Obesity</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0</w:t>
                  </w:r>
                </w:p>
              </w:tc>
              <w:tc>
                <w:tcPr/>
                <w:p>
                  <w:pPr>
                    <w:pStyle w:val="Compact"/>
                    <w:jc w:val="left"/>
                    <w:jc w:val="center"/>
                  </w:pPr>
                  <w:r>
                    <w:t xml:space="preserve">94%</w:t>
                  </w:r>
                </w:p>
              </w:tc>
              <w:tc>
                <w:tcPr/>
                <w:p>
                  <w:pPr>
                    <w:pStyle w:val="Compact"/>
                    <w:jc w:val="left"/>
                    <w:jc w:val="center"/>
                  </w:pPr>
                  <w:r>
                    <w:t xml:space="preserve">94%</w:t>
                  </w:r>
                </w:p>
              </w:tc>
              <w:tc>
                <w:tcPr/>
                <w:p>
                  <w:pPr>
                    <w:pStyle w:val="Compact"/>
                    <w:jc w:val="left"/>
                    <w:jc w:val="center"/>
                  </w:pPr>
                  <w:r>
                    <w:t xml:space="preserve">95%</w:t>
                  </w:r>
                </w:p>
              </w:tc>
              <w:tc>
                <w:tcPr/>
                <w:p>
                  <w:pPr>
                    <w:pStyle w:val="Compact"/>
                  </w:pPr>
                </w:p>
              </w:tc>
            </w:tr>
            <w:tr>
              <w:tc>
                <w:tcPr/>
                <w:p>
                  <w:pPr>
                    <w:pStyle w:val="Compact"/>
                    <w:jc w:val="left"/>
                    <w:jc w:val="center"/>
                  </w:pPr>
                  <w:r>
                    <w:t xml:space="preserve">1</w:t>
                  </w:r>
                </w:p>
              </w:tc>
              <w:tc>
                <w:tcPr/>
                <w:p>
                  <w:pPr>
                    <w:pStyle w:val="Compact"/>
                    <w:jc w:val="left"/>
                    <w:jc w:val="center"/>
                  </w:pPr>
                  <w:r>
                    <w:t xml:space="preserve">5.6%</w:t>
                  </w:r>
                </w:p>
              </w:tc>
              <w:tc>
                <w:tcPr/>
                <w:p>
                  <w:pPr>
                    <w:pStyle w:val="Compact"/>
                    <w:jc w:val="left"/>
                    <w:jc w:val="center"/>
                  </w:pPr>
                  <w:r>
                    <w:t xml:space="preserve">5.6%</w:t>
                  </w:r>
                </w:p>
              </w:tc>
              <w:tc>
                <w:tcPr/>
                <w:p>
                  <w:pPr>
                    <w:pStyle w:val="Compact"/>
                    <w:jc w:val="left"/>
                    <w:jc w:val="center"/>
                  </w:pPr>
                  <w:r>
                    <w:t xml:space="preserve">5.4%</w:t>
                  </w:r>
                </w:p>
              </w:tc>
              <w:tc>
                <w:tcPr/>
                <w:p>
                  <w:pPr>
                    <w:pStyle w:val="Compact"/>
                  </w:pPr>
                </w:p>
              </w:tc>
            </w:tr>
            <w:tr>
              <w:tc>
                <w:tcPr/>
                <w:p>
                  <w:pPr>
                    <w:pStyle w:val="Compact"/>
                    <w:jc w:val="left"/>
                    <w:jc w:val="center"/>
                  </w:pPr>
                  <w:r>
                    <w:t xml:space="preserve">Unknown</w:t>
                  </w:r>
                </w:p>
              </w:tc>
              <w:tc>
                <w:tcPr/>
                <w:p>
                  <w:pPr>
                    <w:pStyle w:val="Compact"/>
                    <w:jc w:val="left"/>
                    <w:jc w:val="center"/>
                  </w:pPr>
                  <w:r>
                    <w:t xml:space="preserve">≤10</w:t>
                  </w:r>
                </w:p>
              </w:tc>
              <w:tc>
                <w:tcPr/>
                <w:p>
                  <w:pPr>
                    <w:pStyle w:val="Compact"/>
                    <w:jc w:val="left"/>
                    <w:jc w:val="center"/>
                  </w:pPr>
                  <w:r>
                    <w:t xml:space="preserve">≤10</w:t>
                  </w:r>
                </w:p>
              </w:tc>
              <w:tc>
                <w:tcPr/>
                <w:p>
                  <w:pPr>
                    <w:pStyle w:val="Compact"/>
                    <w:jc w:val="left"/>
                    <w:jc w:val="center"/>
                  </w:pPr>
                  <w:r>
                    <w:t xml:space="preserve">≤10</w:t>
                  </w:r>
                </w:p>
              </w:tc>
              <w:tc>
                <w:tcPr/>
                <w:p>
                  <w:pPr>
                    <w:pStyle w:val="Compact"/>
                  </w:pPr>
                </w:p>
              </w:tc>
            </w:tr>
            <w:tr>
              <w:tc>
                <w:tcPr/>
                <w:p>
                  <w:pPr>
                    <w:pStyle w:val="Compact"/>
                    <w:jc w:val="left"/>
                    <w:jc w:val="center"/>
                  </w:pPr>
                  <w:r>
                    <w:t xml:space="preserve">Any liver disease (K70–K77)</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0</w:t>
                  </w:r>
                </w:p>
              </w:tc>
              <w:tc>
                <w:tcPr/>
                <w:p>
                  <w:pPr>
                    <w:pStyle w:val="Compact"/>
                    <w:jc w:val="left"/>
                    <w:jc w:val="center"/>
                  </w:pPr>
                  <w:r>
                    <w:t xml:space="preserve">86%</w:t>
                  </w:r>
                </w:p>
              </w:tc>
              <w:tc>
                <w:tcPr/>
                <w:p>
                  <w:pPr>
                    <w:pStyle w:val="Compact"/>
                    <w:jc w:val="left"/>
                    <w:jc w:val="center"/>
                  </w:pPr>
                  <w:r>
                    <w:t xml:space="preserve">90%</w:t>
                  </w:r>
                </w:p>
              </w:tc>
              <w:tc>
                <w:tcPr/>
                <w:p>
                  <w:pPr>
                    <w:pStyle w:val="Compact"/>
                    <w:jc w:val="left"/>
                    <w:jc w:val="center"/>
                  </w:pPr>
                  <w:r>
                    <w:t xml:space="preserve">74%</w:t>
                  </w:r>
                </w:p>
              </w:tc>
              <w:tc>
                <w:tcPr/>
                <w:p>
                  <w:pPr>
                    <w:pStyle w:val="Compact"/>
                  </w:pPr>
                </w:p>
              </w:tc>
            </w:tr>
            <w:tr>
              <w:tc>
                <w:tcPr/>
                <w:p>
                  <w:pPr>
                    <w:pStyle w:val="Compact"/>
                    <w:jc w:val="left"/>
                    <w:jc w:val="center"/>
                  </w:pPr>
                  <w:r>
                    <w:t xml:space="preserve">1</w:t>
                  </w:r>
                </w:p>
              </w:tc>
              <w:tc>
                <w:tcPr/>
                <w:p>
                  <w:pPr>
                    <w:pStyle w:val="Compact"/>
                    <w:jc w:val="left"/>
                    <w:jc w:val="center"/>
                  </w:pPr>
                  <w:r>
                    <w:t xml:space="preserve">14%</w:t>
                  </w:r>
                </w:p>
              </w:tc>
              <w:tc>
                <w:tcPr/>
                <w:p>
                  <w:pPr>
                    <w:pStyle w:val="Compact"/>
                    <w:jc w:val="left"/>
                    <w:jc w:val="center"/>
                  </w:pPr>
                  <w:r>
                    <w:t xml:space="preserve">10%</w:t>
                  </w:r>
                </w:p>
              </w:tc>
              <w:tc>
                <w:tcPr/>
                <w:p>
                  <w:pPr>
                    <w:pStyle w:val="Compact"/>
                    <w:jc w:val="left"/>
                    <w:jc w:val="center"/>
                  </w:pPr>
                  <w:r>
                    <w:t xml:space="preserve">26%</w:t>
                  </w:r>
                </w:p>
              </w:tc>
              <w:tc>
                <w:tcPr/>
                <w:p>
                  <w:pPr>
                    <w:pStyle w:val="Compact"/>
                  </w:pPr>
                </w:p>
              </w:tc>
            </w:tr>
            <w:tr>
              <w:tc>
                <w:tcPr/>
                <w:p>
                  <w:pPr>
                    <w:pStyle w:val="Compact"/>
                    <w:jc w:val="left"/>
                    <w:jc w:val="center"/>
                  </w:pPr>
                  <w:r>
                    <w:t xml:space="preserve">Unknown</w:t>
                  </w:r>
                </w:p>
              </w:tc>
              <w:tc>
                <w:tcPr/>
                <w:p>
                  <w:pPr>
                    <w:pStyle w:val="Compact"/>
                    <w:jc w:val="left"/>
                    <w:jc w:val="center"/>
                  </w:pPr>
                  <w:r>
                    <w:t xml:space="preserve">≤10</w:t>
                  </w:r>
                </w:p>
              </w:tc>
              <w:tc>
                <w:tcPr/>
                <w:p>
                  <w:pPr>
                    <w:pStyle w:val="Compact"/>
                    <w:jc w:val="left"/>
                    <w:jc w:val="center"/>
                  </w:pPr>
                  <w:r>
                    <w:t xml:space="preserve">≤10</w:t>
                  </w:r>
                </w:p>
              </w:tc>
              <w:tc>
                <w:tcPr/>
                <w:p>
                  <w:pPr>
                    <w:pStyle w:val="Compact"/>
                    <w:jc w:val="left"/>
                    <w:jc w:val="center"/>
                  </w:pPr>
                  <w:r>
                    <w:t xml:space="preserve">≤10</w:t>
                  </w:r>
                </w:p>
              </w:tc>
              <w:tc>
                <w:tcPr/>
                <w:p>
                  <w:pPr>
                    <w:pStyle w:val="Compact"/>
                  </w:pPr>
                </w:p>
              </w:tc>
            </w:tr>
            <w:tr>
              <w:tc>
                <w:tcPr/>
                <w:p>
                  <w:pPr>
                    <w:pStyle w:val="Compact"/>
                    <w:jc w:val="left"/>
                    <w:jc w:val="center"/>
                  </w:pPr>
                  <w:r>
                    <w:t xml:space="preserve">Alcoholic liver disease (K70)</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0</w:t>
                  </w:r>
                </w:p>
              </w:tc>
              <w:tc>
                <w:tcPr/>
                <w:p>
                  <w:pPr>
                    <w:pStyle w:val="Compact"/>
                    <w:jc w:val="left"/>
                    <w:jc w:val="center"/>
                  </w:pPr>
                  <w:r>
                    <w:t xml:space="preserve">91%</w:t>
                  </w:r>
                </w:p>
              </w:tc>
              <w:tc>
                <w:tcPr/>
                <w:p>
                  <w:pPr>
                    <w:pStyle w:val="Compact"/>
                    <w:jc w:val="left"/>
                    <w:jc w:val="center"/>
                  </w:pPr>
                  <w:r>
                    <w:t xml:space="preserve">94%</w:t>
                  </w:r>
                </w:p>
              </w:tc>
              <w:tc>
                <w:tcPr/>
                <w:p>
                  <w:pPr>
                    <w:pStyle w:val="Compact"/>
                    <w:jc w:val="left"/>
                    <w:jc w:val="center"/>
                  </w:pPr>
                  <w:r>
                    <w:t xml:space="preserve">82%</w:t>
                  </w:r>
                </w:p>
              </w:tc>
              <w:tc>
                <w:tcPr/>
                <w:p>
                  <w:pPr>
                    <w:pStyle w:val="Compact"/>
                  </w:pPr>
                </w:p>
              </w:tc>
            </w:tr>
            <w:tr>
              <w:tc>
                <w:tcPr/>
                <w:p>
                  <w:pPr>
                    <w:pStyle w:val="Compact"/>
                    <w:jc w:val="left"/>
                    <w:jc w:val="center"/>
                  </w:pPr>
                  <w:r>
                    <w:t xml:space="preserve">1</w:t>
                  </w:r>
                </w:p>
              </w:tc>
              <w:tc>
                <w:tcPr/>
                <w:p>
                  <w:pPr>
                    <w:pStyle w:val="Compact"/>
                    <w:jc w:val="left"/>
                    <w:jc w:val="center"/>
                  </w:pPr>
                  <w:r>
                    <w:t xml:space="preserve">8.6%</w:t>
                  </w:r>
                </w:p>
              </w:tc>
              <w:tc>
                <w:tcPr/>
                <w:p>
                  <w:pPr>
                    <w:pStyle w:val="Compact"/>
                    <w:jc w:val="left"/>
                    <w:jc w:val="center"/>
                  </w:pPr>
                  <w:r>
                    <w:t xml:space="preserve">5.9%</w:t>
                  </w:r>
                </w:p>
              </w:tc>
              <w:tc>
                <w:tcPr/>
                <w:p>
                  <w:pPr>
                    <w:pStyle w:val="Compact"/>
                    <w:jc w:val="left"/>
                    <w:jc w:val="center"/>
                  </w:pPr>
                  <w:r>
                    <w:t xml:space="preserve">18%</w:t>
                  </w:r>
                </w:p>
              </w:tc>
              <w:tc>
                <w:tcPr/>
                <w:p>
                  <w:pPr>
                    <w:pStyle w:val="Compact"/>
                  </w:pPr>
                </w:p>
              </w:tc>
            </w:tr>
            <w:tr>
              <w:tc>
                <w:tcPr/>
                <w:p>
                  <w:pPr>
                    <w:pStyle w:val="Compact"/>
                    <w:jc w:val="left"/>
                    <w:jc w:val="center"/>
                  </w:pPr>
                  <w:r>
                    <w:t xml:space="preserve">Unknown</w:t>
                  </w:r>
                </w:p>
              </w:tc>
              <w:tc>
                <w:tcPr/>
                <w:p>
                  <w:pPr>
                    <w:pStyle w:val="Compact"/>
                    <w:jc w:val="left"/>
                    <w:jc w:val="center"/>
                  </w:pPr>
                  <w:r>
                    <w:t xml:space="preserve">≤10</w:t>
                  </w:r>
                </w:p>
              </w:tc>
              <w:tc>
                <w:tcPr/>
                <w:p>
                  <w:pPr>
                    <w:pStyle w:val="Compact"/>
                    <w:jc w:val="left"/>
                    <w:jc w:val="center"/>
                  </w:pPr>
                  <w:r>
                    <w:t xml:space="preserve">≤10</w:t>
                  </w:r>
                </w:p>
              </w:tc>
              <w:tc>
                <w:tcPr/>
                <w:p>
                  <w:pPr>
                    <w:pStyle w:val="Compact"/>
                    <w:jc w:val="left"/>
                    <w:jc w:val="center"/>
                  </w:pPr>
                  <w:r>
                    <w:t xml:space="preserve">≤10</w:t>
                  </w:r>
                </w:p>
              </w:tc>
              <w:tc>
                <w:tcPr/>
                <w:p>
                  <w:pPr>
                    <w:pStyle w:val="Compact"/>
                  </w:pPr>
                </w:p>
              </w:tc>
            </w:tr>
            <w:tr>
              <w:tc>
                <w:tcPr/>
                <w:p>
                  <w:pPr>
                    <w:pStyle w:val="Compact"/>
                    <w:jc w:val="left"/>
                    <w:jc w:val="center"/>
                  </w:pPr>
                  <w:r>
                    <w:t xml:space="preserve">Other substance use disorder</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0</w:t>
                  </w:r>
                </w:p>
              </w:tc>
              <w:tc>
                <w:tcPr/>
                <w:p>
                  <w:pPr>
                    <w:pStyle w:val="Compact"/>
                    <w:jc w:val="left"/>
                    <w:jc w:val="center"/>
                  </w:pPr>
                  <w:r>
                    <w:t xml:space="preserve">84%</w:t>
                  </w:r>
                </w:p>
              </w:tc>
              <w:tc>
                <w:tcPr/>
                <w:p>
                  <w:pPr>
                    <w:pStyle w:val="Compact"/>
                    <w:jc w:val="left"/>
                    <w:jc w:val="center"/>
                  </w:pPr>
                  <w:r>
                    <w:t xml:space="preserve">83%</w:t>
                  </w:r>
                </w:p>
              </w:tc>
              <w:tc>
                <w:tcPr/>
                <w:p>
                  <w:pPr>
                    <w:pStyle w:val="Compact"/>
                    <w:jc w:val="left"/>
                    <w:jc w:val="center"/>
                  </w:pPr>
                  <w:r>
                    <w:t xml:space="preserve">85%</w:t>
                  </w:r>
                </w:p>
              </w:tc>
              <w:tc>
                <w:tcPr/>
                <w:p>
                  <w:pPr>
                    <w:pStyle w:val="Compact"/>
                  </w:pPr>
                </w:p>
              </w:tc>
            </w:tr>
            <w:tr>
              <w:tc>
                <w:tcPr/>
                <w:p>
                  <w:pPr>
                    <w:pStyle w:val="Compact"/>
                    <w:jc w:val="left"/>
                    <w:jc w:val="center"/>
                  </w:pPr>
                  <w:r>
                    <w:t xml:space="preserve">1</w:t>
                  </w:r>
                </w:p>
              </w:tc>
              <w:tc>
                <w:tcPr/>
                <w:p>
                  <w:pPr>
                    <w:pStyle w:val="Compact"/>
                    <w:jc w:val="left"/>
                    <w:jc w:val="center"/>
                  </w:pPr>
                  <w:r>
                    <w:t xml:space="preserve">16%</w:t>
                  </w:r>
                </w:p>
              </w:tc>
              <w:tc>
                <w:tcPr/>
                <w:p>
                  <w:pPr>
                    <w:pStyle w:val="Compact"/>
                    <w:jc w:val="left"/>
                    <w:jc w:val="center"/>
                  </w:pPr>
                  <w:r>
                    <w:t xml:space="preserve">17%</w:t>
                  </w:r>
                </w:p>
              </w:tc>
              <w:tc>
                <w:tcPr/>
                <w:p>
                  <w:pPr>
                    <w:pStyle w:val="Compact"/>
                    <w:jc w:val="left"/>
                    <w:jc w:val="center"/>
                  </w:pPr>
                  <w:r>
                    <w:t xml:space="preserve">15%</w:t>
                  </w:r>
                </w:p>
              </w:tc>
              <w:tc>
                <w:tcPr/>
                <w:p>
                  <w:pPr>
                    <w:pStyle w:val="Compact"/>
                  </w:pPr>
                </w:p>
              </w:tc>
            </w:tr>
            <w:tr>
              <w:tc>
                <w:tcPr/>
                <w:p>
                  <w:pPr>
                    <w:pStyle w:val="Compact"/>
                    <w:jc w:val="left"/>
                    <w:jc w:val="center"/>
                  </w:pPr>
                  <w:r>
                    <w:t xml:space="preserve">Unknown</w:t>
                  </w:r>
                </w:p>
              </w:tc>
              <w:tc>
                <w:tcPr/>
                <w:p>
                  <w:pPr>
                    <w:pStyle w:val="Compact"/>
                    <w:jc w:val="left"/>
                    <w:jc w:val="center"/>
                  </w:pPr>
                  <w:r>
                    <w:t xml:space="preserve">≤10</w:t>
                  </w:r>
                </w:p>
              </w:tc>
              <w:tc>
                <w:tcPr/>
                <w:p>
                  <w:pPr>
                    <w:pStyle w:val="Compact"/>
                    <w:jc w:val="left"/>
                    <w:jc w:val="center"/>
                  </w:pPr>
                  <w:r>
                    <w:t xml:space="preserve">≤10</w:t>
                  </w:r>
                </w:p>
              </w:tc>
              <w:tc>
                <w:tcPr/>
                <w:p>
                  <w:pPr>
                    <w:pStyle w:val="Compact"/>
                    <w:jc w:val="left"/>
                    <w:jc w:val="center"/>
                  </w:pPr>
                  <w:r>
                    <w:t xml:space="preserve">≤10</w:t>
                  </w:r>
                </w:p>
              </w:tc>
              <w:tc>
                <w:tcPr/>
                <w:p>
                  <w:pPr>
                    <w:pStyle w:val="Compact"/>
                  </w:pPr>
                </w:p>
              </w:tc>
            </w:tr>
            <w:tr>
              <w:tc>
                <w:tcPr/>
                <w:p>
                  <w:pPr>
                    <w:pStyle w:val="Compact"/>
                    <w:jc w:val="left"/>
                    <w:jc w:val="center"/>
                  </w:pPr>
                  <w:r>
                    <w:t xml:space="preserve">Current or past tobacco/nicotine use</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0</w:t>
                  </w:r>
                </w:p>
              </w:tc>
              <w:tc>
                <w:tcPr/>
                <w:p>
                  <w:pPr>
                    <w:pStyle w:val="Compact"/>
                    <w:jc w:val="left"/>
                    <w:jc w:val="center"/>
                  </w:pPr>
                  <w:r>
                    <w:t xml:space="preserve">55%</w:t>
                  </w:r>
                </w:p>
              </w:tc>
              <w:tc>
                <w:tcPr/>
                <w:p>
                  <w:pPr>
                    <w:pStyle w:val="Compact"/>
                    <w:jc w:val="left"/>
                    <w:jc w:val="center"/>
                  </w:pPr>
                  <w:r>
                    <w:t xml:space="preserve">56%</w:t>
                  </w:r>
                </w:p>
              </w:tc>
              <w:tc>
                <w:tcPr/>
                <w:p>
                  <w:pPr>
                    <w:pStyle w:val="Compact"/>
                    <w:jc w:val="left"/>
                    <w:jc w:val="center"/>
                  </w:pPr>
                  <w:r>
                    <w:t xml:space="preserve">53%</w:t>
                  </w:r>
                </w:p>
              </w:tc>
              <w:tc>
                <w:tcPr/>
                <w:p>
                  <w:pPr>
                    <w:pStyle w:val="Compact"/>
                  </w:pPr>
                </w:p>
              </w:tc>
            </w:tr>
            <w:tr>
              <w:tc>
                <w:tcPr/>
                <w:p>
                  <w:pPr>
                    <w:pStyle w:val="Compact"/>
                    <w:jc w:val="left"/>
                    <w:jc w:val="center"/>
                  </w:pPr>
                  <w:r>
                    <w:t xml:space="preserve">1</w:t>
                  </w:r>
                </w:p>
              </w:tc>
              <w:tc>
                <w:tcPr/>
                <w:p>
                  <w:pPr>
                    <w:pStyle w:val="Compact"/>
                    <w:jc w:val="left"/>
                    <w:jc w:val="center"/>
                  </w:pPr>
                  <w:r>
                    <w:t xml:space="preserve">45%</w:t>
                  </w:r>
                </w:p>
              </w:tc>
              <w:tc>
                <w:tcPr/>
                <w:p>
                  <w:pPr>
                    <w:pStyle w:val="Compact"/>
                    <w:jc w:val="left"/>
                    <w:jc w:val="center"/>
                  </w:pPr>
                  <w:r>
                    <w:t xml:space="preserve">44%</w:t>
                  </w:r>
                </w:p>
              </w:tc>
              <w:tc>
                <w:tcPr/>
                <w:p>
                  <w:pPr>
                    <w:pStyle w:val="Compact"/>
                    <w:jc w:val="left"/>
                    <w:jc w:val="center"/>
                  </w:pPr>
                  <w:r>
                    <w:t xml:space="preserve">47%</w:t>
                  </w:r>
                </w:p>
              </w:tc>
              <w:tc>
                <w:tcPr/>
                <w:p>
                  <w:pPr>
                    <w:pStyle w:val="Compact"/>
                  </w:pPr>
                </w:p>
              </w:tc>
            </w:tr>
            <w:tr>
              <w:tc>
                <w:tcPr/>
                <w:p>
                  <w:pPr>
                    <w:pStyle w:val="Compact"/>
                    <w:jc w:val="left"/>
                    <w:jc w:val="center"/>
                  </w:pPr>
                  <w:r>
                    <w:t xml:space="preserve">Unknown</w:t>
                  </w:r>
                </w:p>
              </w:tc>
              <w:tc>
                <w:tcPr/>
                <w:p>
                  <w:pPr>
                    <w:pStyle w:val="Compact"/>
                    <w:jc w:val="left"/>
                    <w:jc w:val="center"/>
                  </w:pPr>
                  <w:r>
                    <w:t xml:space="preserve">≤10</w:t>
                  </w:r>
                </w:p>
              </w:tc>
              <w:tc>
                <w:tcPr/>
                <w:p>
                  <w:pPr>
                    <w:pStyle w:val="Compact"/>
                    <w:jc w:val="left"/>
                    <w:jc w:val="center"/>
                  </w:pPr>
                  <w:r>
                    <w:t xml:space="preserve">≤10</w:t>
                  </w:r>
                </w:p>
              </w:tc>
              <w:tc>
                <w:tcPr/>
                <w:p>
                  <w:pPr>
                    <w:pStyle w:val="Compact"/>
                    <w:jc w:val="left"/>
                    <w:jc w:val="center"/>
                  </w:pPr>
                  <w:r>
                    <w:t xml:space="preserve">≤10</w:t>
                  </w:r>
                </w:p>
              </w:tc>
              <w:tc>
                <w:tcPr/>
                <w:p>
                  <w:pPr>
                    <w:pStyle w:val="Compact"/>
                  </w:pPr>
                </w:p>
              </w:tc>
            </w:tr>
          </w:tbl>
          <w:bookmarkEnd w:id="21"/>
          <w:p/>
        </w:tc>
      </w:tr>
    </w:tbl>
    <w:p>
      <w:pPr>
        <w:pStyle w:val="BodyText"/>
      </w:pPr>
      <w:r>
        <w:rPr>
          <w:i/>
          <w:iCs/>
        </w:rPr>
        <w:t xml:space="preserve">Values are reported as provided in the suppressed public table. AWS = alcohol withdrawal syndrome. Cells with unweighted counts ≤10, and complementary cells or percentages that could reveal them, are suppressed.</w:t>
      </w:r>
    </w:p>
    <w:bookmarkEnd w:id="22"/>
    <w:bookmarkStart w:id="24" w:name="table-2.-in-hospital-outcomes"/>
    <w:p>
      <w:pPr>
        <w:pStyle w:val="Heading2"/>
      </w:pPr>
      <w:r>
        <w:t xml:space="preserve">Table 2. In-Hospital Outcomes</w:t>
      </w:r>
    </w:p>
    <w:p>
      <w:pPr>
        <w:pStyle w:val="FirstParagraph"/>
      </w:pPr>
      <w:r>
        <w:t xml:space="preserve">The table presents crude comparisons and adjusted associations for the prespecified outcomes. Continuous outcomes are shown as weighted means. The adjusted estimate compares the odds or mean outcome for hospitalizations with AWS versus those without AWS, after covariate adjustment.</w:t>
      </w:r>
    </w:p>
    <w:tbl>
      <w:tblPr>
        <w:tblStyle w:val="Table"/>
        <w:tblW w:type="pct" w:w="5000"/>
        <w:tblLayout w:type="fixed"/>
        <w:tblLook w:firstRow="0" w:lastRow="0" w:firstColumn="0" w:lastColumn="0" w:noHBand="0" w:noVBand="0" w:val="0000"/>
      </w:tblPr>
      <w:tblGrid>
        <w:gridCol w:w="7920"/>
      </w:tblGrid>
      <w:tr>
        <w:tc>
          <w:tcPr/>
          <w:bookmarkStart w:id="23" w:name="tbl-outcomes"/>
          <w:p>
            <w:pPr>
              <w:jc w:val="center"/>
            </w:pPr>
            <w:pPr>
              <w:jc w:val="left"/>
              <w:spacing w:before="200"/>
              <w:pStyle w:val="ImageCaption"/>
            </w:pPr>
            <w:r>
              <w:t xml:space="preserve">Table 2</w:t>
            </w:r>
          </w:p>
          <w:tbl>
            <w:tblPr>
              <w:tblStyle w:val="Table"/>
              <w:tblW w:type="pct" w:w="5000"/>
              <w:tblLayout w:type="fixed"/>
              <w:tblLook w:firstRow="1" w:lastRow="0" w:firstColumn="0" w:lastColumn="0" w:noHBand="0" w:noVBand="0" w:val="0020"/>
            </w:tblPr>
            <w:tblGrid>
              <w:gridCol w:w="2308"/>
              <w:gridCol w:w="633"/>
              <w:gridCol w:w="633"/>
              <w:gridCol w:w="1312"/>
              <w:gridCol w:w="1221"/>
              <w:gridCol w:w="1448"/>
              <w:gridCol w:w="362"/>
            </w:tblGrid>
            <w:tr>
              <w:trPr>
                <w:tblHeader w:val="on"/>
              </w:trPr>
              <w:tc>
                <w:tcPr/>
                <w:p>
                  <w:pPr>
                    <w:pStyle w:val="Compact"/>
                    <w:jc w:val="left"/>
                    <w:jc w:val="center"/>
                  </w:pPr>
                  <w:r>
                    <w:t xml:space="preserve">Outcome</w:t>
                  </w:r>
                </w:p>
              </w:tc>
              <w:tc>
                <w:tcPr/>
                <w:p>
                  <w:pPr>
                    <w:pStyle w:val="Compact"/>
                    <w:jc w:val="left"/>
                    <w:jc w:val="center"/>
                  </w:pPr>
                  <w:r>
                    <w:t xml:space="preserve">No AWS</w:t>
                  </w:r>
                </w:p>
              </w:tc>
              <w:tc>
                <w:tcPr/>
                <w:p>
                  <w:pPr>
                    <w:pStyle w:val="Compact"/>
                    <w:jc w:val="left"/>
                    <w:jc w:val="center"/>
                  </w:pPr>
                  <w:r>
                    <w:t xml:space="preserve">AWS</w:t>
                  </w:r>
                </w:p>
              </w:tc>
              <w:tc>
                <w:tcPr/>
                <w:p>
                  <w:pPr>
                    <w:pStyle w:val="Compact"/>
                    <w:jc w:val="left"/>
                    <w:jc w:val="center"/>
                  </w:pPr>
                  <w:r>
                    <w:t xml:space="preserve">Unadjusted OR/ratio (95% CI)</w:t>
                  </w:r>
                </w:p>
              </w:tc>
              <w:tc>
                <w:tcPr/>
                <w:p>
                  <w:pPr>
                    <w:pStyle w:val="Compact"/>
                    <w:jc w:val="left"/>
                    <w:jc w:val="center"/>
                  </w:pPr>
                  <w:r>
                    <w:t xml:space="preserve">Adjusted OR/ratio (95% CI)</w:t>
                  </w:r>
                </w:p>
              </w:tc>
              <w:tc>
                <w:tcPr/>
                <w:p>
                  <w:pPr>
                    <w:pStyle w:val="Compact"/>
                    <w:jc w:val="left"/>
                    <w:jc w:val="center"/>
                  </w:pPr>
                  <w:r>
                    <w:t xml:space="preserve">Adjusted difference (95% CI)</w:t>
                  </w:r>
                </w:p>
              </w:tc>
              <w:tc>
                <w:tcPr/>
                <w:p>
                  <w:pPr>
                    <w:pStyle w:val="Compact"/>
                    <w:jc w:val="left"/>
                    <w:jc w:val="center"/>
                  </w:pPr>
                  <w:r>
                    <w:t xml:space="preserve">p-value</w:t>
                  </w:r>
                </w:p>
              </w:tc>
            </w:tr>
            <w:tr>
              <w:tc>
                <w:tcPr/>
                <w:p>
                  <w:pPr>
                    <w:pStyle w:val="Compact"/>
                    <w:jc w:val="left"/>
                    <w:jc w:val="center"/>
                  </w:pPr>
                  <w:r>
                    <w:t xml:space="preserve">In-hospital mortality</w:t>
                  </w:r>
                </w:p>
              </w:tc>
              <w:tc>
                <w:tcPr/>
                <w:p>
                  <w:pPr>
                    <w:pStyle w:val="Compact"/>
                    <w:jc w:val="left"/>
                    <w:jc w:val="center"/>
                  </w:pPr>
                  <w:r>
                    <w:t xml:space="preserve">94.7% (2,028)</w:t>
                  </w:r>
                </w:p>
              </w:tc>
              <w:tc>
                <w:tcPr/>
                <w:p>
                  <w:pPr>
                    <w:pStyle w:val="Compact"/>
                    <w:jc w:val="left"/>
                    <w:jc w:val="center"/>
                  </w:pPr>
                  <w:r>
                    <w:t xml:space="preserve">96.0% (466)</w:t>
                  </w:r>
                </w:p>
              </w:tc>
              <w:tc>
                <w:tcPr/>
                <w:p>
                  <w:pPr>
                    <w:pStyle w:val="Compact"/>
                    <w:jc w:val="left"/>
                    <w:jc w:val="center"/>
                  </w:pPr>
                  <w:r>
                    <w:t xml:space="preserve">0.74 (0.67–0.83)</w:t>
                  </w:r>
                </w:p>
              </w:tc>
              <w:tc>
                <w:tcPr/>
                <w:p>
                  <w:pPr>
                    <w:pStyle w:val="Compact"/>
                    <w:jc w:val="left"/>
                    <w:jc w:val="center"/>
                  </w:pPr>
                  <w:r>
                    <w:t xml:space="preserve">0.60 (0.53–0.67)</w:t>
                  </w:r>
                </w:p>
              </w:tc>
              <w:tc>
                <w:tcPr/>
                <w:p>
                  <w:pPr>
                    <w:pStyle w:val="Compact"/>
                    <w:jc w:val="left"/>
                    <w:jc w:val="center"/>
                  </w:pPr>
                  <w:r>
                    <w:t xml:space="preserve">-2.04% (-2.46% to -1.63%)</w:t>
                  </w:r>
                </w:p>
              </w:tc>
              <w:tc>
                <w:tcPr/>
                <w:p>
                  <w:pPr>
                    <w:pStyle w:val="Compact"/>
                    <w:jc w:val="left"/>
                    <w:jc w:val="center"/>
                  </w:pPr>
                  <w:r>
                    <w:t xml:space="preserve">&lt;0.001</w:t>
                  </w:r>
                </w:p>
              </w:tc>
            </w:tr>
            <w:tr>
              <w:tc>
                <w:tcPr/>
                <w:p>
                  <w:pPr>
                    <w:pStyle w:val="Compact"/>
                    <w:jc w:val="left"/>
                    <w:jc w:val="center"/>
                  </w:pPr>
                  <w:r>
                    <w:t xml:space="preserve">Invasive mechanical ventilation</w:t>
                  </w:r>
                </w:p>
              </w:tc>
              <w:tc>
                <w:tcPr/>
                <w:p>
                  <w:pPr>
                    <w:pStyle w:val="Compact"/>
                    <w:jc w:val="left"/>
                    <w:jc w:val="center"/>
                  </w:pPr>
                  <w:r>
                    <w:t xml:space="preserve">77.9% (8,466)</w:t>
                  </w:r>
                </w:p>
              </w:tc>
              <w:tc>
                <w:tcPr/>
                <w:p>
                  <w:pPr>
                    <w:pStyle w:val="Compact"/>
                    <w:jc w:val="left"/>
                    <w:jc w:val="center"/>
                  </w:pPr>
                  <w:r>
                    <w:t xml:space="preserve">74.0% (3,030)</w:t>
                  </w:r>
                </w:p>
              </w:tc>
              <w:tc>
                <w:tcPr/>
                <w:p>
                  <w:pPr>
                    <w:pStyle w:val="Compact"/>
                    <w:jc w:val="left"/>
                    <w:jc w:val="center"/>
                  </w:pPr>
                  <w:r>
                    <w:t xml:space="preserve">1.24 (1.18–1.30)</w:t>
                  </w:r>
                </w:p>
              </w:tc>
              <w:tc>
                <w:tcPr/>
                <w:p>
                  <w:pPr>
                    <w:pStyle w:val="Compact"/>
                    <w:jc w:val="left"/>
                    <w:jc w:val="center"/>
                  </w:pPr>
                  <w:r>
                    <w:t xml:space="preserve">1.42 (1.34–1.50)</w:t>
                  </w:r>
                </w:p>
              </w:tc>
              <w:tc>
                <w:tcPr/>
                <w:p>
                  <w:pPr>
                    <w:pStyle w:val="Compact"/>
                    <w:jc w:val="left"/>
                    <w:jc w:val="center"/>
                  </w:pPr>
                  <w:r>
                    <w:t xml:space="preserve">+5.97% (+4.94% to +7.00%)</w:t>
                  </w:r>
                </w:p>
              </w:tc>
              <w:tc>
                <w:tcPr/>
                <w:p>
                  <w:pPr>
                    <w:pStyle w:val="Compact"/>
                    <w:jc w:val="left"/>
                    <w:jc w:val="center"/>
                  </w:pPr>
                  <w:r>
                    <w:t xml:space="preserve">&lt;0.001</w:t>
                  </w:r>
                </w:p>
              </w:tc>
            </w:tr>
            <w:tr>
              <w:tc>
                <w:tcPr/>
                <w:p>
                  <w:pPr>
                    <w:pStyle w:val="Compact"/>
                    <w:jc w:val="left"/>
                    <w:jc w:val="center"/>
                  </w:pPr>
                  <w:r>
                    <w:t xml:space="preserve">Pneumonia or aspiration pneumonitis</w:t>
                  </w:r>
                </w:p>
              </w:tc>
              <w:tc>
                <w:tcPr/>
                <w:p>
                  <w:pPr>
                    <w:pStyle w:val="Compact"/>
                    <w:jc w:val="left"/>
                    <w:jc w:val="center"/>
                  </w:pPr>
                  <w:r>
                    <w:t xml:space="preserve">92.2% (3,000)</w:t>
                  </w:r>
                </w:p>
              </w:tc>
              <w:tc>
                <w:tcPr/>
                <w:p>
                  <w:pPr>
                    <w:pStyle w:val="Compact"/>
                    <w:jc w:val="left"/>
                    <w:jc w:val="center"/>
                  </w:pPr>
                  <w:r>
                    <w:t xml:space="preserve">82.0% (2,097)</w:t>
                  </w:r>
                </w:p>
              </w:tc>
              <w:tc>
                <w:tcPr/>
                <w:p>
                  <w:pPr>
                    <w:pStyle w:val="Compact"/>
                    <w:jc w:val="left"/>
                    <w:jc w:val="center"/>
                  </w:pPr>
                  <w:r>
                    <w:t xml:space="preserve">2.58 (2.43–2.74)</w:t>
                  </w:r>
                </w:p>
              </w:tc>
              <w:tc>
                <w:tcPr/>
                <w:p>
                  <w:pPr>
                    <w:pStyle w:val="Compact"/>
                    <w:jc w:val="left"/>
                    <w:jc w:val="center"/>
                  </w:pPr>
                  <w:r>
                    <w:t xml:space="preserve">2.32 (2.17–2.49)</w:t>
                  </w:r>
                </w:p>
              </w:tc>
              <w:tc>
                <w:tcPr/>
                <w:p>
                  <w:pPr>
                    <w:pStyle w:val="Compact"/>
                    <w:jc w:val="left"/>
                    <w:jc w:val="center"/>
                  </w:pPr>
                  <w:r>
                    <w:t xml:space="preserve">+8.49% (+7.70% to +9.29%)</w:t>
                  </w:r>
                </w:p>
              </w:tc>
              <w:tc>
                <w:tcPr/>
                <w:p>
                  <w:pPr>
                    <w:pStyle w:val="Compact"/>
                    <w:jc w:val="left"/>
                    <w:jc w:val="center"/>
                  </w:pPr>
                  <w:r>
                    <w:t xml:space="preserve">&lt;0.001</w:t>
                  </w:r>
                </w:p>
              </w:tc>
            </w:tr>
            <w:tr>
              <w:tc>
                <w:tcPr/>
                <w:p>
                  <w:pPr>
                    <w:pStyle w:val="Compact"/>
                    <w:jc w:val="left"/>
                    <w:jc w:val="center"/>
                  </w:pPr>
                  <w:r>
                    <w:t xml:space="preserve">Institutional discharge (among survivors)</w:t>
                  </w:r>
                </w:p>
              </w:tc>
              <w:tc>
                <w:tcPr/>
                <w:p>
                  <w:pPr>
                    <w:pStyle w:val="Compact"/>
                    <w:jc w:val="left"/>
                    <w:jc w:val="center"/>
                  </w:pPr>
                  <w:r>
                    <w:t xml:space="preserve">74.3% (9,310)</w:t>
                  </w:r>
                </w:p>
              </w:tc>
              <w:tc>
                <w:tcPr/>
                <w:p>
                  <w:pPr>
                    <w:pStyle w:val="Compact"/>
                    <w:jc w:val="left"/>
                    <w:jc w:val="center"/>
                  </w:pPr>
                  <w:r>
                    <w:t xml:space="preserve">60.1% (4,462)</w:t>
                  </w:r>
                </w:p>
              </w:tc>
              <w:tc>
                <w:tcPr/>
                <w:p>
                  <w:pPr>
                    <w:pStyle w:val="Compact"/>
                    <w:jc w:val="left"/>
                    <w:jc w:val="center"/>
                  </w:pPr>
                  <w:r>
                    <w:t xml:space="preserve">1.92 (1.83–2.01)</w:t>
                  </w:r>
                </w:p>
              </w:tc>
              <w:tc>
                <w:tcPr/>
                <w:p>
                  <w:pPr>
                    <w:pStyle w:val="Compact"/>
                    <w:jc w:val="left"/>
                    <w:jc w:val="center"/>
                  </w:pPr>
                  <w:r>
                    <w:t xml:space="preserve">1.74 (1.65–1.84)</w:t>
                  </w:r>
                </w:p>
              </w:tc>
              <w:tc>
                <w:tcPr/>
                <w:p>
                  <w:pPr>
                    <w:pStyle w:val="Compact"/>
                    <w:jc w:val="left"/>
                    <w:jc w:val="center"/>
                  </w:pPr>
                  <w:r>
                    <w:t xml:space="preserve">+10.38% (+9.35% to +11.40%)</w:t>
                  </w:r>
                </w:p>
              </w:tc>
              <w:tc>
                <w:tcPr/>
                <w:p>
                  <w:pPr>
                    <w:pStyle w:val="Compact"/>
                    <w:jc w:val="left"/>
                    <w:jc w:val="center"/>
                  </w:pPr>
                  <w:r>
                    <w:t xml:space="preserve">&lt;0.001</w:t>
                  </w:r>
                </w:p>
              </w:tc>
            </w:tr>
            <w:tr>
              <w:tc>
                <w:tcPr/>
                <w:p>
                  <w:pPr>
                    <w:pStyle w:val="Compact"/>
                    <w:jc w:val="left"/>
                    <w:jc w:val="center"/>
                  </w:pPr>
                  <w:r>
                    <w:t xml:space="preserve">Discharge against medical advice (among survivors)</w:t>
                  </w:r>
                </w:p>
              </w:tc>
              <w:tc>
                <w:tcPr/>
                <w:p>
                  <w:pPr>
                    <w:pStyle w:val="Compact"/>
                    <w:jc w:val="left"/>
                    <w:jc w:val="center"/>
                  </w:pPr>
                  <w:r>
                    <w:t xml:space="preserve">95.8% (1,505)</w:t>
                  </w:r>
                </w:p>
              </w:tc>
              <w:tc>
                <w:tcPr/>
                <w:p>
                  <w:pPr>
                    <w:pStyle w:val="Compact"/>
                    <w:jc w:val="left"/>
                    <w:jc w:val="center"/>
                  </w:pPr>
                  <w:r>
                    <w:t xml:space="preserve">94.4% (630)</w:t>
                  </w:r>
                </w:p>
              </w:tc>
              <w:tc>
                <w:tcPr/>
                <w:p>
                  <w:pPr>
                    <w:pStyle w:val="Compact"/>
                    <w:jc w:val="left"/>
                    <w:jc w:val="center"/>
                  </w:pPr>
                  <w:r>
                    <w:t xml:space="preserve">1.38 (1.25–1.52)</w:t>
                  </w:r>
                </w:p>
              </w:tc>
              <w:tc>
                <w:tcPr/>
                <w:p>
                  <w:pPr>
                    <w:pStyle w:val="Compact"/>
                    <w:jc w:val="left"/>
                    <w:jc w:val="center"/>
                  </w:pPr>
                  <w:r>
                    <w:t xml:space="preserve">1.49 (1.34–1.66)</w:t>
                  </w:r>
                </w:p>
              </w:tc>
              <w:tc>
                <w:tcPr/>
                <w:p>
                  <w:pPr>
                    <w:pStyle w:val="Compact"/>
                    <w:jc w:val="left"/>
                    <w:jc w:val="center"/>
                  </w:pPr>
                  <w:r>
                    <w:t xml:space="preserve">+1.75% (+1.23% to +2.27%)</w:t>
                  </w:r>
                </w:p>
              </w:tc>
              <w:tc>
                <w:tcPr/>
                <w:p>
                  <w:pPr>
                    <w:pStyle w:val="Compact"/>
                    <w:jc w:val="left"/>
                    <w:jc w:val="center"/>
                  </w:pPr>
                  <w:r>
                    <w:t xml:space="preserve">&lt;0.001</w:t>
                  </w:r>
                </w:p>
              </w:tc>
            </w:tr>
            <w:tr>
              <w:tc>
                <w:tcPr/>
                <w:p>
                  <w:pPr>
                    <w:pStyle w:val="Compact"/>
                    <w:jc w:val="left"/>
                    <w:jc w:val="center"/>
                  </w:pPr>
                  <w:r>
                    <w:t xml:space="preserve">Length of stay</w:t>
                  </w:r>
                </w:p>
              </w:tc>
              <w:tc>
                <w:tcPr/>
                <w:p>
                  <w:pPr>
                    <w:pStyle w:val="Compact"/>
                    <w:jc w:val="left"/>
                    <w:jc w:val="center"/>
                  </w:pPr>
                  <w:r>
                    <w:t xml:space="preserve">6.7 days</w:t>
                  </w:r>
                </w:p>
              </w:tc>
              <w:tc>
                <w:tcPr/>
                <w:p>
                  <w:pPr>
                    <w:pStyle w:val="Compact"/>
                    <w:jc w:val="left"/>
                    <w:jc w:val="center"/>
                  </w:pPr>
                  <w:r>
                    <w:t xml:space="preserve">12.1 days</w:t>
                  </w:r>
                </w:p>
              </w:tc>
              <w:tc>
                <w:tcPr/>
                <w:p>
                  <w:pPr>
                    <w:pStyle w:val="Compact"/>
                    <w:jc w:val="left"/>
                    <w:jc w:val="center"/>
                  </w:pPr>
                  <w:r>
                    <w:t xml:space="preserve">1.80 (1.75–1.86)</w:t>
                  </w:r>
                </w:p>
              </w:tc>
              <w:tc>
                <w:tcPr/>
                <w:p>
                  <w:pPr>
                    <w:pStyle w:val="Compact"/>
                    <w:jc w:val="left"/>
                    <w:jc w:val="center"/>
                  </w:pPr>
                  <w:r>
                    <w:t xml:space="preserve">1.70 (1.64–1.75)</w:t>
                  </w:r>
                </w:p>
              </w:tc>
              <w:tc>
                <w:tcPr/>
                <w:p>
                  <w:pPr>
                    <w:pStyle w:val="Compact"/>
                    <w:jc w:val="left"/>
                    <w:jc w:val="center"/>
                  </w:pPr>
                  <w:r>
                    <w:t xml:space="preserve">+4.69 days (+4.38 to +5.00)</w:t>
                  </w:r>
                </w:p>
              </w:tc>
              <w:tc>
                <w:tcPr/>
                <w:p>
                  <w:pPr>
                    <w:pStyle w:val="Compact"/>
                    <w:jc w:val="left"/>
                    <w:jc w:val="center"/>
                  </w:pPr>
                  <w:r>
                    <w:t xml:space="preserve">&lt;0.001</w:t>
                  </w:r>
                </w:p>
              </w:tc>
            </w:tr>
            <w:tr>
              <w:tc>
                <w:tcPr/>
                <w:p>
                  <w:pPr>
                    <w:pStyle w:val="Compact"/>
                    <w:jc w:val="left"/>
                    <w:jc w:val="center"/>
                  </w:pPr>
                  <w:r>
                    <w:t xml:space="preserve">Hospital cost</w:t>
                  </w:r>
                </w:p>
              </w:tc>
              <w:tc>
                <w:tcPr/>
                <w:p>
                  <w:pPr>
                    <w:pStyle w:val="Compact"/>
                    <w:jc w:val="left"/>
                    <w:jc w:val="center"/>
                  </w:pPr>
                  <w:r>
                    <w:t xml:space="preserve">$29,446</w:t>
                  </w:r>
                </w:p>
              </w:tc>
              <w:tc>
                <w:tcPr/>
                <w:p>
                  <w:pPr>
                    <w:pStyle w:val="Compact"/>
                    <w:jc w:val="left"/>
                    <w:jc w:val="center"/>
                  </w:pPr>
                  <w:r>
                    <w:t xml:space="preserve">$42,535</w:t>
                  </w:r>
                </w:p>
              </w:tc>
              <w:tc>
                <w:tcPr/>
                <w:p>
                  <w:pPr>
                    <w:pStyle w:val="Compact"/>
                    <w:jc w:val="left"/>
                    <w:jc w:val="center"/>
                  </w:pPr>
                  <w:r>
                    <w:t xml:space="preserve">1.44 (1.41–1.48)</w:t>
                  </w:r>
                </w:p>
              </w:tc>
              <w:tc>
                <w:tcPr/>
                <w:p>
                  <w:pPr>
                    <w:pStyle w:val="Compact"/>
                    <w:jc w:val="left"/>
                    <w:jc w:val="center"/>
                  </w:pPr>
                  <w:r>
                    <w:t xml:space="preserve">1.46 (1.42–1.51)</w:t>
                  </w:r>
                </w:p>
              </w:tc>
              <w:tc>
                <w:tcPr/>
                <w:p>
                  <w:pPr>
                    <w:pStyle w:val="Compact"/>
                    <w:jc w:val="left"/>
                    <w:jc w:val="center"/>
                  </w:pPr>
                  <w:r>
                    <w:t xml:space="preserve">+$13,543 (+$12,456 to +$14,630)</w:t>
                  </w:r>
                </w:p>
              </w:tc>
              <w:tc>
                <w:tcPr/>
                <w:p>
                  <w:pPr>
                    <w:pStyle w:val="Compact"/>
                    <w:jc w:val="left"/>
                    <w:jc w:val="center"/>
                  </w:pPr>
                  <w:r>
                    <w:t xml:space="preserve">&lt;0.001</w:t>
                  </w:r>
                </w:p>
              </w:tc>
            </w:tr>
          </w:tbl>
          <w:bookmarkEnd w:id="23"/>
          <w:p/>
        </w:tc>
      </w:tr>
    </w:tbl>
    <w:p>
      <w:pPr>
        <w:pStyle w:val="BodyText"/>
      </w:pPr>
      <w:r>
        <w:rPr>
          <w:i/>
          <w:iCs/>
        </w:rPr>
        <w:t xml:space="preserve">AWS = alcohol withdrawal syndrome; aOR = adjusted odds ratio; CI = confidence interval; LOS = length of stay; AMA = against medical advice. Cells with unweighted counts ≤10, and complementary cells or percentages that could reveal them, are suppressed.</w:t>
      </w:r>
    </w:p>
    <w:bookmarkEnd w:id="24"/>
    <w:bookmarkStart w:id="29" w:name="Xeae306b394246d4bcb6ef33ad9a4fec5d97a2d4"/>
    <w:p>
      <w:pPr>
        <w:pStyle w:val="Heading2"/>
      </w:pPr>
      <w:r>
        <w:t xml:space="preserve">Figure 2. Adjusted Odds Ratios for In-Hospital Outcomes</w:t>
      </w:r>
    </w:p>
    <w:p>
      <w:pPr>
        <w:pStyle w:val="FirstParagraph"/>
      </w:pPr>
      <w:r>
        <w:t xml:space="preserve">The estimates summarize adjusted associations between coded AWS and five binary outcomes. The vertical reference line at 1 marks equal odds between groups; confidence intervals crossing 1 are compatible with no difference at the 95% confidence level.</w:t>
      </w:r>
    </w:p>
    <w:tbl>
      <w:tblPr>
        <w:tblStyle w:val="Table"/>
        <w:tblW w:type="pct" w:w="5000"/>
        <w:tblLayout w:type="fixed"/>
        <w:tblLook w:firstRow="0" w:lastRow="0" w:firstColumn="0" w:lastColumn="0" w:noHBand="0" w:noVBand="0" w:val="0000"/>
      </w:tblPr>
      <w:tblGrid>
        <w:gridCol w:w="7920"/>
      </w:tblGrid>
      <w:tr>
        <w:tc>
          <w:tcPr/>
          <w:bookmarkStart w:id="28" w:name="fig-forest"/>
          <w:p>
            <w:pPr>
              <w:pStyle w:val="Compact"/>
              <w:jc w:val="center"/>
            </w:pPr>
            <w:r>
              <w:drawing>
                <wp:inline>
                  <wp:extent cx="5334000" cy="2592916"/>
                  <wp:effectExtent b="0" l="0" r="0" t="0"/>
                  <wp:docPr descr="" title="" id="26" name="Picture"/>
                  <a:graphic>
                    <a:graphicData uri="http://schemas.openxmlformats.org/drawingml/2006/picture">
                      <pic:pic>
                        <pic:nvPicPr>
                          <pic:cNvPr descr="../output/public/forest_plot.png" id="27" name="Picture"/>
                          <pic:cNvPicPr>
                            <a:picLocks noChangeArrowheads="1" noChangeAspect="1"/>
                          </pic:cNvPicPr>
                        </pic:nvPicPr>
                        <pic:blipFill>
                          <a:blip r:embed="rId25"/>
                          <a:stretch>
                            <a:fillRect/>
                          </a:stretch>
                        </pic:blipFill>
                        <pic:spPr bwMode="auto">
                          <a:xfrm>
                            <a:off x="0" y="0"/>
                            <a:ext cx="5334000" cy="259291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Figure 2. Adjusted odds ratios and 95% confidence intervals for in-hospital outcomes.</w:t>
            </w:r>
          </w:p>
          <w:bookmarkEnd w:id="28"/>
        </w:tc>
      </w:tr>
    </w:tbl>
    <w:bookmarkEnd w:id="29"/>
    <w:bookmarkStart w:id="35" w:name="annual-trend"/>
    <w:p>
      <w:pPr>
        <w:pStyle w:val="Heading2"/>
      </w:pPr>
      <w:r>
        <w:t xml:space="preserve">Annual Trend</w:t>
      </w:r>
    </w:p>
    <w:p>
      <w:pPr>
        <w:pStyle w:val="FirstParagraph"/>
      </w:pPr>
      <w:r>
        <w:t xml:space="preserve">The figure shows the annual percentage of eligible hospitalizations with coded AWS. Changes over time may reflect coding practices as well as changes in the hospitalized population.</w:t>
      </w:r>
    </w:p>
    <w:tbl>
      <w:tblPr>
        <w:tblStyle w:val="Table"/>
        <w:tblW w:type="pct" w:w="5000"/>
        <w:tblLayout w:type="fixed"/>
        <w:tblLook w:firstRow="0" w:lastRow="0" w:firstColumn="0" w:lastColumn="0" w:noHBand="0" w:noVBand="0" w:val="0000"/>
      </w:tblPr>
      <w:tblGrid>
        <w:gridCol w:w="7920"/>
      </w:tblGrid>
      <w:tr>
        <w:tc>
          <w:tcPr/>
          <w:bookmarkStart w:id="33" w:name="fig-trend"/>
          <w:p>
            <w:pPr>
              <w:pStyle w:val="Compact"/>
              <w:jc w:val="center"/>
            </w:pPr>
            <w:r>
              <w:drawing>
                <wp:inline>
                  <wp:extent cx="4800600" cy="2880360"/>
                  <wp:effectExtent b="0" l="0" r="0" t="0"/>
                  <wp:docPr descr="" title="" id="31" name="Picture"/>
                  <a:graphic>
                    <a:graphicData uri="http://schemas.openxmlformats.org/drawingml/2006/picture">
                      <pic:pic>
                        <pic:nvPicPr>
                          <pic:cNvPr descr="../output/public/aws_trend.png" id="32" name="Picture"/>
                          <pic:cNvPicPr>
                            <a:picLocks noChangeArrowheads="1" noChangeAspect="1"/>
                          </pic:cNvPicPr>
                        </pic:nvPicPr>
                        <pic:blipFill>
                          <a:blip r:embed="rId30"/>
                          <a:stretch>
                            <a:fillRect/>
                          </a:stretch>
                        </pic:blipFill>
                        <pic:spPr bwMode="auto">
                          <a:xfrm>
                            <a:off x="0" y="0"/>
                            <a:ext cx="4800600" cy="288036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Annual prevalence of coded AWS among eligible hospitalizations.</w:t>
            </w:r>
          </w:p>
          <w:bookmarkEnd w:id="33"/>
        </w:tc>
      </w:tr>
    </w:tbl>
    <w:tbl>
      <w:tblPr>
        <w:tblStyle w:val="Table"/>
        <w:tblW w:type="pct" w:w="5000"/>
        <w:tblLayout w:type="fixed"/>
        <w:tblLook w:firstRow="0" w:lastRow="0" w:firstColumn="0" w:lastColumn="0" w:noHBand="0" w:noVBand="0" w:val="0000"/>
      </w:tblPr>
      <w:tblGrid>
        <w:gridCol w:w="7920"/>
      </w:tblGrid>
      <w:tr>
        <w:tc>
          <w:tcPr/>
          <w:bookmarkStart w:id="34" w:name="tbl-trend"/>
          <w:p>
            <w:pPr>
              <w:jc w:val="center"/>
            </w:pPr>
            <w:pPr>
              <w:jc w:val="left"/>
              <w:spacing w:before="200"/>
              <w:pStyle w:val="ImageCaption"/>
            </w:pPr>
            <w:r>
              <w:t xml:space="preserve">Table 3: Annual prevalence of coded AWS, NIS 2017–2022.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jc w:val="center"/>
                  </w:pPr>
                  <w:r>
                    <w:t xml:space="preserve">Year</w:t>
                  </w:r>
                </w:p>
              </w:tc>
              <w:tc>
                <w:tcPr/>
                <w:p>
                  <w:pPr>
                    <w:pStyle w:val="Compact"/>
                    <w:jc w:val="left"/>
                    <w:jc w:val="center"/>
                  </w:pPr>
                  <w:r>
                    <w:t xml:space="preserve">AWS (%)</w:t>
                  </w:r>
                </w:p>
              </w:tc>
              <w:tc>
                <w:tcPr/>
                <w:p>
                  <w:pPr>
                    <w:pStyle w:val="Compact"/>
                    <w:jc w:val="left"/>
                    <w:jc w:val="center"/>
                  </w:pPr>
                  <w:r>
                    <w:t xml:space="preserve">95% CI</w:t>
                  </w:r>
                </w:p>
              </w:tc>
            </w:tr>
            <w:tr>
              <w:tc>
                <w:tcPr/>
                <w:p>
                  <w:pPr>
                    <w:pStyle w:val="Compact"/>
                    <w:jc w:val="right"/>
                    <w:jc w:val="center"/>
                  </w:pPr>
                  <w:r>
                    <w:t xml:space="preserve">2017</w:t>
                  </w:r>
                </w:p>
              </w:tc>
              <w:tc>
                <w:tcPr/>
                <w:p>
                  <w:pPr>
                    <w:pStyle w:val="Compact"/>
                    <w:jc w:val="left"/>
                    <w:jc w:val="center"/>
                  </w:pPr>
                  <w:r>
                    <w:t xml:space="preserve">20.7%</w:t>
                  </w:r>
                </w:p>
              </w:tc>
              <w:tc>
                <w:tcPr/>
                <w:p>
                  <w:pPr>
                    <w:pStyle w:val="Compact"/>
                    <w:jc w:val="left"/>
                    <w:jc w:val="center"/>
                  </w:pPr>
                  <w:r>
                    <w:t xml:space="preserve">19.7%–21.7%</w:t>
                  </w:r>
                </w:p>
              </w:tc>
            </w:tr>
            <w:tr>
              <w:tc>
                <w:tcPr/>
                <w:p>
                  <w:pPr>
                    <w:pStyle w:val="Compact"/>
                    <w:jc w:val="right"/>
                    <w:jc w:val="center"/>
                  </w:pPr>
                  <w:r>
                    <w:t xml:space="preserve">2018</w:t>
                  </w:r>
                </w:p>
              </w:tc>
              <w:tc>
                <w:tcPr/>
                <w:p>
                  <w:pPr>
                    <w:pStyle w:val="Compact"/>
                    <w:jc w:val="left"/>
                    <w:jc w:val="center"/>
                  </w:pPr>
                  <w:r>
                    <w:t xml:space="preserve">22.4%</w:t>
                  </w:r>
                </w:p>
              </w:tc>
              <w:tc>
                <w:tcPr/>
                <w:p>
                  <w:pPr>
                    <w:pStyle w:val="Compact"/>
                    <w:jc w:val="left"/>
                    <w:jc w:val="center"/>
                  </w:pPr>
                  <w:r>
                    <w:t xml:space="preserve">21.3%–23.5%</w:t>
                  </w:r>
                </w:p>
              </w:tc>
            </w:tr>
            <w:tr>
              <w:tc>
                <w:tcPr/>
                <w:p>
                  <w:pPr>
                    <w:pStyle w:val="Compact"/>
                    <w:jc w:val="right"/>
                    <w:jc w:val="center"/>
                  </w:pPr>
                  <w:r>
                    <w:t xml:space="preserve">2019</w:t>
                  </w:r>
                </w:p>
              </w:tc>
              <w:tc>
                <w:tcPr/>
                <w:p>
                  <w:pPr>
                    <w:pStyle w:val="Compact"/>
                    <w:jc w:val="left"/>
                    <w:jc w:val="center"/>
                  </w:pPr>
                  <w:r>
                    <w:t xml:space="preserve">21.9%</w:t>
                  </w:r>
                </w:p>
              </w:tc>
              <w:tc>
                <w:tcPr/>
                <w:p>
                  <w:pPr>
                    <w:pStyle w:val="Compact"/>
                    <w:jc w:val="left"/>
                    <w:jc w:val="center"/>
                  </w:pPr>
                  <w:r>
                    <w:t xml:space="preserve">20.9%–22.9%</w:t>
                  </w:r>
                </w:p>
              </w:tc>
            </w:tr>
            <w:tr>
              <w:tc>
                <w:tcPr/>
                <w:p>
                  <w:pPr>
                    <w:pStyle w:val="Compact"/>
                    <w:jc w:val="right"/>
                    <w:jc w:val="center"/>
                  </w:pPr>
                  <w:r>
                    <w:t xml:space="preserve">2020</w:t>
                  </w:r>
                </w:p>
              </w:tc>
              <w:tc>
                <w:tcPr/>
                <w:p>
                  <w:pPr>
                    <w:pStyle w:val="Compact"/>
                    <w:jc w:val="left"/>
                    <w:jc w:val="center"/>
                  </w:pPr>
                  <w:r>
                    <w:t xml:space="preserve">24.3%</w:t>
                  </w:r>
                </w:p>
              </w:tc>
              <w:tc>
                <w:tcPr/>
                <w:p>
                  <w:pPr>
                    <w:pStyle w:val="Compact"/>
                    <w:jc w:val="left"/>
                    <w:jc w:val="center"/>
                  </w:pPr>
                  <w:r>
                    <w:t xml:space="preserve">23.2%–25.3%</w:t>
                  </w:r>
                </w:p>
              </w:tc>
            </w:tr>
            <w:tr>
              <w:tc>
                <w:tcPr/>
                <w:p>
                  <w:pPr>
                    <w:pStyle w:val="Compact"/>
                    <w:jc w:val="right"/>
                    <w:jc w:val="center"/>
                  </w:pPr>
                  <w:r>
                    <w:t xml:space="preserve">2021</w:t>
                  </w:r>
                </w:p>
              </w:tc>
              <w:tc>
                <w:tcPr/>
                <w:p>
                  <w:pPr>
                    <w:pStyle w:val="Compact"/>
                    <w:jc w:val="left"/>
                    <w:jc w:val="center"/>
                  </w:pPr>
                  <w:r>
                    <w:t xml:space="preserve">25.5%</w:t>
                  </w:r>
                </w:p>
              </w:tc>
              <w:tc>
                <w:tcPr/>
                <w:p>
                  <w:pPr>
                    <w:pStyle w:val="Compact"/>
                    <w:jc w:val="left"/>
                    <w:jc w:val="center"/>
                  </w:pPr>
                  <w:r>
                    <w:t xml:space="preserve">24.4%–26.6%</w:t>
                  </w:r>
                </w:p>
              </w:tc>
            </w:tr>
            <w:tr>
              <w:tc>
                <w:tcPr/>
                <w:p>
                  <w:pPr>
                    <w:pStyle w:val="Compact"/>
                    <w:jc w:val="right"/>
                    <w:jc w:val="center"/>
                  </w:pPr>
                  <w:r>
                    <w:t xml:space="preserve">2022</w:t>
                  </w:r>
                </w:p>
              </w:tc>
              <w:tc>
                <w:tcPr/>
                <w:p>
                  <w:pPr>
                    <w:pStyle w:val="Compact"/>
                    <w:jc w:val="left"/>
                    <w:jc w:val="center"/>
                  </w:pPr>
                  <w:r>
                    <w:t xml:space="preserve">25.4%</w:t>
                  </w:r>
                </w:p>
              </w:tc>
              <w:tc>
                <w:tcPr/>
                <w:p>
                  <w:pPr>
                    <w:pStyle w:val="Compact"/>
                    <w:jc w:val="left"/>
                    <w:jc w:val="center"/>
                  </w:pPr>
                  <w:r>
                    <w:t xml:space="preserve">24.3%–26.5%</w:t>
                  </w:r>
                </w:p>
              </w:tc>
            </w:tr>
          </w:tbl>
          <w:bookmarkEnd w:id="34"/>
          <w:p/>
        </w:tc>
      </w:tr>
    </w:tbl>
    <w:bookmarkEnd w:id="35"/>
    <w:bookmarkStart w:id="37" w:name="sensitivity-analyses"/>
    <w:p>
      <w:pPr>
        <w:pStyle w:val="Heading2"/>
      </w:pPr>
      <w:r>
        <w:t xml:space="preserve">Sensitivity Analyses</w:t>
      </w:r>
    </w:p>
    <w:p>
      <w:pPr>
        <w:pStyle w:val="FirstParagraph"/>
      </w:pPr>
      <w:r>
        <w:t xml:space="preserve">We repeated the mortality analysis after restricting the cohort to hospitalizations with LOS ≥2 days, requiring TBI to be the principal diagnosis, and excluding hospitalizations transferred in. The inverse association with mortality was smaller in the LOS-restricted analysis (</w:t>
      </w:r>
      <w:r>
        <w:rPr>
          <w:b/>
          <w:bCs/>
        </w:rPr>
        <w:t xml:space="preserve">0.71 (0.62–0.80)</w:t>
      </w:r>
      <w:r>
        <w:t xml:space="preserve">), a pattern consistent with early death or short stays leaving less opportunity for AWS recognition and coding. This does not identify the mechanism behind the association.</w:t>
      </w:r>
    </w:p>
    <w:tbl>
      <w:tblPr>
        <w:tblStyle w:val="Table"/>
        <w:tblW w:type="pct" w:w="5000"/>
        <w:tblLayout w:type="fixed"/>
        <w:tblLook w:firstRow="0" w:lastRow="0" w:firstColumn="0" w:lastColumn="0" w:noHBand="0" w:noVBand="0" w:val="0000"/>
      </w:tblPr>
      <w:tblGrid>
        <w:gridCol w:w="7920"/>
      </w:tblGrid>
      <w:tr>
        <w:tc>
          <w:tcPr/>
          <w:bookmarkStart w:id="36" w:name="tbl-sensitivity"/>
          <w:p>
            <w:pPr>
              <w:jc w:val="center"/>
            </w:pPr>
            <w:pPr>
              <w:jc w:val="left"/>
              <w:spacing w:before="200"/>
              <w:pStyle w:val="ImageCaption"/>
            </w:pPr>
            <w:r>
              <w:t xml:space="preserve">Table 4</w:t>
            </w:r>
          </w:p>
          <w:tbl>
            <w:tblPr>
              <w:tblStyle w:val="Table"/>
              <w:tblW w:type="pct" w:w="5000"/>
              <w:tblLayout w:type="fixed"/>
              <w:tblLook w:firstRow="1" w:lastRow="0" w:firstColumn="0" w:lastColumn="0" w:noHBand="0" w:noVBand="0" w:val="0020"/>
            </w:tblPr>
            <w:tblGrid>
              <w:gridCol w:w="2668"/>
              <w:gridCol w:w="1807"/>
              <w:gridCol w:w="946"/>
              <w:gridCol w:w="1807"/>
              <w:gridCol w:w="688"/>
            </w:tblGrid>
            <w:tr>
              <w:trPr>
                <w:tblHeader w:val="on"/>
              </w:trPr>
              <w:tc>
                <w:tcPr/>
                <w:p>
                  <w:pPr>
                    <w:pStyle w:val="Compact"/>
                    <w:jc w:val="left"/>
                    <w:jc w:val="center"/>
                  </w:pPr>
                  <w:r>
                    <w:t xml:space="preserve">Analysis</w:t>
                  </w:r>
                </w:p>
              </w:tc>
              <w:tc>
                <w:tcPr/>
                <w:p>
                  <w:pPr>
                    <w:pStyle w:val="Compact"/>
                    <w:jc w:val="right"/>
                    <w:jc w:val="center"/>
                  </w:pPr>
                  <w:r>
                    <w:t xml:space="preserve">Hospitalizations (n)</w:t>
                  </w:r>
                </w:p>
              </w:tc>
              <w:tc>
                <w:tcPr/>
                <w:p>
                  <w:pPr>
                    <w:pStyle w:val="Compact"/>
                    <w:jc w:val="right"/>
                    <w:jc w:val="center"/>
                  </w:pPr>
                  <w:r>
                    <w:t xml:space="preserve">Deaths (n)</w:t>
                  </w:r>
                </w:p>
              </w:tc>
              <w:tc>
                <w:tcPr/>
                <w:p>
                  <w:pPr>
                    <w:pStyle w:val="Compact"/>
                    <w:jc w:val="left"/>
                    <w:jc w:val="center"/>
                  </w:pPr>
                  <w:r>
                    <w:t xml:space="preserve">Adjusted OR (95% CI)</w:t>
                  </w:r>
                </w:p>
              </w:tc>
              <w:tc>
                <w:tcPr/>
                <w:p>
                  <w:pPr>
                    <w:pStyle w:val="Compact"/>
                    <w:jc w:val="left"/>
                    <w:jc w:val="center"/>
                  </w:pPr>
                  <w:r>
                    <w:t xml:space="preserve">p-value</w:t>
                  </w:r>
                </w:p>
              </w:tc>
            </w:tr>
            <w:tr>
              <w:tc>
                <w:tcPr/>
                <w:p>
                  <w:pPr>
                    <w:pStyle w:val="Compact"/>
                    <w:jc w:val="left"/>
                    <w:jc w:val="center"/>
                  </w:pPr>
                  <w:r>
                    <w:t xml:space="preserve">Primary analysis (full cohort)</w:t>
                  </w:r>
                </w:p>
              </w:tc>
              <w:tc>
                <w:tcPr/>
                <w:p>
                  <w:pPr>
                    <w:pStyle w:val="Compact"/>
                    <w:jc w:val="right"/>
                    <w:jc w:val="center"/>
                  </w:pPr>
                  <w:r>
                    <w:t xml:space="preserve">45949</w:t>
                  </w:r>
                </w:p>
              </w:tc>
              <w:tc>
                <w:tcPr/>
                <w:p>
                  <w:pPr>
                    <w:pStyle w:val="Compact"/>
                    <w:jc w:val="right"/>
                    <w:jc w:val="center"/>
                  </w:pPr>
                  <w:r>
                    <w:t xml:space="preserve">2217</w:t>
                  </w:r>
                </w:p>
              </w:tc>
              <w:tc>
                <w:tcPr/>
                <w:p>
                  <w:pPr>
                    <w:pStyle w:val="Compact"/>
                    <w:jc w:val="left"/>
                    <w:jc w:val="center"/>
                  </w:pPr>
                  <w:r>
                    <w:t xml:space="preserve">0.60 (0.53–0.67)</w:t>
                  </w:r>
                </w:p>
              </w:tc>
              <w:tc>
                <w:tcPr/>
                <w:p>
                  <w:pPr>
                    <w:pStyle w:val="Compact"/>
                    <w:jc w:val="left"/>
                    <w:jc w:val="center"/>
                  </w:pPr>
                  <w:r>
                    <w:t xml:space="preserve">&lt;0.001</w:t>
                  </w:r>
                </w:p>
              </w:tc>
            </w:tr>
            <w:tr>
              <w:tc>
                <w:tcPr/>
                <w:p>
                  <w:pPr>
                    <w:pStyle w:val="Compact"/>
                    <w:jc w:val="left"/>
                    <w:jc w:val="center"/>
                  </w:pPr>
                  <w:r>
                    <w:t xml:space="preserve">LOS ≥2 days</w:t>
                  </w:r>
                </w:p>
              </w:tc>
              <w:tc>
                <w:tcPr/>
                <w:p>
                  <w:pPr>
                    <w:pStyle w:val="Compact"/>
                    <w:jc w:val="right"/>
                    <w:jc w:val="center"/>
                  </w:pPr>
                  <w:r>
                    <w:t xml:space="preserve">37494</w:t>
                  </w:r>
                </w:p>
              </w:tc>
              <w:tc>
                <w:tcPr/>
                <w:p>
                  <w:pPr>
                    <w:pStyle w:val="Compact"/>
                    <w:jc w:val="right"/>
                    <w:jc w:val="center"/>
                  </w:pPr>
                  <w:r>
                    <w:t xml:space="preserve">1657</w:t>
                  </w:r>
                </w:p>
              </w:tc>
              <w:tc>
                <w:tcPr/>
                <w:p>
                  <w:pPr>
                    <w:pStyle w:val="Compact"/>
                    <w:jc w:val="left"/>
                    <w:jc w:val="center"/>
                  </w:pPr>
                  <w:r>
                    <w:t xml:space="preserve">0.71 (0.62–0.80)</w:t>
                  </w:r>
                </w:p>
              </w:tc>
              <w:tc>
                <w:tcPr/>
                <w:p>
                  <w:pPr>
                    <w:pStyle w:val="Compact"/>
                    <w:jc w:val="left"/>
                    <w:jc w:val="center"/>
                  </w:pPr>
                  <w:r>
                    <w:t xml:space="preserve">&lt;0.001</w:t>
                  </w:r>
                </w:p>
              </w:tc>
            </w:tr>
            <w:tr>
              <w:tc>
                <w:tcPr/>
                <w:p>
                  <w:pPr>
                    <w:pStyle w:val="Compact"/>
                    <w:jc w:val="left"/>
                    <w:jc w:val="center"/>
                  </w:pPr>
                  <w:r>
                    <w:t xml:space="preserve">TBI as principal diagnosis</w:t>
                  </w:r>
                </w:p>
              </w:tc>
              <w:tc>
                <w:tcPr/>
                <w:p>
                  <w:pPr>
                    <w:pStyle w:val="Compact"/>
                    <w:jc w:val="right"/>
                    <w:jc w:val="center"/>
                  </w:pPr>
                  <w:r>
                    <w:t xml:space="preserve">31234</w:t>
                  </w:r>
                </w:p>
              </w:tc>
              <w:tc>
                <w:tcPr/>
                <w:p>
                  <w:pPr>
                    <w:pStyle w:val="Compact"/>
                    <w:jc w:val="right"/>
                    <w:jc w:val="center"/>
                  </w:pPr>
                  <w:r>
                    <w:t xml:space="preserve">1798</w:t>
                  </w:r>
                </w:p>
              </w:tc>
              <w:tc>
                <w:tcPr/>
                <w:p>
                  <w:pPr>
                    <w:pStyle w:val="Compact"/>
                    <w:jc w:val="left"/>
                    <w:jc w:val="center"/>
                  </w:pPr>
                  <w:r>
                    <w:t xml:space="preserve">0.58 (0.51–0.66)</w:t>
                  </w:r>
                </w:p>
              </w:tc>
              <w:tc>
                <w:tcPr/>
                <w:p>
                  <w:pPr>
                    <w:pStyle w:val="Compact"/>
                    <w:jc w:val="left"/>
                    <w:jc w:val="center"/>
                  </w:pPr>
                  <w:r>
                    <w:t xml:space="preserve">&lt;0.001</w:t>
                  </w:r>
                </w:p>
              </w:tc>
            </w:tr>
            <w:tr>
              <w:tc>
                <w:tcPr/>
                <w:p>
                  <w:pPr>
                    <w:pStyle w:val="Compact"/>
                    <w:jc w:val="left"/>
                    <w:jc w:val="center"/>
                  </w:pPr>
                  <w:r>
                    <w:t xml:space="preserve">Exclude transferred-in</w:t>
                  </w:r>
                </w:p>
              </w:tc>
              <w:tc>
                <w:tcPr/>
                <w:p>
                  <w:pPr>
                    <w:pStyle w:val="Compact"/>
                    <w:jc w:val="right"/>
                    <w:jc w:val="center"/>
                  </w:pPr>
                  <w:r>
                    <w:t xml:space="preserve">38511</w:t>
                  </w:r>
                </w:p>
              </w:tc>
              <w:tc>
                <w:tcPr/>
                <w:p>
                  <w:pPr>
                    <w:pStyle w:val="Compact"/>
                    <w:jc w:val="right"/>
                    <w:jc w:val="center"/>
                  </w:pPr>
                  <w:r>
                    <w:t xml:space="preserve">1732</w:t>
                  </w:r>
                </w:p>
              </w:tc>
              <w:tc>
                <w:tcPr/>
                <w:p>
                  <w:pPr>
                    <w:pStyle w:val="Compact"/>
                    <w:jc w:val="left"/>
                    <w:jc w:val="center"/>
                  </w:pPr>
                  <w:r>
                    <w:t xml:space="preserve">0.59 (0.52–0.68)</w:t>
                  </w:r>
                </w:p>
              </w:tc>
              <w:tc>
                <w:tcPr/>
                <w:p>
                  <w:pPr>
                    <w:pStyle w:val="Compact"/>
                    <w:jc w:val="left"/>
                    <w:jc w:val="center"/>
                  </w:pPr>
                  <w:r>
                    <w:t xml:space="preserve">&lt;0.001</w:t>
                  </w:r>
                </w:p>
              </w:tc>
            </w:tr>
          </w:tbl>
          <w:bookmarkEnd w:id="36"/>
          <w:p/>
        </w:tc>
      </w:tr>
    </w:tbl>
    <w:p>
      <w:pPr>
        <w:pStyle w:val="BodyText"/>
      </w:pPr>
      <w:r>
        <w:rPr>
          <w:i/>
          <w:iCs/>
        </w:rPr>
        <w:t xml:space="preserve">aOR = adjusted odds ratio; CI = confidence interval. Cells with unweighted counts ≤10, and complementary cells or percentages that could reveal them, are suppressed.</w:t>
      </w:r>
    </w:p>
    <w:bookmarkEnd w:id="37"/>
    <w:bookmarkStart w:id="38" w:name="limitations"/>
    <w:p>
      <w:pPr>
        <w:pStyle w:val="Heading2"/>
      </w:pPr>
      <w:r>
        <w:t xml:space="preserve">Limitations</w:t>
      </w:r>
    </w:p>
    <w:p>
      <w:pPr>
        <w:pStyle w:val="FirstParagraph"/>
      </w:pPr>
      <w:r>
        <w:t xml:space="preserve">This analysis uses administrative discharge records, so diagnoses may be missing or inconsistently coded. The NIS does not provide diagnosis timing or Present on Admission indicators; we cannot determine whether AWS or other outcomes began before or during the hospitalization. The lower mortality association may reflect survivor and coding bias: patients who die early or have short stays may have less opportunity for AWS to be recognized and coded. The LOS ≥2 days sensitivity analysis addresses part of this concern but cannot remove it. The database also lacks detailed clinical severity measures, linked records across hospitals, and inpatient medication data. Findings should therefore be interpreted as associations among hospitalizations, not treatment effects or patient-level risks.</w:t>
      </w:r>
    </w:p>
    <w:bookmarkEnd w:id="38"/>
    <w:bookmarkStart w:id="39" w:name="references-and-data-citation"/>
    <w:p>
      <w:pPr>
        <w:pStyle w:val="Heading2"/>
      </w:pPr>
      <w:r>
        <w:t xml:space="preserve">References and Data Citation</w:t>
      </w:r>
    </w:p>
    <w:p>
      <w:pPr>
        <w:pStyle w:val="FirstParagraph"/>
      </w:pPr>
      <w:r>
        <w:t xml:space="preserve">Healthcare Cost and Utilization Project (HCUP).</w:t>
      </w:r>
      <w:r>
        <w:t xml:space="preserve"> </w:t>
      </w:r>
      <w:r>
        <w:rPr>
          <w:i/>
          <w:iCs/>
        </w:rPr>
        <w:t xml:space="preserve">National Inpatient Sample (NIS), 2017–2022</w:t>
      </w:r>
      <w:r>
        <w:t xml:space="preserve">. Agency for Healthcare Research and Quality, Rockville, MD. HCUP data are made available through the HCUP Partners.</w:t>
      </w:r>
    </w:p>
    <w:bookmarkEnd w:id="39"/>
    <w:bookmarkStart w:id="41" w:name="appendix.-icd-10-cm-code-list"/>
    <w:p>
      <w:pPr>
        <w:pStyle w:val="Heading2"/>
      </w:pPr>
      <w:r>
        <w:t xml:space="preserve">Appendix. ICD-10-CM Code List</w:t>
      </w:r>
    </w:p>
    <w:p>
      <w:pPr>
        <w:pStyle w:val="FirstParagraph"/>
      </w:pPr>
      <w:r>
        <w:t xml:space="preserve">The diagnosis code groups used to identify the cohort and study conditions are listed below.</w:t>
      </w:r>
    </w:p>
    <w:tbl>
      <w:tblPr>
        <w:tblStyle w:val="Table"/>
        <w:tblW w:type="pct" w:w="5000"/>
        <w:tblLayout w:type="fixed"/>
        <w:tblLook w:firstRow="0" w:lastRow="0" w:firstColumn="0" w:lastColumn="0" w:noHBand="0" w:noVBand="0" w:val="0000"/>
      </w:tblPr>
      <w:tblGrid>
        <w:gridCol w:w="7920"/>
      </w:tblGrid>
      <w:tr>
        <w:tc>
          <w:tcPr/>
          <w:bookmarkStart w:id="40" w:name="tbl-codes"/>
          <w:p>
            <w:pPr>
              <w:jc w:val="center"/>
            </w:pPr>
            <w:pPr>
              <w:jc w:val="left"/>
              <w:spacing w:before="200"/>
              <w:pStyle w:val="ImageCaption"/>
            </w:pPr>
            <w:r>
              <w:t xml:space="preserve">Table 5</w:t>
            </w:r>
          </w:p>
          <w:tbl>
            <w:tblPr>
              <w:tblStyle w:val="Table"/>
              <w:tblW w:type="pct" w:w="5000"/>
              <w:tblLayout w:type="fixed"/>
              <w:tblLook w:firstRow="1" w:lastRow="0" w:firstColumn="0" w:lastColumn="0" w:noHBand="0" w:noVBand="0" w:val="0020"/>
            </w:tblPr>
            <w:tblGrid>
              <w:gridCol w:w="1760"/>
              <w:gridCol w:w="1528"/>
              <w:gridCol w:w="4631"/>
            </w:tblGrid>
            <w:tr>
              <w:trPr>
                <w:tblHeader w:val="on"/>
              </w:trPr>
              <w:tc>
                <w:tcPr/>
                <w:p>
                  <w:pPr>
                    <w:pStyle w:val="Compact"/>
                    <w:jc w:val="left"/>
                    <w:jc w:val="center"/>
                  </w:pPr>
                  <w:r>
                    <w:t xml:space="preserve">Condition</w:t>
                  </w:r>
                </w:p>
              </w:tc>
              <w:tc>
                <w:tcPr/>
                <w:p>
                  <w:pPr>
                    <w:pStyle w:val="Compact"/>
                    <w:jc w:val="left"/>
                    <w:jc w:val="center"/>
                  </w:pPr>
                  <w:r>
                    <w:t xml:space="preserve">ICD-10 code(s)</w:t>
                  </w:r>
                </w:p>
              </w:tc>
              <w:tc>
                <w:tcPr/>
                <w:p>
                  <w:pPr>
                    <w:pStyle w:val="Compact"/>
                    <w:jc w:val="left"/>
                    <w:jc w:val="center"/>
                  </w:pPr>
                  <w:r>
                    <w:t xml:space="preserve">Description</w:t>
                  </w:r>
                </w:p>
              </w:tc>
            </w:tr>
            <w:tr>
              <w:tc>
                <w:tcPr/>
                <w:p>
                  <w:pPr>
                    <w:pStyle w:val="Compact"/>
                    <w:jc w:val="left"/>
                    <w:jc w:val="center"/>
                  </w:pPr>
                  <w:r>
                    <w:t xml:space="preserve">Acute traumatic brain injury (TBI)</w:t>
                  </w:r>
                </w:p>
              </w:tc>
              <w:tc>
                <w:tcPr/>
                <w:p>
                  <w:pPr>
                    <w:pStyle w:val="Compact"/>
                    <w:jc w:val="left"/>
                    <w:jc w:val="center"/>
                  </w:pPr>
                  <w:r>
                    <w:t xml:space="preserve">S06.xxxA</w:t>
                  </w:r>
                </w:p>
              </w:tc>
              <w:tc>
                <w:tcPr/>
                <w:p>
                  <w:pPr>
                    <w:pStyle w:val="Compact"/>
                    <w:jc w:val="left"/>
                    <w:jc w:val="center"/>
                  </w:pPr>
                  <w:r>
                    <w:t xml:space="preserve">Intracranial injury, initial encounter (7th character A, length 7)</w:t>
                  </w:r>
                </w:p>
              </w:tc>
            </w:tr>
            <w:tr>
              <w:tc>
                <w:tcPr/>
                <w:p>
                  <w:pPr>
                    <w:pStyle w:val="Compact"/>
                    <w:jc w:val="left"/>
                    <w:jc w:val="center"/>
                  </w:pPr>
                  <w:r>
                    <w:t xml:space="preserve">Active alcohol use disorder (AUD)</w:t>
                  </w:r>
                </w:p>
              </w:tc>
              <w:tc>
                <w:tcPr/>
                <w:p>
                  <w:pPr>
                    <w:pStyle w:val="Compact"/>
                    <w:jc w:val="left"/>
                    <w:jc w:val="center"/>
                  </w:pPr>
                  <w:r>
                    <w:t xml:space="preserve">F10.1, F10.2</w:t>
                  </w:r>
                </w:p>
              </w:tc>
              <w:tc>
                <w:tcPr/>
                <w:p>
                  <w:pPr>
                    <w:pStyle w:val="Compact"/>
                    <w:jc w:val="left"/>
                    <w:jc w:val="center"/>
                  </w:pPr>
                  <w:r>
                    <w:t xml:space="preserve">Alcohol abuse or dependence (excluding remission-only codes F10.11, F10.21)</w:t>
                  </w:r>
                </w:p>
              </w:tc>
            </w:tr>
            <w:tr>
              <w:tc>
                <w:tcPr/>
                <w:p>
                  <w:pPr>
                    <w:pStyle w:val="Compact"/>
                    <w:jc w:val="left"/>
                    <w:jc w:val="center"/>
                  </w:pPr>
                  <w:r>
                    <w:t xml:space="preserve">Alcohol withdrawal syndrome (AWS)</w:t>
                  </w:r>
                </w:p>
              </w:tc>
              <w:tc>
                <w:tcPr/>
                <w:p>
                  <w:pPr>
                    <w:pStyle w:val="Compact"/>
                    <w:jc w:val="left"/>
                    <w:jc w:val="center"/>
                  </w:pPr>
                  <w:r>
                    <w:t xml:space="preserve">F10.230–F10.239, F10.130–F10.139</w:t>
                  </w:r>
                </w:p>
              </w:tc>
              <w:tc>
                <w:tcPr/>
                <w:p>
                  <w:pPr>
                    <w:pStyle w:val="Compact"/>
                    <w:jc w:val="left"/>
                    <w:jc w:val="center"/>
                  </w:pPr>
                  <w:r>
                    <w:t xml:space="preserve">Alcohol withdrawal with or without delirium or perceptual disturbance (F10.13x valid from Oct 2020)</w:t>
                  </w:r>
                </w:p>
              </w:tc>
            </w:tr>
            <w:tr>
              <w:tc>
                <w:tcPr/>
                <w:p>
                  <w:pPr>
                    <w:pStyle w:val="Compact"/>
                    <w:jc w:val="left"/>
                    <w:jc w:val="center"/>
                  </w:pPr>
                  <w:r>
                    <w:t xml:space="preserve">Invasive mechanical ventilation (IMV)</w:t>
                  </w:r>
                </w:p>
              </w:tc>
              <w:tc>
                <w:tcPr/>
                <w:p>
                  <w:pPr>
                    <w:pStyle w:val="Compact"/>
                    <w:jc w:val="left"/>
                    <w:jc w:val="center"/>
                  </w:pPr>
                  <w:r>
                    <w:t xml:space="preserve">5A1935Z, 5A1945Z, 5A1955Z</w:t>
                  </w:r>
                </w:p>
              </w:tc>
              <w:tc>
                <w:tcPr/>
                <w:p>
                  <w:pPr>
                    <w:pStyle w:val="Compact"/>
                    <w:jc w:val="left"/>
                    <w:jc w:val="center"/>
                  </w:pPr>
                  <w:r>
                    <w:t xml:space="preserve">Invasive mechanical ventilation (&lt;24h, 24–96h, &gt;96h; ICD-10-PCS)</w:t>
                  </w:r>
                </w:p>
              </w:tc>
            </w:tr>
            <w:tr>
              <w:tc>
                <w:tcPr/>
                <w:p>
                  <w:pPr>
                    <w:pStyle w:val="Compact"/>
                    <w:jc w:val="left"/>
                    <w:jc w:val="center"/>
                  </w:pPr>
                  <w:r>
                    <w:t xml:space="preserve">Pneumonia</w:t>
                  </w:r>
                </w:p>
              </w:tc>
              <w:tc>
                <w:tcPr/>
                <w:p>
                  <w:pPr>
                    <w:pStyle w:val="Compact"/>
                    <w:jc w:val="left"/>
                    <w:jc w:val="center"/>
                  </w:pPr>
                  <w:r>
                    <w:t xml:space="preserve">J12–J18</w:t>
                  </w:r>
                </w:p>
              </w:tc>
              <w:tc>
                <w:tcPr/>
                <w:p>
                  <w:pPr>
                    <w:pStyle w:val="Compact"/>
                    <w:jc w:val="left"/>
                    <w:jc w:val="center"/>
                  </w:pPr>
                  <w:r>
                    <w:t xml:space="preserve">Viral, bacterial, or unspecified pneumonia</w:t>
                  </w:r>
                </w:p>
              </w:tc>
            </w:tr>
            <w:tr>
              <w:tc>
                <w:tcPr/>
                <w:p>
                  <w:pPr>
                    <w:pStyle w:val="Compact"/>
                    <w:jc w:val="left"/>
                    <w:jc w:val="center"/>
                  </w:pPr>
                  <w:r>
                    <w:t xml:space="preserve">Aspiration pneumonitis</w:t>
                  </w:r>
                </w:p>
              </w:tc>
              <w:tc>
                <w:tcPr/>
                <w:p>
                  <w:pPr>
                    <w:pStyle w:val="Compact"/>
                    <w:jc w:val="left"/>
                    <w:jc w:val="center"/>
                  </w:pPr>
                  <w:r>
                    <w:t xml:space="preserve">J69.0</w:t>
                  </w:r>
                </w:p>
              </w:tc>
              <w:tc>
                <w:tcPr/>
                <w:p>
                  <w:pPr>
                    <w:pStyle w:val="Compact"/>
                    <w:jc w:val="left"/>
                    <w:jc w:val="center"/>
                  </w:pPr>
                  <w:r>
                    <w:t xml:space="preserve">Pneumonitis due to inhalation of food and vomit</w:t>
                  </w:r>
                </w:p>
              </w:tc>
            </w:tr>
            <w:tr>
              <w:tc>
                <w:tcPr/>
                <w:p>
                  <w:pPr>
                    <w:pStyle w:val="Compact"/>
                    <w:jc w:val="left"/>
                    <w:jc w:val="center"/>
                  </w:pPr>
                  <w:r>
                    <w:t xml:space="preserve">Other substance use disorder</w:t>
                  </w:r>
                </w:p>
              </w:tc>
              <w:tc>
                <w:tcPr/>
                <w:p>
                  <w:pPr>
                    <w:pStyle w:val="Compact"/>
                    <w:jc w:val="left"/>
                    <w:jc w:val="center"/>
                  </w:pPr>
                  <w:r>
                    <w:t xml:space="preserve">F11–F16, F18, F19</w:t>
                  </w:r>
                </w:p>
              </w:tc>
              <w:tc>
                <w:tcPr/>
                <w:p>
                  <w:pPr>
                    <w:pStyle w:val="Compact"/>
                    <w:jc w:val="left"/>
                    <w:jc w:val="center"/>
                  </w:pPr>
                  <w:r>
                    <w:t xml:space="preserve">Other drug abuse or dependence (excluding remission-only codes)</w:t>
                  </w:r>
                </w:p>
              </w:tc>
            </w:tr>
            <w:tr>
              <w:tc>
                <w:tcPr/>
                <w:p>
                  <w:pPr>
                    <w:pStyle w:val="Compact"/>
                    <w:jc w:val="left"/>
                    <w:jc w:val="center"/>
                  </w:pPr>
                  <w:r>
                    <w:t xml:space="preserve">Any liver disease</w:t>
                  </w:r>
                </w:p>
              </w:tc>
              <w:tc>
                <w:tcPr/>
                <w:p>
                  <w:pPr>
                    <w:pStyle w:val="Compact"/>
                    <w:jc w:val="left"/>
                    <w:jc w:val="center"/>
                  </w:pPr>
                  <w:r>
                    <w:t xml:space="preserve">K70–K77</w:t>
                  </w:r>
                </w:p>
              </w:tc>
              <w:tc>
                <w:tcPr/>
                <w:p>
                  <w:pPr>
                    <w:pStyle w:val="Compact"/>
                    <w:jc w:val="left"/>
                    <w:jc w:val="center"/>
                  </w:pPr>
                  <w:r>
                    <w:t xml:space="preserve">Any acute or chronic liver disease</w:t>
                  </w:r>
                </w:p>
              </w:tc>
            </w:tr>
            <w:tr>
              <w:tc>
                <w:tcPr/>
                <w:p>
                  <w:pPr>
                    <w:pStyle w:val="Compact"/>
                    <w:jc w:val="left"/>
                    <w:jc w:val="center"/>
                  </w:pPr>
                  <w:r>
                    <w:t xml:space="preserve">Alcoholic liver disease</w:t>
                  </w:r>
                </w:p>
              </w:tc>
              <w:tc>
                <w:tcPr/>
                <w:p>
                  <w:pPr>
                    <w:pStyle w:val="Compact"/>
                    <w:jc w:val="left"/>
                    <w:jc w:val="center"/>
                  </w:pPr>
                  <w:r>
                    <w:t xml:space="preserve">K70</w:t>
                  </w:r>
                </w:p>
              </w:tc>
              <w:tc>
                <w:tcPr/>
                <w:p>
                  <w:pPr>
                    <w:pStyle w:val="Compact"/>
                    <w:jc w:val="left"/>
                    <w:jc w:val="center"/>
                  </w:pPr>
                  <w:r>
                    <w:t xml:space="preserve">Alcoholic liver disease</w:t>
                  </w:r>
                </w:p>
              </w:tc>
            </w:tr>
            <w:tr>
              <w:tc>
                <w:tcPr/>
                <w:p>
                  <w:pPr>
                    <w:pStyle w:val="Compact"/>
                    <w:jc w:val="left"/>
                    <w:jc w:val="center"/>
                  </w:pPr>
                  <w:r>
                    <w:t xml:space="preserve">Skull fracture</w:t>
                  </w:r>
                </w:p>
              </w:tc>
              <w:tc>
                <w:tcPr/>
                <w:p>
                  <w:pPr>
                    <w:pStyle w:val="Compact"/>
                    <w:jc w:val="left"/>
                    <w:jc w:val="center"/>
                  </w:pPr>
                  <w:r>
                    <w:t xml:space="preserve">S02.0, S02.1, S02.91</w:t>
                  </w:r>
                </w:p>
              </w:tc>
              <w:tc>
                <w:tcPr/>
                <w:p>
                  <w:pPr>
                    <w:pStyle w:val="Compact"/>
                    <w:jc w:val="left"/>
                    <w:jc w:val="center"/>
                  </w:pPr>
                  <w:r>
                    <w:t xml:space="preserve">Fracture of vault, base, or unspecified skull (7th character A or B)</w:t>
                  </w:r>
                </w:p>
              </w:tc>
            </w:tr>
            <w:tr>
              <w:tc>
                <w:tcPr/>
                <w:p>
                  <w:pPr>
                    <w:pStyle w:val="Compact"/>
                    <w:jc w:val="left"/>
                    <w:jc w:val="center"/>
                  </w:pPr>
                  <w:r>
                    <w:t xml:space="preserve">Extracranial injury</w:t>
                  </w:r>
                </w:p>
              </w:tc>
              <w:tc>
                <w:tcPr/>
                <w:p>
                  <w:pPr>
                    <w:pStyle w:val="Compact"/>
                    <w:jc w:val="left"/>
                    <w:jc w:val="center"/>
                  </w:pPr>
                  <w:r>
                    <w:t xml:space="preserve">S10–S99</w:t>
                  </w:r>
                </w:p>
              </w:tc>
              <w:tc>
                <w:tcPr/>
                <w:p>
                  <w:pPr>
                    <w:pStyle w:val="Compact"/>
                    <w:jc w:val="left"/>
                    <w:jc w:val="center"/>
                  </w:pPr>
                  <w:r>
                    <w:t xml:space="preserve">Trauma outside the head (initial encounter; 7th character A, B, or C)</w:t>
                  </w:r>
                </w:p>
              </w:tc>
            </w:tr>
            <w:tr>
              <w:tc>
                <w:tcPr/>
                <w:p>
                  <w:pPr>
                    <w:pStyle w:val="Compact"/>
                    <w:jc w:val="left"/>
                    <w:jc w:val="center"/>
                  </w:pPr>
                  <w:r>
                    <w:t xml:space="preserve">Tobacco use</w:t>
                  </w:r>
                </w:p>
              </w:tc>
              <w:tc>
                <w:tcPr/>
                <w:p>
                  <w:pPr>
                    <w:pStyle w:val="Compact"/>
                    <w:jc w:val="left"/>
                    <w:jc w:val="center"/>
                  </w:pPr>
                  <w:r>
                    <w:t xml:space="preserve">F17, Z72.0, Z87.891</w:t>
                  </w:r>
                </w:p>
              </w:tc>
              <w:tc>
                <w:tcPr/>
                <w:p>
                  <w:pPr>
                    <w:pStyle w:val="Compact"/>
                    <w:jc w:val="left"/>
                    <w:jc w:val="center"/>
                  </w:pPr>
                  <w:r>
                    <w:t xml:space="preserve">Current nicotine dependence or documented tobacco use history</w:t>
                  </w:r>
                </w:p>
              </w:tc>
            </w:tr>
          </w:tbl>
          <w:bookmarkEnd w:id="40"/>
          <w:p/>
        </w:tc>
      </w:tr>
    </w:tbl>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image" Id="rId11" Target="media/rId11.png" /><Relationship Type="http://schemas.openxmlformats.org/officeDocument/2006/relationships/hyperlink" Id="rId10" Target="https://orcid.org/0000-0002-1792-2357" TargetMode="External" /><Relationship Type="http://schemas.openxmlformats.org/officeDocument/2006/relationships/hyperlink" Id="rId9" Target="mailto:msaadasif.md@gmail.com" TargetMode="External" /></Relationships>
</file>

<file path=word/_rels/footnotes.xml.rels><?xml version="1.0" encoding="UTF-8"?><Relationships xmlns="http://schemas.openxmlformats.org/package/2006/relationships"><Relationship Type="http://schemas.openxmlformats.org/officeDocument/2006/relationships/hyperlink" Id="rId10" Target="https://orcid.org/0000-0002-1792-2357" TargetMode="External" /><Relationship Type="http://schemas.openxmlformats.org/officeDocument/2006/relationships/hyperlink" Id="rId9" Target="mailto:msaadasif.md@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Alcohol Withdrawal Syndrome in Adult Traumatic Brain Injury with Alcohol Use Disorder</dc:title>
  <dc:creator>Muhammad Saad</dc:creator>
  <cp:keywords/>
  <dcterms:created xsi:type="dcterms:W3CDTF">2026-10-26T01:04:35Z</dcterms:created>
  <dcterms:modified xsi:type="dcterms:W3CDTF">2026-10-26T01:04:35Z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National Inpatient Sample, 2017–2022</vt:lpwstr>
  </property>
  <property fmtid="{D5CDD505-2E9C-101B-9397-08002B2CF9AE}" pid="13" name="toc-title">
    <vt:lpwstr>Table of contents</vt:lpwstr>
  </property>
</Properties>
</file>