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Impact</w:t>
      </w:r>
      <w:r>
        <w:t xml:space="preserve"> </w:t>
      </w:r>
      <w:r>
        <w:t xml:space="preserve">of</w:t>
      </w:r>
      <w:r>
        <w:t xml:space="preserve"> </w:t>
      </w:r>
      <w:r>
        <w:t xml:space="preserve">Iron</w:t>
      </w:r>
      <w:r>
        <w:t xml:space="preserve"> </w:t>
      </w:r>
      <w:r>
        <w:t xml:space="preserve">Deficiency</w:t>
      </w:r>
      <w:r>
        <w:t xml:space="preserve"> </w:t>
      </w:r>
      <w:r>
        <w:t xml:space="preserve">Anemia</w:t>
      </w:r>
      <w:r>
        <w:t xml:space="preserve"> </w:t>
      </w:r>
      <w:r>
        <w:t xml:space="preserve">on</w:t>
      </w:r>
      <w:r>
        <w:t xml:space="preserve"> </w:t>
      </w:r>
      <w:r>
        <w:t xml:space="preserve">Inpatient</w:t>
      </w:r>
      <w:r>
        <w:t xml:space="preserve"> </w:t>
      </w:r>
      <w:r>
        <w:t xml:space="preserve">Outcomes</w:t>
      </w:r>
      <w:r>
        <w:t xml:space="preserve"> </w:t>
      </w:r>
      <w:r>
        <w:t xml:space="preserve">in</w:t>
      </w:r>
      <w:r>
        <w:t xml:space="preserve"> </w:t>
      </w:r>
      <w:r>
        <w:t xml:space="preserve">Inflammatory</w:t>
      </w:r>
      <w:r>
        <w:t xml:space="preserve"> </w:t>
      </w:r>
      <w:r>
        <w:t xml:space="preserve">Bowel</w:t>
      </w:r>
      <w:r>
        <w:t xml:space="preserve"> </w:t>
      </w:r>
      <w:r>
        <w:t xml:space="preserve">Disease</w:t>
      </w:r>
    </w:p>
    <w:p>
      <w:pPr>
        <w:pStyle w:val="Subtitle"/>
      </w:pPr>
      <w:r>
        <w:t xml:space="preserve">Analysis</w:t>
      </w:r>
      <w:r>
        <w:t xml:space="preserve"> </w:t>
      </w:r>
      <w:r>
        <w:t xml:space="preserve">of</w:t>
      </w:r>
      <w:r>
        <w:t xml:space="preserve"> </w:t>
      </w:r>
      <w:r>
        <w:t xml:space="preserve">NIS</w:t>
      </w:r>
      <w:r>
        <w:t xml:space="preserve"> </w:t>
      </w:r>
      <w:r>
        <w:t xml:space="preserve">2017-2022</w:t>
      </w:r>
      <w:r>
        <w:t xml:space="preserve"> </w:t>
      </w:r>
      <w:r>
        <w:t xml:space="preserve">Data</w:t>
      </w:r>
    </w:p>
    <w:p>
      <w:pPr>
        <w:pStyle w:val="Author"/>
      </w:pPr>
      <w:r>
        <w:t xml:space="preserve">Muhammad</w:t>
      </w:r>
      <w:r>
        <w:t xml:space="preserve"> </w:t>
      </w:r>
      <w:r>
        <w:t xml:space="preserve">Saad</w:t>
      </w:r>
    </w:p>
    <w:bookmarkStart w:id="22" w:name="preamble"/>
    <w:p>
      <w:pPr>
        <w:pStyle w:val="Heading2"/>
      </w:pPr>
      <w:r>
        <w:t xml:space="preserve">Preamble:</w:t>
      </w:r>
    </w:p>
    <w:p>
      <w:pPr>
        <w:numPr>
          <w:ilvl w:val="0"/>
          <w:numId w:val="1001"/>
        </w:numPr>
      </w:pPr>
      <w:r>
        <w:rPr>
          <w:b/>
          <w:bCs/>
        </w:rPr>
        <w:t xml:space="preserve">Reference Studies:</w:t>
      </w:r>
    </w:p>
    <w:p>
      <w:pPr>
        <w:pStyle w:val="Compact"/>
        <w:numPr>
          <w:ilvl w:val="1"/>
          <w:numId w:val="1002"/>
        </w:numPr>
      </w:pPr>
      <w:hyperlink r:id="rId20">
        <w:r>
          <w:rPr>
            <w:rStyle w:val="Hyperlink"/>
          </w:rPr>
          <w:t xml:space="preserve">Saad et al., 2026</w:t>
        </w:r>
      </w:hyperlink>
    </w:p>
    <w:p>
      <w:pPr>
        <w:pStyle w:val="Compact"/>
        <w:numPr>
          <w:ilvl w:val="1"/>
          <w:numId w:val="1002"/>
        </w:numPr>
      </w:pPr>
      <w:hyperlink r:id="rId21">
        <w:r>
          <w:rPr>
            <w:rStyle w:val="Hyperlink"/>
          </w:rPr>
          <w:t xml:space="preserve">Alharbi et al., 2024</w:t>
        </w:r>
      </w:hyperlink>
    </w:p>
    <w:p>
      <w:pPr>
        <w:numPr>
          <w:ilvl w:val="0"/>
          <w:numId w:val="1001"/>
        </w:numPr>
      </w:pPr>
      <w:r>
        <w:rPr>
          <w:b/>
          <w:bCs/>
        </w:rPr>
        <w:t xml:space="preserve">Study Objective:</w:t>
      </w:r>
    </w:p>
    <w:p>
      <w:pPr>
        <w:numPr>
          <w:ilvl w:val="0"/>
          <w:numId w:val="1000"/>
        </w:numPr>
      </w:pPr>
      <w:r>
        <w:t xml:space="preserve">To investigate the clinical and economic impact of Iron Deficiency Anemia (IDA) in patients hospitalized with Inflammatory Bowel Disease (IBD). Specifically, this study evaluates whether comorbid IDA is independently associated with higher in-hospital mortality, increased healthcare utilization (length of stay, inflation-adjusted costs), need for inpatient blood transfusions, and adverse discharge disposition.</w:t>
      </w:r>
    </w:p>
    <w:p>
      <w:pPr>
        <w:numPr>
          <w:ilvl w:val="0"/>
          <w:numId w:val="1001"/>
        </w:numPr>
      </w:pPr>
      <w:r>
        <w:rPr>
          <w:b/>
          <w:bCs/>
        </w:rPr>
        <w:t xml:space="preserve">Data Source:</w:t>
      </w:r>
    </w:p>
    <w:p>
      <w:pPr>
        <w:numPr>
          <w:ilvl w:val="0"/>
          <w:numId w:val="1000"/>
        </w:numPr>
      </w:pPr>
      <w:r>
        <w:t xml:space="preserve">A retrospective cohort study of the 2017–2022 Nationwide Inpatient Sample (NIS), developed by the Healthcare Cost and Utilization Project (HCUP). The NIS is the largest publicly available all-payer inpatient database in the United States, representing a 20% stratified sample of discharges from U.S. community hospitals and enabling generation of national estimates through survey-weighted analyses.</w:t>
      </w:r>
    </w:p>
    <w:p>
      <w:pPr>
        <w:numPr>
          <w:ilvl w:val="0"/>
          <w:numId w:val="1001"/>
        </w:numPr>
      </w:pPr>
      <w:r>
        <w:rPr>
          <w:b/>
          <w:bCs/>
        </w:rPr>
        <w:t xml:space="preserve">Cohort Definition:</w:t>
      </w:r>
    </w:p>
    <w:p>
      <w:pPr>
        <w:numPr>
          <w:ilvl w:val="0"/>
          <w:numId w:val="1000"/>
        </w:numPr>
      </w:pPr>
      <w:r>
        <w:t xml:space="preserve">Index hospitalizations were included if they met all of the following criteria:</w:t>
      </w:r>
    </w:p>
    <w:p>
      <w:pPr>
        <w:pStyle w:val="Compact"/>
        <w:numPr>
          <w:ilvl w:val="1"/>
          <w:numId w:val="1003"/>
        </w:numPr>
      </w:pPr>
      <w:r>
        <w:t xml:space="preserve">Adults aged ≥18 years</w:t>
      </w:r>
    </w:p>
    <w:p>
      <w:pPr>
        <w:pStyle w:val="Compact"/>
        <w:numPr>
          <w:ilvl w:val="1"/>
          <w:numId w:val="1003"/>
        </w:numPr>
      </w:pPr>
      <w:r>
        <w:t xml:space="preserve">Diagnosis of Inflammatory Bowel Disease (Crohn’s Disease or Ulcerative Colitis), identified using ICD-10-CM codes K50.x and K51.x</w:t>
      </w:r>
    </w:p>
    <w:p>
      <w:pPr>
        <w:numPr>
          <w:ilvl w:val="0"/>
          <w:numId w:val="1001"/>
        </w:numPr>
      </w:pPr>
      <w:r>
        <w:rPr>
          <w:b/>
          <w:bCs/>
        </w:rPr>
        <w:t xml:space="preserve">Exposure Categories:</w:t>
      </w:r>
    </w:p>
    <w:p>
      <w:pPr>
        <w:numPr>
          <w:ilvl w:val="0"/>
          <w:numId w:val="1000"/>
        </w:numPr>
      </w:pPr>
      <w:r>
        <w:t xml:space="preserve">Iron Deficiency Anemia (IDA) status, identified using ICD-10-CM codes D50.x:</w:t>
      </w:r>
    </w:p>
    <w:p>
      <w:pPr>
        <w:pStyle w:val="Compact"/>
        <w:numPr>
          <w:ilvl w:val="1"/>
          <w:numId w:val="1004"/>
        </w:numPr>
      </w:pPr>
      <w:r>
        <w:rPr>
          <w:b/>
          <w:bCs/>
        </w:rPr>
        <w:t xml:space="preserve">IBD without IDA:</w:t>
      </w:r>
      <w:r>
        <w:t xml:space="preserve"> </w:t>
      </w:r>
      <w:r>
        <w:t xml:space="preserve">Absence of IDA diagnosis codes (reference group)</w:t>
      </w:r>
    </w:p>
    <w:p>
      <w:pPr>
        <w:pStyle w:val="Compact"/>
        <w:numPr>
          <w:ilvl w:val="1"/>
          <w:numId w:val="1004"/>
        </w:numPr>
      </w:pPr>
      <w:r>
        <w:rPr>
          <w:b/>
          <w:bCs/>
        </w:rPr>
        <w:t xml:space="preserve">IBD with IDA:</w:t>
      </w:r>
      <w:r>
        <w:t xml:space="preserve"> </w:t>
      </w:r>
      <w:r>
        <w:t xml:space="preserve">Presence of IDA (D50.x)</w:t>
      </w:r>
    </w:p>
    <w:p>
      <w:pPr>
        <w:numPr>
          <w:ilvl w:val="0"/>
          <w:numId w:val="1001"/>
        </w:numPr>
      </w:pPr>
      <w:r>
        <w:rPr>
          <w:b/>
          <w:bCs/>
        </w:rPr>
        <w:t xml:space="preserve">Outcomes of Interest:</w:t>
      </w:r>
    </w:p>
    <w:p>
      <w:pPr>
        <w:numPr>
          <w:ilvl w:val="1"/>
          <w:numId w:val="1005"/>
        </w:numPr>
      </w:pPr>
      <w:r>
        <w:rPr>
          <w:b/>
          <w:bCs/>
        </w:rPr>
        <w:t xml:space="preserve">Primary Outcomes:</w:t>
      </w:r>
    </w:p>
    <w:p>
      <w:pPr>
        <w:pStyle w:val="Compact"/>
        <w:numPr>
          <w:ilvl w:val="2"/>
          <w:numId w:val="1006"/>
        </w:numPr>
      </w:pPr>
      <w:r>
        <w:t xml:space="preserve">In-hospital mortality</w:t>
      </w:r>
    </w:p>
    <w:p>
      <w:pPr>
        <w:pStyle w:val="Compact"/>
        <w:numPr>
          <w:ilvl w:val="2"/>
          <w:numId w:val="1006"/>
        </w:numPr>
      </w:pPr>
      <w:r>
        <w:t xml:space="preserve">Inpatient blood transfusion</w:t>
      </w:r>
    </w:p>
    <w:p>
      <w:pPr>
        <w:numPr>
          <w:ilvl w:val="1"/>
          <w:numId w:val="1005"/>
        </w:numPr>
      </w:pPr>
      <w:r>
        <w:rPr>
          <w:b/>
          <w:bCs/>
        </w:rPr>
        <w:t xml:space="preserve">Secondary Outcomes:</w:t>
      </w:r>
    </w:p>
    <w:p>
      <w:pPr>
        <w:pStyle w:val="Compact"/>
        <w:numPr>
          <w:ilvl w:val="2"/>
          <w:numId w:val="1007"/>
        </w:numPr>
      </w:pPr>
      <w:r>
        <w:t xml:space="preserve">Length of stay (LOS, days)</w:t>
      </w:r>
    </w:p>
    <w:p>
      <w:pPr>
        <w:pStyle w:val="Compact"/>
        <w:numPr>
          <w:ilvl w:val="2"/>
          <w:numId w:val="1007"/>
        </w:numPr>
      </w:pPr>
      <w:r>
        <w:t xml:space="preserve">Inflation-adjusted total hospital costs (U.S. dollars, adjusted to 2022 using CPI)</w:t>
      </w:r>
    </w:p>
    <w:p>
      <w:pPr>
        <w:pStyle w:val="Compact"/>
        <w:numPr>
          <w:ilvl w:val="2"/>
          <w:numId w:val="1007"/>
        </w:numPr>
      </w:pPr>
      <w:r>
        <w:t xml:space="preserve">Non-home discharge (transfer to skilled nursing facility, long-term care, hospice, or in-hospital death)</w:t>
      </w:r>
    </w:p>
    <w:p>
      <w:pPr>
        <w:numPr>
          <w:ilvl w:val="0"/>
          <w:numId w:val="1001"/>
        </w:numPr>
      </w:pPr>
      <w:r>
        <w:rPr>
          <w:b/>
          <w:bCs/>
        </w:rPr>
        <w:t xml:space="preserve">Covariates and Variable Construction:</w:t>
      </w:r>
    </w:p>
    <w:p>
      <w:pPr>
        <w:numPr>
          <w:ilvl w:val="1"/>
          <w:numId w:val="1008"/>
        </w:numPr>
      </w:pPr>
      <w:r>
        <w:rPr>
          <w:b/>
          <w:bCs/>
        </w:rPr>
        <w:t xml:space="preserve">Demographic &amp; Socioeconomic Factors:</w:t>
      </w:r>
    </w:p>
    <w:p>
      <w:pPr>
        <w:pStyle w:val="Compact"/>
        <w:numPr>
          <w:ilvl w:val="2"/>
          <w:numId w:val="1009"/>
        </w:numPr>
      </w:pPr>
      <w:r>
        <w:t xml:space="preserve">Age (continuous, years)</w:t>
      </w:r>
    </w:p>
    <w:p>
      <w:pPr>
        <w:pStyle w:val="Compact"/>
        <w:numPr>
          <w:ilvl w:val="2"/>
          <w:numId w:val="1009"/>
        </w:numPr>
      </w:pPr>
      <w:r>
        <w:t xml:space="preserve">Sex (Male/Female)</w:t>
      </w:r>
    </w:p>
    <w:p>
      <w:pPr>
        <w:pStyle w:val="Compact"/>
        <w:numPr>
          <w:ilvl w:val="2"/>
          <w:numId w:val="1009"/>
        </w:numPr>
      </w:pPr>
      <w:r>
        <w:t xml:space="preserve">Race/ethnicity (White, Black, Hispanic, Asian or Pacific Islander, Other)</w:t>
      </w:r>
    </w:p>
    <w:p>
      <w:pPr>
        <w:pStyle w:val="Compact"/>
        <w:numPr>
          <w:ilvl w:val="2"/>
          <w:numId w:val="1009"/>
        </w:numPr>
      </w:pPr>
      <w:r>
        <w:t xml:space="preserve">Primary expected payer (Medicare, Medicaid, Private, Other)</w:t>
      </w:r>
    </w:p>
    <w:p>
      <w:pPr>
        <w:pStyle w:val="Compact"/>
        <w:numPr>
          <w:ilvl w:val="2"/>
          <w:numId w:val="1009"/>
        </w:numPr>
      </w:pPr>
      <w:r>
        <w:t xml:space="preserve">ZIP-based median household income quartile (Q1–Q4)</w:t>
      </w:r>
    </w:p>
    <w:p>
      <w:pPr>
        <w:numPr>
          <w:ilvl w:val="1"/>
          <w:numId w:val="1008"/>
        </w:numPr>
      </w:pPr>
      <w:r>
        <w:rPr>
          <w:b/>
          <w:bCs/>
        </w:rPr>
        <w:t xml:space="preserve">Hospital Characteristics:</w:t>
      </w:r>
    </w:p>
    <w:p>
      <w:pPr>
        <w:pStyle w:val="Compact"/>
        <w:numPr>
          <w:ilvl w:val="2"/>
          <w:numId w:val="1010"/>
        </w:numPr>
      </w:pPr>
      <w:r>
        <w:t xml:space="preserve">Hospital region (Northeast, Midwest, South, West)</w:t>
      </w:r>
    </w:p>
    <w:p>
      <w:pPr>
        <w:pStyle w:val="Compact"/>
        <w:numPr>
          <w:ilvl w:val="2"/>
          <w:numId w:val="1010"/>
        </w:numPr>
      </w:pPr>
      <w:r>
        <w:t xml:space="preserve">Bed size (Small, Medium, Large)</w:t>
      </w:r>
    </w:p>
    <w:p>
      <w:pPr>
        <w:pStyle w:val="Compact"/>
        <w:numPr>
          <w:ilvl w:val="2"/>
          <w:numId w:val="1010"/>
        </w:numPr>
      </w:pPr>
      <w:r>
        <w:t xml:space="preserve">Location and teaching status (Rural, Urban non-teaching, Urban teaching)</w:t>
      </w:r>
    </w:p>
    <w:p>
      <w:pPr>
        <w:numPr>
          <w:ilvl w:val="1"/>
          <w:numId w:val="1008"/>
        </w:numPr>
      </w:pPr>
      <w:r>
        <w:rPr>
          <w:b/>
          <w:bCs/>
        </w:rPr>
        <w:t xml:space="preserve">Clinical Characteristics:</w:t>
      </w:r>
    </w:p>
    <w:p>
      <w:pPr>
        <w:pStyle w:val="Compact"/>
        <w:numPr>
          <w:ilvl w:val="2"/>
          <w:numId w:val="1011"/>
        </w:numPr>
      </w:pPr>
      <w:r>
        <w:t xml:space="preserve">Admission type (Elective vs. Non-elective)</w:t>
      </w:r>
    </w:p>
    <w:p>
      <w:pPr>
        <w:pStyle w:val="Compact"/>
        <w:numPr>
          <w:ilvl w:val="2"/>
          <w:numId w:val="1011"/>
        </w:numPr>
      </w:pPr>
      <w:r>
        <w:t xml:space="preserve">IBD Phenotype (Crohn’s Disease vs. Ulcerative Colitis)</w:t>
      </w:r>
    </w:p>
    <w:p>
      <w:pPr>
        <w:pStyle w:val="Compact"/>
        <w:numPr>
          <w:ilvl w:val="2"/>
          <w:numId w:val="1011"/>
        </w:numPr>
      </w:pPr>
      <w:r>
        <w:t xml:space="preserve">Elixhauser Comorbidity Index (continuous sum score)</w:t>
      </w:r>
    </w:p>
    <w:p>
      <w:pPr>
        <w:pStyle w:val="Compact"/>
        <w:numPr>
          <w:ilvl w:val="2"/>
          <w:numId w:val="1011"/>
        </w:numPr>
      </w:pPr>
      <w:r>
        <w:t xml:space="preserve">Selected baseline confounders: Clostridioides difficile infection, liver disease, renal failure, diabetes mellitus, hypertension, obesity</w:t>
      </w:r>
    </w:p>
    <w:p>
      <w:pPr>
        <w:numPr>
          <w:ilvl w:val="0"/>
          <w:numId w:val="1001"/>
        </w:numPr>
      </w:pPr>
      <w:r>
        <w:rPr>
          <w:b/>
          <w:bCs/>
        </w:rPr>
        <w:t xml:space="preserve">Statistical Methods:</w:t>
      </w:r>
    </w:p>
    <w:p>
      <w:pPr>
        <w:numPr>
          <w:ilvl w:val="1"/>
          <w:numId w:val="1012"/>
        </w:numPr>
      </w:pPr>
      <w:r>
        <w:rPr>
          <w:b/>
          <w:bCs/>
        </w:rPr>
        <w:t xml:space="preserve">Survey Design and Weighting:</w:t>
      </w:r>
    </w:p>
    <w:p>
      <w:pPr>
        <w:pStyle w:val="Compact"/>
        <w:numPr>
          <w:ilvl w:val="2"/>
          <w:numId w:val="1013"/>
        </w:numPr>
      </w:pPr>
      <w:r>
        <w:t xml:space="preserve">Analyses incorporated NIS’s complex sampling design using discharge weights (DISCWT), strata (NIS_STRATUM), and clustering (HOSP_NIS). The</w:t>
      </w:r>
      <w:r>
        <w:t xml:space="preserve"> </w:t>
      </w:r>
      <w:r>
        <w:rPr>
          <w:rStyle w:val="VerbatimChar"/>
        </w:rPr>
        <w:t xml:space="preserve">survey</w:t>
      </w:r>
      <w:r>
        <w:t xml:space="preserve"> </w:t>
      </w:r>
      <w:r>
        <w:t xml:space="preserve">package in R was used to generate nationally representative estimates.</w:t>
      </w:r>
    </w:p>
    <w:p>
      <w:pPr>
        <w:numPr>
          <w:ilvl w:val="1"/>
          <w:numId w:val="1012"/>
        </w:numPr>
      </w:pPr>
      <w:r>
        <w:rPr>
          <w:b/>
          <w:bCs/>
        </w:rPr>
        <w:t xml:space="preserve">Descriptive Statistics:</w:t>
      </w:r>
    </w:p>
    <w:p>
      <w:pPr>
        <w:numPr>
          <w:ilvl w:val="2"/>
          <w:numId w:val="1014"/>
        </w:numPr>
      </w:pPr>
      <w:r>
        <w:t xml:space="preserve">Baseline characteristics and outcomes were summarized by IDA status (IBD without IDA vs. IBD with IDA).</w:t>
      </w:r>
    </w:p>
    <w:p>
      <w:pPr>
        <w:numPr>
          <w:ilvl w:val="2"/>
          <w:numId w:val="1014"/>
        </w:numPr>
      </w:pPr>
      <w:r>
        <w:t xml:space="preserve">Design-based statistical tests: Rao–Scott adjusted chi-square test for categorical variables; design-based t-test/Wilcoxon for continuous variables.</w:t>
      </w:r>
    </w:p>
    <w:p>
      <w:pPr>
        <w:numPr>
          <w:ilvl w:val="1"/>
          <w:numId w:val="1012"/>
        </w:numPr>
      </w:pPr>
      <w:r>
        <w:rPr>
          <w:b/>
          <w:bCs/>
        </w:rPr>
        <w:t xml:space="preserve">Multivariable Regression:</w:t>
      </w:r>
    </w:p>
    <w:p>
      <w:pPr>
        <w:numPr>
          <w:ilvl w:val="2"/>
          <w:numId w:val="1015"/>
        </w:numPr>
      </w:pPr>
      <w:r>
        <w:rPr>
          <w:b/>
          <w:bCs/>
        </w:rPr>
        <w:t xml:space="preserve">Binary outcomes</w:t>
      </w:r>
      <w:r>
        <w:t xml:space="preserve">:</w:t>
      </w:r>
    </w:p>
    <w:p>
      <w:pPr>
        <w:pStyle w:val="Compact"/>
        <w:numPr>
          <w:ilvl w:val="3"/>
          <w:numId w:val="1016"/>
        </w:numPr>
      </w:pPr>
      <w:r>
        <w:t xml:space="preserve">Survey-weighted logistic regression with</w:t>
      </w:r>
      <w:r>
        <w:t xml:space="preserve"> </w:t>
      </w:r>
      <w:r>
        <w:rPr>
          <w:rStyle w:val="VerbatimChar"/>
        </w:rPr>
        <w:t xml:space="preserve">quasibinomial</w:t>
      </w:r>
      <w:r>
        <w:t xml:space="preserve"> </w:t>
      </w:r>
      <w:r>
        <w:t xml:space="preserve">family</w:t>
      </w:r>
    </w:p>
    <w:p>
      <w:pPr>
        <w:pStyle w:val="Compact"/>
        <w:numPr>
          <w:ilvl w:val="3"/>
          <w:numId w:val="1016"/>
        </w:numPr>
      </w:pPr>
      <w:r>
        <w:t xml:space="preserve">Adjusted odds ratios (aORs) with 95% confidence intervals</w:t>
      </w:r>
    </w:p>
    <w:p>
      <w:pPr>
        <w:numPr>
          <w:ilvl w:val="2"/>
          <w:numId w:val="1015"/>
        </w:numPr>
      </w:pPr>
      <w:r>
        <w:rPr>
          <w:b/>
          <w:bCs/>
        </w:rPr>
        <w:t xml:space="preserve">Continuous outcomes</w:t>
      </w:r>
      <w:r>
        <w:t xml:space="preserve">:</w:t>
      </w:r>
    </w:p>
    <w:p>
      <w:pPr>
        <w:pStyle w:val="Compact"/>
        <w:numPr>
          <w:ilvl w:val="3"/>
          <w:numId w:val="1017"/>
        </w:numPr>
      </w:pPr>
      <w:r>
        <w:t xml:space="preserve">Survey-weighted linear regression with</w:t>
      </w:r>
      <w:r>
        <w:t xml:space="preserve"> </w:t>
      </w:r>
      <w:r>
        <w:rPr>
          <w:rStyle w:val="VerbatimChar"/>
        </w:rPr>
        <w:t xml:space="preserve">gaussian</w:t>
      </w:r>
      <w:r>
        <w:t xml:space="preserve"> </w:t>
      </w:r>
      <w:r>
        <w:t xml:space="preserve">family</w:t>
      </w:r>
    </w:p>
    <w:p>
      <w:pPr>
        <w:pStyle w:val="Compact"/>
        <w:numPr>
          <w:ilvl w:val="3"/>
          <w:numId w:val="1017"/>
        </w:numPr>
      </w:pPr>
      <w:r>
        <w:t xml:space="preserve">Adjusted beta coefficients (β) with 95% confidence intervals</w:t>
      </w:r>
    </w:p>
    <w:p>
      <w:pPr>
        <w:numPr>
          <w:ilvl w:val="2"/>
          <w:numId w:val="1015"/>
        </w:numPr>
      </w:pPr>
      <w:r>
        <w:rPr>
          <w:b/>
          <w:bCs/>
        </w:rPr>
        <w:t xml:space="preserve">Adjustment variables:</w:t>
      </w:r>
      <w:r>
        <w:t xml:space="preserve"> </w:t>
      </w:r>
      <w:r>
        <w:t xml:space="preserve">Age, sex, race/ethnicity, primary payer, income quartile, hospital region, bed size, teaching status, admission type (elective vs. non-elective), IBD phenotype (Crohn’s Disease vs. Ulcerative Colitis), and the Elixhauser Comorbidity Index sum score.</w:t>
      </w:r>
    </w:p>
    <w:p>
      <w:pPr>
        <w:numPr>
          <w:ilvl w:val="2"/>
          <w:numId w:val="1015"/>
        </w:numPr>
      </w:pPr>
      <w:r>
        <w:rPr>
          <w:b/>
          <w:bCs/>
        </w:rPr>
        <w:t xml:space="preserve">Reference group:</w:t>
      </w:r>
      <w:r>
        <w:t xml:space="preserve"> </w:t>
      </w:r>
      <w:r>
        <w:t xml:space="preserve">IBD without IDA</w:t>
      </w:r>
    </w:p>
    <w:p>
      <w:pPr>
        <w:numPr>
          <w:ilvl w:val="0"/>
          <w:numId w:val="1001"/>
        </w:numPr>
      </w:pPr>
      <w:r>
        <w:rPr>
          <w:b/>
          <w:bCs/>
        </w:rPr>
        <w:t xml:space="preserve">Software:</w:t>
      </w:r>
    </w:p>
    <w:p>
      <w:pPr>
        <w:numPr>
          <w:ilvl w:val="0"/>
          <w:numId w:val="1000"/>
        </w:numPr>
      </w:pPr>
      <w:r>
        <w:t xml:space="preserve">All analyses were conducted in R Statistical Language (Version 4.5.1; R Foundation for Statistical Computing, Vienna, Austria).</w:t>
      </w:r>
    </w:p>
    <w:p>
      <w:r>
        <w:pict>
          <v:rect style="width:0;height:1.5pt" o:hralign="center" o:hrstd="t" o:hr="t"/>
        </w:pict>
      </w:r>
    </w:p>
    <w:bookmarkEnd w:id="22"/>
    <w:bookmarkStart w:id="23" w:name="baseline-characteristics-table"/>
    <w:p>
      <w:pPr>
        <w:pStyle w:val="Heading2"/>
      </w:pPr>
      <w:r>
        <w:t xml:space="preserve">Baseline Characteristics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521,975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IBD without IDA</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445,140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IBD with IDA</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76,835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 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241,725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207,515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34,210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280,200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237,590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42,610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370,490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323,700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46,790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7,960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6,435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71,685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56,015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15,670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43,535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35,210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8,325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15,830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13,230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129,875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109,625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20,250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130,780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111,750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19,030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132,230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113,295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18,935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122,160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104,555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17,605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139,090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123,185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15,905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97,575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78,995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18,580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45,315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37,570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7,745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239,220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204,705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34,515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108,465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93,590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14,875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125,755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106,570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19,185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199,475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171,070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28,405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88,280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73,910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14,370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270,680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228,825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41,855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142,815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122,745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20,070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108,480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93,570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14,910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400,325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338,035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62,290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33,505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30,110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3,395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88,145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76,995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11,150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Elective 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447,220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377,190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70,030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74,315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67,605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6,710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 (1.84)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 (1.81)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 (1.75)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IBD Phenotype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Crohn's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319,885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277,890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41,995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Ulcerative Colitis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202,090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167,250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34,840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Clostridioides difficile Infection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12,775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9,960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29,030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24,925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Renal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30,480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26,575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53,815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47,360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6,455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159,540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141,365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18,175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55,980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48,395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7,585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Mean (SD);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Design-based KruskalWallis test; Pearson's X^2: Rao &amp; Scott adjustment</w:t>
            </w:r>
          </w:p>
        </w:tc>
      </w:tr>
    </w:tbl>
    <w:bookmarkEnd w:id="23"/>
    <w:bookmarkStart w:id="24" w:name="outcomes-table-univariable-analysis"/>
    <w:p>
      <w:pPr>
        <w:pStyle w:val="Heading2"/>
      </w:pPr>
      <w:r>
        <w:t xml:space="preserve">Outcomes Table (Univariable Analysis):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521,975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IBD without IDA</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445,140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IBD with IDA</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76,835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Mortality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1,680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1,540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(3.0,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Hospital Costs (2022 USD)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9,382 (5,905, 16,481)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9,149 (5,780, 16,109)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10,751 (6,788, 18,596)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Non-Home Discharge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41,700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35,740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5,960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Inpatient Blood Transfusion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29,340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19,750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9,590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n (%); Median (Q1, Q3)</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 Design-based KruskalWallis test</w:t>
            </w:r>
          </w:p>
        </w:tc>
      </w:tr>
    </w:tbl>
    <w:bookmarkEnd w:id="24"/>
    <w:bookmarkStart w:id="28" w:name="multivariable-logistic-regression-models"/>
    <w:p>
      <w:pPr>
        <w:pStyle w:val="Heading2"/>
      </w:pPr>
      <w:r>
        <w:t xml:space="preserve">Multivariable Logistic Regression Models:</w:t>
      </w:r>
    </w:p>
    <w:bookmarkStart w:id="25" w:name="inpatient-blood-transfusion"/>
    <w:p>
      <w:pPr>
        <w:pStyle w:val="Heading3"/>
      </w:pPr>
      <w:r>
        <w:t xml:space="preserve">Inpatient Blood Transfusion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IDA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IBD without IDA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IBD with IDA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IBD Phenotype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Crohn's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Ulcerative Colitis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1.87, 2.10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 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1.26, 1.69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Elective 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5"/>
    <w:bookmarkStart w:id="26" w:name="in-hospital-mortality"/>
    <w:p>
      <w:pPr>
        <w:pStyle w:val="Heading3"/>
      </w:pPr>
      <w:r>
        <w:t xml:space="preserve">In-Hospital Mortality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IDA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IBD without IDA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IBD with IDA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IBD Phenotype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Crohn's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Ulcerative Colitis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 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0.33, 2.48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0.68, 2.25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Elective 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1.03, 2.16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1.55, 1.69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6"/>
    <w:bookmarkStart w:id="27" w:name="non-home-discharge"/>
    <w:p>
      <w:pPr>
        <w:pStyle w:val="Heading3"/>
      </w:pPr>
      <w:r>
        <w:t xml:space="preserve">Non-Home Discharge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IDA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IBD without IDA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IBD with IDA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IBD Phenotype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Crohn's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Ulcerative Colitis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 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Elective 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7"/>
    <w:bookmarkEnd w:id="28"/>
    <w:bookmarkStart w:id="31" w:name="multivariable-linear-regression-models"/>
    <w:p>
      <w:pPr>
        <w:pStyle w:val="Heading2"/>
      </w:pPr>
      <w:r>
        <w:t xml:space="preserve">Multivariable Linear Regression Models:</w:t>
      </w:r>
    </w:p>
    <w:bookmarkStart w:id="29" w:name="length-of-stay-days"/>
    <w:p>
      <w:pPr>
        <w:pStyle w:val="Heading3"/>
      </w:pPr>
      <w:r>
        <w:t xml:space="preserve">Length of Stay (Days)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IDA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IBD without IDA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IBD with IDA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IBD Phenotype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Crohn's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Ulcerative Colitis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 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-0.14, 0.09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-0.14, 0.13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-0.18, 0.20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0.15, 0.43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-0.03, 0.27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 -0.08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-0.27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Elective 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29"/>
    <w:bookmarkStart w:id="30" w:name="inflation-adjusted-hospital-costs"/>
    <w:p>
      <w:pPr>
        <w:pStyle w:val="Heading3"/>
      </w:pPr>
      <w:r>
        <w:t xml:space="preserve">Inflation-Adjusted Hospital Costs ($)</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IDA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IBD without IDA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IBD with IDA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-437, 288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IBD Phenotype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Crohn's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Ulcerative Colitis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270, 743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 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-1,298, -827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1,636, 4,264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56, 813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771, 1,699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935, 2,374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386, 993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803, 1,431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1,986, 2,778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352, 1,289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-31, 826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680, 1,366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-2,998, -1,995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-2,925, -2,005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2,296, 3,618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-2,359, -1,608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-3,264, -2,577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-2,246, -1,420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-2,680, -2,071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Elective 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10,534, 11,484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2,128, 2,342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i.org/10.1177/00033197251415219" TargetMode="External" /><Relationship Type="http://schemas.openxmlformats.org/officeDocument/2006/relationships/hyperlink" Id="rId21" Target="https://www.tandfonline.com/doi/full/10.1080/21548331.2024.2337615"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177/00033197251415219" TargetMode="External" /><Relationship Type="http://schemas.openxmlformats.org/officeDocument/2006/relationships/hyperlink" Id="rId21" Target="https://www.tandfonline.com/doi/full/10.1080/21548331.2024.23376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Iron Deficiency Anemia on Inpatient Outcomes in Inflammatory Bowel Disease</dc:title>
  <dc:creator>Muhammad Saad</dc:creator>
  <cp:keywords/>
  <dcterms:created xsi:type="dcterms:W3CDTF">2026-02-23T21:07:31Z</dcterms:created>
  <dcterms:modified xsi:type="dcterms:W3CDTF">2026-02-23T21:07:31Z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Analysis of NIS 2017-2022 Data</vt:lpwstr>
  </property>
  <property fmtid="{D5CDD505-2E9C-101B-9397-08002B2CF9AE}" pid="12" name="toc-title">
    <vt:lpwstr>Table of contents</vt:lpwstr>
  </property>
</Properties>
</file>