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Safety</w:t>
      </w:r>
      <w:r>
        <w:t xml:space="preserve"> </w:t>
      </w:r>
      <w:r>
        <w:t xml:space="preserve">of</w:t>
      </w:r>
      <w:r>
        <w:t xml:space="preserve"> </w:t>
      </w:r>
      <w:r>
        <w:t xml:space="preserve">Catheter</w:t>
      </w:r>
      <w:r>
        <w:t xml:space="preserve"> </w:t>
      </w:r>
      <w:r>
        <w:t xml:space="preserve">Ablation</w:t>
      </w:r>
      <w:r>
        <w:t xml:space="preserve"> </w:t>
      </w:r>
      <w:r>
        <w:t xml:space="preserve">Therapy</w:t>
      </w:r>
      <w:r>
        <w:t xml:space="preserve"> </w:t>
      </w:r>
      <w:r>
        <w:t xml:space="preserve">for</w:t>
      </w:r>
      <w:r>
        <w:t xml:space="preserve"> </w:t>
      </w:r>
      <w:r>
        <w:t xml:space="preserve">Cardiac</w:t>
      </w:r>
      <w:r>
        <w:t xml:space="preserve"> </w:t>
      </w:r>
      <w:r>
        <w:t xml:space="preserve">Arrhythmias</w:t>
      </w:r>
      <w:r>
        <w:t xml:space="preserve"> </w:t>
      </w:r>
      <w:r>
        <w:t xml:space="preserve">in</w:t>
      </w:r>
      <w:r>
        <w:t xml:space="preserve"> </w:t>
      </w:r>
      <w:r>
        <w:t xml:space="preserve">Congenital</w:t>
      </w:r>
      <w:r>
        <w:t xml:space="preserve"> </w:t>
      </w:r>
      <w:r>
        <w:t xml:space="preserve">Heart</w:t>
      </w:r>
      <w:r>
        <w:t xml:space="preserve"> </w:t>
      </w:r>
      <w:r>
        <w:t xml:space="preserve">Disease:</w:t>
      </w:r>
      <w:r>
        <w:t xml:space="preserve"> </w:t>
      </w:r>
      <w:r>
        <w:t xml:space="preserve">An</w:t>
      </w:r>
      <w:r>
        <w:t xml:space="preserve"> </w:t>
      </w:r>
      <w:r>
        <w:t xml:space="preserve">Analysis</w:t>
      </w:r>
      <w:r>
        <w:t xml:space="preserve"> </w:t>
      </w:r>
      <w:r>
        <w:t xml:space="preserve">of</w:t>
      </w:r>
      <w:r>
        <w:t xml:space="preserve"> </w:t>
      </w:r>
      <w:r>
        <w:t xml:space="preserve">the</w:t>
      </w:r>
      <w:r>
        <w:t xml:space="preserve"> </w:t>
      </w:r>
      <w:r>
        <w:t xml:space="preserve">National</w:t>
      </w:r>
      <w:r>
        <w:t xml:space="preserve"> </w:t>
      </w:r>
      <w:r>
        <w:t xml:space="preserve">Inpatient</w:t>
      </w:r>
      <w:r>
        <w:t xml:space="preserve"> </w:t>
      </w:r>
      <w:r>
        <w:t xml:space="preserve">Sample</w:t>
      </w:r>
      <w:r>
        <w:t xml:space="preserve"> </w:t>
      </w:r>
      <w:r>
        <w:t xml:space="preserve">(NIS)</w:t>
      </w:r>
      <w:r>
        <w:t xml:space="preserve"> </w:t>
      </w:r>
      <w:r>
        <w:t xml:space="preserve">Database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Cardio6</w:t>
      </w:r>
    </w:p>
    <w:p>
      <w:pPr>
        <w:pStyle w:val="Author"/>
      </w:pPr>
      <w:r>
        <w:t xml:space="preserve">Muhammad</w:t>
      </w:r>
      <w:r>
        <w:t xml:space="preserve"> </w:t>
      </w:r>
      <w:r>
        <w:t xml:space="preserve">Saad</w:t>
      </w:r>
    </w:p>
    <w:bookmarkStart w:id="22" w:name="preamble"/>
    <w:p>
      <w:pPr>
        <w:pStyle w:val="Heading2"/>
      </w:pPr>
      <w:r>
        <w:t xml:space="preserve">Preamble:</w:t>
      </w:r>
    </w:p>
    <w:p>
      <w:pPr>
        <w:numPr>
          <w:ilvl w:val="0"/>
          <w:numId w:val="1001"/>
        </w:numPr>
      </w:pPr>
      <w:r>
        <w:rPr>
          <w:b/>
          <w:bCs/>
        </w:rPr>
        <w:t xml:space="preserve">Reference Papers:</w:t>
      </w:r>
    </w:p>
    <w:p>
      <w:pPr>
        <w:numPr>
          <w:ilvl w:val="1"/>
          <w:numId w:val="1002"/>
        </w:numPr>
      </w:pPr>
      <w:hyperlink r:id="rId20">
        <w:r>
          <w:rPr>
            <w:rStyle w:val="Hyperlink"/>
          </w:rPr>
          <w:t xml:space="preserve">Alhassan et al. 2023</w:t>
        </w:r>
      </w:hyperlink>
    </w:p>
    <w:p>
      <w:pPr>
        <w:numPr>
          <w:ilvl w:val="1"/>
          <w:numId w:val="1002"/>
        </w:numPr>
      </w:pPr>
      <w:hyperlink r:id="rId21">
        <w:r>
          <w:rPr>
            <w:rStyle w:val="Hyperlink"/>
          </w:rPr>
          <w:t xml:space="preserve">Hosseini et al. 2017</w:t>
        </w:r>
      </w:hyperlink>
    </w:p>
    <w:p>
      <w:pPr>
        <w:numPr>
          <w:ilvl w:val="0"/>
          <w:numId w:val="1001"/>
        </w:numPr>
      </w:pPr>
      <w:r>
        <w:rPr>
          <w:b/>
          <w:bCs/>
        </w:rPr>
        <w:t xml:space="preserve">Study Objective</w:t>
      </w:r>
      <w:r>
        <w:t xml:space="preserve">: Compare the safety and clinical outcomes of catheter ablation therapy for cardiac arrhythmias in patients with congenital heart disease (CHD) versus without CHD</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for patients aged 18 years or older who underwent catheter ablation with atrial fibrillation, atrial flutter, supraventricular tachycardia, or ventricular tachycardia as the primary diagnosis. Excluded patients who underwent pacemaker implantation, implantable cardioverter-defibrillator insertion, or open surgical ablation during the same hospitalization to avoid confounding effects from these procedures.</w:t>
      </w:r>
    </w:p>
    <w:p>
      <w:pPr>
        <w:numPr>
          <w:ilvl w:val="0"/>
          <w:numId w:val="1001"/>
        </w:numPr>
      </w:pPr>
      <w:r>
        <w:rPr>
          <w:b/>
          <w:bCs/>
        </w:rPr>
        <w:t xml:space="preserve">Catheter Ablation Categories</w:t>
      </w:r>
      <w:r>
        <w:t xml:space="preserve">:</w:t>
      </w:r>
    </w:p>
    <w:p>
      <w:pPr>
        <w:numPr>
          <w:ilvl w:val="1"/>
          <w:numId w:val="1003"/>
        </w:numPr>
      </w:pPr>
      <w:r>
        <w:t xml:space="preserve">Catheter Ablation with CHD</w:t>
      </w:r>
    </w:p>
    <w:p>
      <w:pPr>
        <w:numPr>
          <w:ilvl w:val="1"/>
          <w:numId w:val="1003"/>
        </w:numPr>
      </w:pPr>
      <w:r>
        <w:t xml:space="preserve">Catheter Ablation without CHD</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Length of stay (days)</w:t>
      </w:r>
    </w:p>
    <w:p>
      <w:pPr>
        <w:numPr>
          <w:ilvl w:val="1"/>
          <w:numId w:val="1004"/>
        </w:numPr>
      </w:pPr>
      <w:r>
        <w:t xml:space="preserve">Inflation-adjusted total charge ($)</w:t>
      </w:r>
    </w:p>
    <w:p>
      <w:pPr>
        <w:numPr>
          <w:ilvl w:val="0"/>
          <w:numId w:val="1001"/>
        </w:numPr>
      </w:pPr>
      <w:r>
        <w:rPr>
          <w:b/>
          <w:bCs/>
        </w:rPr>
        <w:t xml:space="preserve">Secondary Outcomes</w:t>
      </w:r>
      <w:r>
        <w:t xml:space="preserve">:</w:t>
      </w:r>
    </w:p>
    <w:p>
      <w:pPr>
        <w:pStyle w:val="Compact"/>
        <w:numPr>
          <w:ilvl w:val="1"/>
          <w:numId w:val="1005"/>
        </w:numPr>
      </w:pPr>
      <w:r>
        <w:t xml:space="preserve">Pericardial complications</w:t>
      </w:r>
    </w:p>
    <w:p>
      <w:pPr>
        <w:pStyle w:val="Compact"/>
        <w:numPr>
          <w:ilvl w:val="1"/>
          <w:numId w:val="1005"/>
        </w:numPr>
      </w:pPr>
      <w:r>
        <w:t xml:space="preserve">Cardiac complications</w:t>
      </w:r>
    </w:p>
    <w:p>
      <w:pPr>
        <w:pStyle w:val="Compact"/>
        <w:numPr>
          <w:ilvl w:val="1"/>
          <w:numId w:val="1005"/>
        </w:numPr>
      </w:pPr>
      <w:r>
        <w:t xml:space="preserve">Vascular complications</w:t>
      </w:r>
    </w:p>
    <w:p>
      <w:pPr>
        <w:pStyle w:val="Compact"/>
        <w:numPr>
          <w:ilvl w:val="1"/>
          <w:numId w:val="1005"/>
        </w:numPr>
      </w:pPr>
      <w:r>
        <w:t xml:space="preserve">Respiratory complications</w:t>
      </w:r>
    </w:p>
    <w:p>
      <w:pPr>
        <w:pStyle w:val="Compact"/>
        <w:numPr>
          <w:ilvl w:val="1"/>
          <w:numId w:val="1005"/>
        </w:numPr>
      </w:pPr>
      <w:r>
        <w:t xml:space="preserve">Gastrointestinal complications</w:t>
      </w:r>
    </w:p>
    <w:p>
      <w:pPr>
        <w:pStyle w:val="Compact"/>
        <w:numPr>
          <w:ilvl w:val="1"/>
          <w:numId w:val="1005"/>
        </w:numPr>
      </w:pPr>
      <w:r>
        <w:t xml:space="preserve">Cerebrovascular infarction</w:t>
      </w:r>
    </w:p>
    <w:p>
      <w:pPr>
        <w:pStyle w:val="Compact"/>
        <w:numPr>
          <w:ilvl w:val="1"/>
          <w:numId w:val="1005"/>
        </w:numPr>
      </w:pPr>
      <w:r>
        <w:t xml:space="preserve">Infections</w:t>
      </w:r>
    </w:p>
    <w:p>
      <w:pPr>
        <w:numPr>
          <w:ilvl w:val="0"/>
          <w:numId w:val="1001"/>
        </w:numPr>
      </w:pPr>
      <w:r>
        <w:rPr>
          <w:b/>
          <w:bCs/>
        </w:rPr>
        <w:t xml:space="preserve">Statistical Analysis</w:t>
      </w:r>
      <w:r>
        <w:t xml:space="preserve">: Multiple logistic and linear regression models were used to evaluate independent associations of CHD with catheter ablation clinical outcomes, adjusting for:</w:t>
      </w:r>
    </w:p>
    <w:p>
      <w:pPr>
        <w:numPr>
          <w:ilvl w:val="1"/>
          <w:numId w:val="1006"/>
        </w:numPr>
      </w:pPr>
      <w:r>
        <w:t xml:space="preserve">Demographics: Age, sex, race, residential income, insurance type, hospital region, hospital bedsize, hospital location and teaching status, and admission type (elective vs. non-elective).</w:t>
      </w:r>
    </w:p>
    <w:p>
      <w:pPr>
        <w:numPr>
          <w:ilvl w:val="1"/>
          <w:numId w:val="1006"/>
        </w:numPr>
      </w:pPr>
      <w:r>
        <w:t xml:space="preserve">Medical History: Hypertension, obesity, obstructive sleep apnea, smoking status, diabetes mellitus, chronic pulmonary disease, chronic kidney disease, previous stroke or transient ischemic attack, peripheral vascular disease, previous implantable cardioverter-defibrillator (ICD) insertion, and previous pacemaker or cardiac resynchronization therapy (CRT) insertion.</w:t>
      </w:r>
    </w:p>
    <w:p>
      <w:pPr>
        <w:numPr>
          <w:ilvl w:val="1"/>
          <w:numId w:val="1006"/>
        </w:numPr>
      </w:pPr>
      <w:r>
        <w:t xml:space="preserve">Comorbidities: Charlson comorbidity index.</w:t>
      </w:r>
    </w:p>
    <w:p>
      <w:pPr>
        <w:numPr>
          <w:ilvl w:val="1"/>
          <w:numId w:val="1006"/>
        </w:numPr>
      </w:pPr>
      <w:r>
        <w:t xml:space="preserve">Ablation-Related Factors: Indication for Ablation</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CHD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109,535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CHD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2,370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111,905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43,505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66,955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68,395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85,160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27,080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27,620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27,760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28,315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27,180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33,430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66,080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67,210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25,690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47,435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48,265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15,360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69,805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71,335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28,840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11,775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95,765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97,900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38,495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71,765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73,260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Indication for ablation,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52,475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53,520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28,140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16,195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16,500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63,245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64,460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29,320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23,300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9,370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32,725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27,015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22,495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10,290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13,345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7,770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7,885 (7.0)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Design-based KruskalWallis test; Pearson's X^2: Rao &amp; Scott adjustment</w:t>
            </w:r>
          </w:p>
        </w:tc>
      </w:tr>
    </w:tbl>
    <w:bookmarkEnd w:id="23"/>
    <w:bookmarkStart w:id="24"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CHD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109,535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CHD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2,370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111,905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855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 total charges,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132,083 (93,461 – 195,123)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138,056 (99,076 – 202,284)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132,297 (93,544 – 195,245)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Pericardial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Acute pericarditis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Cardiac Tamponade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Hemopericardium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Pericardial Effusion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3,610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Pericardiocentesis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Myocardial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Myocardial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Postcardiotomy syndrome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Postprocedural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Requiring open heart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Accidental puncture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Fistulas/aneurysms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Hemo-transfusion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Hemorrhage/hematoma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Injury requiring surgical repair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Vascular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Diaphragmatic 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Pneumothorax/hemothorax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Postoperative respiratory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Gastrointestinal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Esophageal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Esophageal perforation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Intra-/postprocedural cerebrovascular infarction,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Infections,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(&lt;0.1)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Pearson's X^2: Rao &amp; Scott adjustment; Design-based KruskalWallis test</w:t>
            </w:r>
          </w:p>
        </w:tc>
      </w:tr>
    </w:tbl>
    <w:bookmarkEnd w:id="24"/>
    <w:bookmarkStart w:id="33"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(0.33 to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(1.00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(0.72 to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(0.06 to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(0.45 to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(0.31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 (0.80 to 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(0.65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(0.28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 (1.18 to 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(0.87 to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(1.01 to 6.08)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(0.40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(0.62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(0.66 to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(0.57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(0.41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(0.24 to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(0.33 to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(0.75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(1.41 to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(0.24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(0.07 to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 (3.08 to 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(0.22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(0.56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(0.39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(0.53 to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(0.38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(0.57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(0.24 to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(0.21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(0.67 to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(0.18 to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pericardial-complications"/>
    <w:p>
      <w:pPr>
        <w:pStyle w:val="Heading3"/>
      </w:pPr>
      <w:r>
        <w:t xml:space="preserve">Pericardial Complications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(1.28 to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(0.99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(0.57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(0.84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(0.76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(0.34 to 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(0.57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(0.93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(0.99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(0.92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(0.44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(0.83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(0.57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(0.58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(0.74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(0.56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(0.95 to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(1.01 to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(0.40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(0.96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(0.44 to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(1.28 to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(0.66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(0.73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(0.74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(0.75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(0.61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(0.51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cardiac-complications"/>
    <w:p>
      <w:pPr>
        <w:pStyle w:val="Heading3"/>
      </w:pPr>
      <w:r>
        <w:t xml:space="preserve">Cardiac Complications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(1.94 to 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(0.64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(0.71 to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(0.67 to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(0.70 to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(0.48 to 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(0.77 to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(0.82 to 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(0.90 to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(0.32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(0.48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(0.33 to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(0.62 to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(0.63 to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to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(0.40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(0.15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(0.18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 (0.40 to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(0.34 to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(0.80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(0.35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(0.31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(0.94 to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(0.66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(0.88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(0.41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(0.17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(0.73 to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(0.37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(0.52 to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(0.41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(0.19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(0.53 to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(0.46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vascular-complications"/>
    <w:p>
      <w:pPr>
        <w:pStyle w:val="Heading3"/>
      </w:pPr>
      <w:r>
        <w:t xml:space="preserve">Vascular Complications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(0.62 to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(1.00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(0.68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(0.63 to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(0.82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(0.58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(0.27 to 4.19)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(0.95 to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(0.78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(0.81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(0.76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(0.71 to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(0.94 to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(0.27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(0.95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(0.89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(0.72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(0.76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(0.61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(0.42 to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(0.50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(0.44 to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(1.14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(0.44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(0.33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(1.79 to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(0.73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(0.94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(0.89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(0.68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(0.60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(0.58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(0.44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(0.34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respiratory-complications"/>
    <w:p>
      <w:pPr>
        <w:pStyle w:val="Heading3"/>
      </w:pPr>
      <w:r>
        <w:t xml:space="preserve">Respiratory Complications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(0.31 to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(0.99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(0.80 to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(0.45 to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(0.41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(0.92 to 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(0.27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(0.14 to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(0.62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(0.73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(0.52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(0.27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(0.51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(0.39 to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(0.27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(0.77 to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(0.85 to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(0.67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(0.39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(0.33 to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(0.34 to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(0.31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(1.22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(0.36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(0.09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(0.61 to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(0.46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(0.89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(0.90 to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(0.33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(0.33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(0.80 to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(0.31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(0.38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(0.44 to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(0.21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(0.23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Start w:id="30" w:name="gastrointestinal-complications"/>
    <w:p>
      <w:pPr>
        <w:pStyle w:val="Heading3"/>
      </w:pPr>
      <w:r>
        <w:t xml:space="preserve">Gastrointestinal Complications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(0.74 to 6.01)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(1.01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(0.51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 (1.76 to 9.82)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(0.46 to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(0.28 to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(0.41 to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(0.60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(0.48 to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(0.52 to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(0.31 to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(0.34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(0.31 to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(0.36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(0.42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(0.36 to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(0.58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(0.21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(0.30 to 5.12)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(0.34 to 4.80)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(0.58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(1.21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(0.66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(0.41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(0.77 to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(0.54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(0.76 to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(0.37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(0.44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(0.48 to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(0.12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(0.62 to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(0.09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(0.26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0"/>
    <w:bookmarkStart w:id="31" w:name="X17c74e124de3eaeef209755d8a542f29fe09f8f"/>
    <w:p>
      <w:pPr>
        <w:pStyle w:val="Heading3"/>
      </w:pPr>
      <w:r>
        <w:t xml:space="preserve">Intra-/postprocedural cerebrovascular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 (1.17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(0.98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(0.39 to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 (0.60 to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(0.36 to 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(0.09 to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(1.51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(0.50 to 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 (0.92 to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(0.52 to 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(1.31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(0.30 to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 (0.92 to 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(0.40 to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(0.26 to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(0.11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(0.10 to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161,003,147 (19,651,927 to 1,319,057,056)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96,396,295 (12,846,811 to 723,311,446)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(0.06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 (1.95 to 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(0.20 to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(0.38 to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(0.64 to 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(0.15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(0.41 to 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(0.07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(0.03 to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(0.03 to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(0.38 to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(0.08 to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(0.15 to 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(0.03 to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1"/>
    <w:bookmarkStart w:id="32" w:name="infections"/>
    <w:p>
      <w:pPr>
        <w:pStyle w:val="Heading3"/>
      </w:pPr>
      <w:r>
        <w:t xml:space="preserve">Infections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(0.90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 (0.85 to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(1.03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(0.70 to 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(0.13 to 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(0.40 to 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(0.19 to 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8.62 (0.53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(0.03 to 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(0.42 to 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(0.09 to 6.71)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(0.04 to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(0.08 to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18,305,730 (1,456,664 to 230,045,959)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23,028,712 (7,448,293 to 71,200,416)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(0.33 to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(0.83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(0.17 to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(0.14 to 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 (2.24 to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(0.10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(0.31 to 6.19)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(0.21 to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 (0.43 to 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(0.62 to 5.79)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(0.17 to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(0.15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(0.11 to 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(0.02 to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(0.23 to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2"/>
    <w:bookmarkEnd w:id="33"/>
    <w:bookmarkStart w:id="36" w:name="multivariable-linear-regression"/>
    <w:p>
      <w:pPr>
        <w:pStyle w:val="Heading2"/>
      </w:pPr>
      <w:r>
        <w:t xml:space="preserve">Multivariable Linear Regression:</w:t>
      </w:r>
    </w:p>
    <w:bookmarkStart w:id="34"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(0.30 to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 to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(-0.32 to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(-0.47 to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(0.24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(-0.46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(-0.73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(-0.56 to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(-0.21 to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(-0.39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(-0.56 to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(0.27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(0.09 to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(-0.08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(-0.52 to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to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(-0.39 to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(-0.50 to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(-0.59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(-0.43 to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(-0.22 to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(1.8 to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(0.64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(-0.59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(-0.98 to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 to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(-0.44 to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(0.09 to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 to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(-0.25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(-0.97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(-0.13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(-1.1 to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(-0.50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(-0.81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(-1.2 to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(-0.69 to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4"/>
    <w:bookmarkStart w:id="35"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Catheter Ablation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16,819 (1,853 to 31,785)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(-604 to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7,236 (4,278 to 10,193)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1,609 (-11,540 to 14,759)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(-6,609 to 6,585)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10,441 (2,807 to 18,076)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18,373 (-41,093 to 77,839)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10,409 (-6,064 to 26,882)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2,153 (-2,365 to 6,670)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4,716 (-358 to 9,790)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11,479 (3,900 to 19,058)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2,456 (-4,969 to 9,881)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8,896 (3,688 to 14,105)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-1,462 (-10,206 to 7,282)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31,997 (18,603 to 45,390)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42,233 (34,842 to 49,625)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46,836 (36,632 to 57,040)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1,670 (-7,270 to 10,609)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7,939 (-3,199 to 19,076)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54,387 (40,079 to 68,694)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52,075 (38,795 to 65,356)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-4,097 (-9,968 to 1,775)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7,811 (6,008 to 9,613)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-29,037 (-33,517 to -24,558)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-31,096 (-35,992 to -26,200)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45,033 (32,826 to 57,239)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(-6,026 to 2,796)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8,282 (3,955 to 12,610)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(-3,273 to 5,040)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-11,304 (-17,256 to -5,352)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-6,946 (-11,589 to -2,304)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-1,512 (-5,755 to 2,732)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-11,783 (-19,446 to -4,121)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-3,610 (-8,812 to 1,593)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-2,808 (-10,713 to 5,096)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-28,201 (-37,830 to -18,572)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-31,474 (-36,630 to -26,317)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inkinghub.elsevier.com/retrieve/pii/S2405500X17303924" TargetMode="External" /><Relationship Type="http://schemas.openxmlformats.org/officeDocument/2006/relationships/hyperlink" Id="rId20" Target="https://www.ahajournals.org/doi/10.1161/JAHA.122.029339" TargetMode="External" /></Relationships>
</file>

<file path=word/_rels/footnotes.xml.rels><?xml version="1.0" encoding="UTF-8"?><Relationships xmlns="http://schemas.openxmlformats.org/package/2006/relationships"><Relationship Type="http://schemas.openxmlformats.org/officeDocument/2006/relationships/hyperlink" Id="rId21" Target="https://linkinghub.elsevier.com/retrieve/pii/S2405500X17303924" TargetMode="External" /><Relationship Type="http://schemas.openxmlformats.org/officeDocument/2006/relationships/hyperlink" Id="rId20" Target="https://www.ahajournals.org/doi/10.1161/JAHA.122.0293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of Catheter Ablation Therapy for Cardiac Arrhythmias in Congenital Heart Disease: An Analysis of the National Inpatient Sample (NIS) Database</dc:title>
  <dc:creator>Muhammad Saad</dc:creator>
  <cp:keywords/>
  <dcterms:created xsi:type="dcterms:W3CDTF">2024-12-02T10:28:44Z</dcterms:created>
  <dcterms:modified xsi:type="dcterms:W3CDTF">2024-12-02T10:28:44Z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Cardio6</vt:lpwstr>
  </property>
  <property fmtid="{D5CDD505-2E9C-101B-9397-08002B2CF9AE}" pid="12" name="toc-title">
    <vt:lpwstr>Table of contents</vt:lpwstr>
  </property>
</Properties>
</file>