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and</w:t>
      </w:r>
      <w:r>
        <w:t xml:space="preserve"> </w:t>
      </w:r>
      <w:r>
        <w:t xml:space="preserve">ethnic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transplantation</w:t>
      </w:r>
      <w:r>
        <w:t xml:space="preserve"> </w:t>
      </w:r>
      <w:r>
        <w:t xml:space="preserve">for</w:t>
      </w:r>
      <w:r>
        <w:t xml:space="preserve"> </w:t>
      </w:r>
      <w:r>
        <w:t xml:space="preserve">end-stage</w:t>
      </w:r>
      <w:r>
        <w:t xml:space="preserve"> </w:t>
      </w:r>
      <w:r>
        <w:t xml:space="preserve">renal</w:t>
      </w:r>
      <w:r>
        <w:t xml:space="preserve"> </w:t>
      </w:r>
      <w:r>
        <w:t xml:space="preserve">disease: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  <w:r>
        <w:t xml:space="preserve"> </w:t>
      </w:r>
      <w:r>
        <w:t xml:space="preserve">(NIS)</w:t>
      </w:r>
      <w:r>
        <w:t xml:space="preserve"> </w:t>
      </w:r>
      <w:r>
        <w:t xml:space="preserve">database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Med2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Ismail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Investigate racial and ethnic disparities in the proportion of kidney transplantation recipients among end-stage renal disease (ESRD) patients and evaluate in-hospital outcomes among these recipients.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for patients aged 18 and older with a diagnosis of ESRD.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White</w:t>
      </w:r>
    </w:p>
    <w:p>
      <w:pPr>
        <w:numPr>
          <w:ilvl w:val="1"/>
          <w:numId w:val="1003"/>
        </w:numPr>
      </w:pPr>
      <w:r>
        <w:t xml:space="preserve">Asian or Pacific Islander</w:t>
      </w:r>
    </w:p>
    <w:p>
      <w:pPr>
        <w:numPr>
          <w:ilvl w:val="1"/>
          <w:numId w:val="1003"/>
        </w:numPr>
      </w:pPr>
      <w:r>
        <w:t xml:space="preserve">Black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1"/>
          <w:numId w:val="1003"/>
        </w:numPr>
      </w:pPr>
      <w:r>
        <w:t xml:space="preserve">Other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Proportion of kidney transplantation recipients among ESRD patients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Total hospital length of stay (days)</w:t>
      </w:r>
    </w:p>
    <w:p>
      <w:pPr>
        <w:numPr>
          <w:ilvl w:val="1"/>
          <w:numId w:val="1005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models were used to evaluate independent associations of race and ethnicity with kidney transplantation rates and in-hospital outcomes in ESRD patients, adjusting for, adjusted for:</w:t>
      </w:r>
    </w:p>
    <w:p>
      <w:pPr>
        <w:numPr>
          <w:ilvl w:val="1"/>
          <w:numId w:val="1006"/>
        </w:numPr>
      </w:pPr>
      <w:r>
        <w:t xml:space="preserve">Demographics: Age, sex, residential income, insurance type, hospital region, hospital bedsize, hospital location, and teaching status.</w:t>
      </w:r>
    </w:p>
    <w:p>
      <w:pPr>
        <w:numPr>
          <w:ilvl w:val="1"/>
          <w:numId w:val="1006"/>
        </w:numPr>
      </w:pPr>
      <w:r>
        <w:t xml:space="preserve">Medical History: Coronary artery disease, previous heart failure, obesity, peripheral vascular disease, chronic pulmonary disease, liver disease, and previous stroke or TIA.</w:t>
      </w:r>
    </w:p>
    <w:p>
      <w:pPr>
        <w:numPr>
          <w:ilvl w:val="1"/>
          <w:numId w:val="1006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1,267,560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128,830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1,041,245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527,665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132,010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3,097,310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539,440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57,810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509,600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232,110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59,995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1,398,955 (45)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728,095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71,020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531,605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295,545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72,005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1,698,270 (55)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352,660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18,885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548,405 (53)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219,395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51,420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1,190,765 (39)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362,685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26,615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228,040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137,665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29,465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784,470 (26)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305,695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36,835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158,170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108,430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25,080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634,210 (21)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228,130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45,335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90,550 (8.8)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53,140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20,020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437,175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156,400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18,760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107,955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74,640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374,755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85,135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17,905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147,605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118,135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23,615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392,395 (13)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1,001,210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90,840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769,735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327,685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88,745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2,278,215 (74)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23,720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14,950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49,000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320,940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12,055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212,525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39,645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18,515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603,680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233,715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19,100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158,885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66,720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25,805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504,225 (16)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505,405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19,170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582,485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205,095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46,365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1,358,520 (44)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207,500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78,505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87,350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216,205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41,325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630,885 (20)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665,330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72,730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557,015 (53)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269,080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69,005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1,633,160 (53)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367,030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296,735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166,470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39,030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903,185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235,200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22,180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187,495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92,115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560,965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89,345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47,555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6,220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6,825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151,540 (4.9)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244,835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26,355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146,800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111,240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22,450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551,680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933,380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100,880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846,890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410,205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102,735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2,394,090 (77)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4.96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4.98 (1.78)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4.86 (1.71)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4.86 (1.70)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4.92 (1.80)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537,565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52,135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317,990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174,930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46,510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1,129,130 (36)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326,575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29,985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282,495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107,805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28,225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775,085 (25)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253,700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12,985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188,465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86,745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19,610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561,505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173,980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17,220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127,875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54,090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12,990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386,155 (12)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372,995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22,240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252,010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80,650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25,945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753,840 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123,735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11,915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86,905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57,805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14,150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294,510 (9.5)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170,775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19,000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180,145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67,710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15,905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453,535 (15)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5" w:name="outcomes-tables"/>
    <w:p>
      <w:pPr>
        <w:pStyle w:val="Heading2"/>
      </w:pPr>
      <w:r>
        <w:t xml:space="preserve">Outcomes Tables:</w:t>
      </w:r>
    </w:p>
    <w:bookmarkStart w:id="23" w:name="outcomes-of-esrd-patients"/>
    <w:p>
      <w:pPr>
        <w:pStyle w:val="Heading3"/>
      </w:pPr>
      <w:r>
        <w:t xml:space="preserve">Outcomes of ESRD patients: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1,267,560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128,830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1,041,245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527,665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132,010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3,097,310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of kidney transplant recipient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27,370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16,755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10,830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61,480 (2.0)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X64e5a59c8833fd772e0f711165460432a6592e3"/>
    <w:p>
      <w:pPr>
        <w:pStyle w:val="Heading3"/>
      </w:pPr>
      <w:r>
        <w:t xml:space="preserve">Outcomes of ESRD patients undergoing kidney transplant: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27,370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4,030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10,830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2,495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61,480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 –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 –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 –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 –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 –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(4.0 – 7.0)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232,693 (179,743 – 312,012)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265,887 (199,431 – 396,772)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249,269 (190,646 – 332,673)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275,519 (205,481 – 379,200)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270,972 (207,241 – 378,876)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246,963 (188,356 – 337,335)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 –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8" w:name="multivariable-logistic-regression"/>
    <w:p>
      <w:pPr>
        <w:pStyle w:val="Heading2"/>
      </w:pPr>
      <w:r>
        <w:t xml:space="preserve">Multivariable Logistic Regression:</w:t>
      </w:r>
    </w:p>
    <w:bookmarkStart w:id="26" w:name="odds-of-receiving-kidney-transplantation"/>
    <w:p>
      <w:pPr>
        <w:pStyle w:val="Heading3"/>
      </w:pPr>
      <w:r>
        <w:t xml:space="preserve">Odds of Receiving Kidney Transplantation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 (1.16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(0.64 to 0.76)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(0.83 to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(0.73 to 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(0.97 to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(1.15 to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(1.21 to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 (1.44 to 1.70)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2.13 (1.89 to 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(0.13 to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(0.59 to 0.66)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(0.33 to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(0.76 to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(0.76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(0.65 to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(0.18 to 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(0.08 to 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4.54 (1.08 to 19.1)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98.6 (26.4 to 369)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(0.61 to 0.63)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(0.88 to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 (0.37 to 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(1.31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(0.85 to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(0.60 to 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 (1.17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(0.61 to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6"/>
    <w:bookmarkStart w:id="27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(0.28 to 3.26)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(0.54 to 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 (0.50 to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(0.81 to 6.19)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(1.00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(0.65 to 1.78)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(0.28 to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(0.31 to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 (0.31 to 1.42)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(0.10 to 1.88)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 (0.49 to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 (0.16 to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(0.44 to 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 (0.55 to 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(0.24 to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 (0.97 to 3.33)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(0.21 to 2.26)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15,590 (1,781 to 136,481)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12,184 (2,650 to 56,011)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(0.93 to 1.24)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(0.45 to 1.66)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 (0.96 to 4.52)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(0.32 to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 (0.71 to 4.44)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(0.20 to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(6.99 to 24.1)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 (0.11 to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7"/>
    <w:bookmarkEnd w:id="28"/>
    <w:bookmarkStart w:id="31" w:name="multivariable-linear-regression"/>
    <w:p>
      <w:pPr>
        <w:pStyle w:val="Heading2"/>
      </w:pPr>
      <w:r>
        <w:t xml:space="preserve">Multivariable Linear Regression:</w:t>
      </w:r>
    </w:p>
    <w:bookmarkStart w:id="29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 (-1.0 to 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(-0.09 to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(-0.64 to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(-0.53 to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 to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(-0.28 to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(-0.48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 (-0.03 to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 (-0.88 to 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(0.31 to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(-0.33 to 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(-0.64 to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 (-0.19 to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(-0.85 to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 (-1.4 to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(-1.2 to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 (-1.9 to -0.51)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(1.3 to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(1.0 to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(0.79 to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 (-1.5 to -0.39)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(0.01 to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 (-1.4 to -0.70)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(-0.57 to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 (-2.4 to 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(7.0 to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 (-1.7 to -0.52)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29"/>
    <w:bookmarkStart w:id="30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11,507 (-20,249 to 43,264)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19,074 (3,836 to 34,313)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23,533 (4,415 to 42,652)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58,770 (8,642 to 108,898)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-239 (-726 to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-243 (-11,915 to 11,429)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3,452 (-11,577 to 18,481)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20,766 (-2,917 to 44,449)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11,033 (-9,360 to 31,426)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23,654 (-15,660 to 62,969)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-6,185 (-22,172 to 9,803)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39,514 (-91,359 to 170,388)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29,259 (-13,520 to 72,038)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-11,813 (-39,060 to 15,435)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107,956 (34,832 to 181,080)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-28,849 (-83,327 to 25,628)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11,390 (-35,667 to 58,447)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190,757 (66,099 to 315,415)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103,351 (63,825 to 142,878)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34,457 (24,559 to 44,355)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-23,532 (-38,909 to -8,155)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40,681 (3,239 to 78,123)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-17,857 (-32,623 to -3,092)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22,620 (-16,973 to 62,212)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-56,345 (-75,312 to -37,378)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261,235 (199,459 to 323,011)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stroke/TIA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-45,441 (-67,943 to -22,938)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inkinghub.elsevier.com/retrieve/pii/S01462806240003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inkinghub.elsevier.com/retrieve/pii/S01462806240003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and ethnic disparities in kidney transplantation for end-stage renal disease: An analysis of the national inpatient sample (NIS) database</dc:title>
  <dc:creator>Muhammad Saad</dc:creator>
  <cp:keywords/>
  <dcterms:created xsi:type="dcterms:W3CDTF">2024-11-04T19:00:39Z</dcterms:created>
  <dcterms:modified xsi:type="dcterms:W3CDTF">2024-11-04T19:00:39Z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Med2</vt:lpwstr>
  </property>
  <property fmtid="{D5CDD505-2E9C-101B-9397-08002B2CF9AE}" pid="12" name="toc-title">
    <vt:lpwstr>Table of contents</vt:lpwstr>
  </property>
</Properties>
</file>