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Chronic</w:t>
      </w:r>
      <w:r>
        <w:t xml:space="preserve"> </w:t>
      </w:r>
      <w:r>
        <w:t xml:space="preserve">Kidney</w:t>
      </w:r>
      <w:r>
        <w:t xml:space="preserve"> </w:t>
      </w:r>
      <w:r>
        <w:t xml:space="preserve">Disease</w:t>
      </w:r>
      <w:r>
        <w:t xml:space="preserve"> </w:t>
      </w:r>
      <w:r>
        <w:t xml:space="preserve">on</w:t>
      </w:r>
      <w:r>
        <w:t xml:space="preserve"> </w:t>
      </w:r>
      <w:r>
        <w:t xml:space="preserve">In-Hospital</w:t>
      </w:r>
      <w:r>
        <w:t xml:space="preserve"> </w:t>
      </w:r>
      <w:r>
        <w:t xml:space="preserve">Outcomes</w:t>
      </w:r>
      <w:r>
        <w:t xml:space="preserve"> </w:t>
      </w:r>
      <w:r>
        <w:t xml:space="preserve">in</w:t>
      </w:r>
      <w:r>
        <w:t xml:space="preserve"> </w:t>
      </w:r>
      <w:r>
        <w:t xml:space="preserve">Patients</w:t>
      </w:r>
      <w:r>
        <w:t xml:space="preserve"> </w:t>
      </w:r>
      <w:r>
        <w:t xml:space="preserve">with</w:t>
      </w:r>
      <w:r>
        <w:t xml:space="preserve"> </w:t>
      </w:r>
      <w:r>
        <w:t xml:space="preserve">Sepsis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IM13</w:t>
      </w:r>
    </w:p>
    <w:p>
      <w:pPr>
        <w:pStyle w:val="Author"/>
      </w:pPr>
      <w:r>
        <w:t xml:space="preserve">Muhammad</w:t>
      </w:r>
      <w:r>
        <w:t xml:space="preserve"> </w:t>
      </w:r>
      <w:r>
        <w:t xml:space="preserve">Saad</w:t>
      </w:r>
    </w:p>
    <w:p>
      <w:pPr>
        <w:pStyle w:val="Author"/>
      </w:pPr>
      <w:r>
        <w:t xml:space="preserve">Ifrah</w:t>
      </w:r>
      <w:r>
        <w:t xml:space="preserve"> </w:t>
      </w:r>
      <w:r>
        <w:t xml:space="preserve">Ansari</w:t>
      </w:r>
    </w:p>
    <w:bookmarkStart w:id="21" w:name="preamble"/>
    <w:p>
      <w:pPr>
        <w:pStyle w:val="Heading2"/>
      </w:pPr>
      <w:r>
        <w:t xml:space="preserve">Preamble:</w:t>
      </w:r>
    </w:p>
    <w:p>
      <w:pPr>
        <w:numPr>
          <w:ilvl w:val="0"/>
          <w:numId w:val="1001"/>
        </w:numPr>
      </w:pPr>
      <w:r>
        <w:rPr>
          <w:b/>
          <w:bCs/>
        </w:rPr>
        <w:t xml:space="preserve">Reference Studies:</w:t>
      </w:r>
    </w:p>
    <w:p>
      <w:pPr>
        <w:pStyle w:val="Compact"/>
        <w:numPr>
          <w:ilvl w:val="1"/>
          <w:numId w:val="1002"/>
        </w:numPr>
      </w:pPr>
      <w:hyperlink r:id="rId20">
        <w:r>
          <w:rPr>
            <w:rStyle w:val="Hyperlink"/>
          </w:rPr>
          <w:t xml:space="preserve">Panchal et al., 2021</w:t>
        </w:r>
      </w:hyperlink>
    </w:p>
    <w:p>
      <w:pPr>
        <w:numPr>
          <w:ilvl w:val="0"/>
          <w:numId w:val="1001"/>
        </w:numPr>
      </w:pPr>
      <w:r>
        <w:rPr>
          <w:b/>
          <w:bCs/>
        </w:rPr>
        <w:t xml:space="preserve">Study Objective:</w:t>
      </w:r>
    </w:p>
    <w:p>
      <w:pPr>
        <w:numPr>
          <w:ilvl w:val="0"/>
          <w:numId w:val="1000"/>
        </w:numPr>
      </w:pPr>
      <w:r>
        <w:t xml:space="preserve">To evaluate the impact of chronic kidney disease (CKD) on clinical and economic outcomes among adult patients hospitalized with sepsis in the United States. Specifically, this study assesses whether CKD status (no CKD, CKD without dialysis, and CKD with dialysis/ESRD) is associated with in-hospital mortality, length of stay (LOS), hospital charges, discharge disposition, and the occurrence of acute complications including acute kidney injury (AKI), mechanical ventilation, and vasopressor use.</w:t>
      </w:r>
    </w:p>
    <w:p>
      <w:pPr>
        <w:numPr>
          <w:ilvl w:val="0"/>
          <w:numId w:val="1001"/>
        </w:numPr>
      </w:pPr>
      <w:r>
        <w:rPr>
          <w:b/>
          <w:bCs/>
        </w:rPr>
        <w:t xml:space="preserve">Data Source:</w:t>
      </w:r>
    </w:p>
    <w:p>
      <w:pPr>
        <w:numPr>
          <w:ilvl w:val="0"/>
          <w:numId w:val="1000"/>
        </w:numPr>
      </w:pPr>
      <w:r>
        <w:t xml:space="preserve">A retrospective cohort study of the 2018–2020 Nationwide Inpatient Sample (NIS), developed by the Healthcare Cost and Utilization Project (HCUP). The NIS is the largest publicly available all-payer inpatient database in the United States, representing a 20% stratified sample of discharges from U.S. community hospitals and enabling generation of national estimates through survey-weighted analyses. NIS provides de-identified discharge-level records with rich information on patient demographics, hospital characteristics, diagnoses, procedures, and outcomes.</w:t>
      </w:r>
    </w:p>
    <w:p>
      <w:pPr>
        <w:numPr>
          <w:ilvl w:val="0"/>
          <w:numId w:val="1001"/>
        </w:numPr>
      </w:pPr>
      <w:r>
        <w:rPr>
          <w:b/>
          <w:bCs/>
        </w:rPr>
        <w:t xml:space="preserve">Cohort Definition:</w:t>
      </w:r>
    </w:p>
    <w:p>
      <w:pPr>
        <w:numPr>
          <w:ilvl w:val="0"/>
          <w:numId w:val="1000"/>
        </w:numPr>
      </w:pPr>
      <w:r>
        <w:t xml:space="preserve">Index hospitalizations were included if they met all of the following criteria:</w:t>
      </w:r>
    </w:p>
    <w:p>
      <w:pPr>
        <w:numPr>
          <w:ilvl w:val="1"/>
          <w:numId w:val="1003"/>
        </w:numPr>
      </w:pPr>
      <w:r>
        <w:t xml:space="preserve">Adults aged ≥18 years</w:t>
      </w:r>
    </w:p>
    <w:p>
      <w:pPr>
        <w:numPr>
          <w:ilvl w:val="1"/>
          <w:numId w:val="1003"/>
        </w:numPr>
      </w:pPr>
      <w:r>
        <w:t xml:space="preserve">Principal diagnosis of sepsis,identified using explicit ICD-10-CM codes for septicemia and systemic infection (A40</w:t>
      </w:r>
      <w:r>
        <w:rPr>
          <w:i/>
          <w:iCs/>
        </w:rPr>
        <w:t xml:space="preserve">, A41</w:t>
      </w:r>
      <w:r>
        <w:t xml:space="preserve">, R65.20, R65.21)</w:t>
      </w:r>
    </w:p>
    <w:p>
      <w:pPr>
        <w:numPr>
          <w:ilvl w:val="0"/>
          <w:numId w:val="1001"/>
        </w:numPr>
      </w:pPr>
      <w:r>
        <w:rPr>
          <w:b/>
          <w:bCs/>
        </w:rPr>
        <w:t xml:space="preserve">CKD Exposure Categories:</w:t>
      </w:r>
    </w:p>
    <w:p>
      <w:pPr>
        <w:numPr>
          <w:ilvl w:val="1"/>
          <w:numId w:val="1004"/>
        </w:numPr>
      </w:pPr>
      <w:r>
        <w:t xml:space="preserve">No CKD (no N18 codes)</w:t>
      </w:r>
    </w:p>
    <w:p>
      <w:pPr>
        <w:numPr>
          <w:ilvl w:val="1"/>
          <w:numId w:val="1004"/>
        </w:numPr>
      </w:pPr>
      <w:r>
        <w:t xml:space="preserve">CKD without dialysis: ICD-10-CM N18.1–N18.5 and N18.9</w:t>
      </w:r>
    </w:p>
    <w:p>
      <w:pPr>
        <w:numPr>
          <w:ilvl w:val="1"/>
          <w:numId w:val="1004"/>
        </w:numPr>
      </w:pPr>
      <w:r>
        <w:t xml:space="preserve">CKD with dialysis (ESRD): ICD-10-CM N18.6</w:t>
      </w:r>
    </w:p>
    <w:p>
      <w:pPr>
        <w:numPr>
          <w:ilvl w:val="0"/>
          <w:numId w:val="1001"/>
        </w:numPr>
      </w:pPr>
      <w:r>
        <w:rPr>
          <w:b/>
          <w:bCs/>
        </w:rPr>
        <w:t xml:space="preserve">Outcomes of Interest:</w:t>
      </w:r>
    </w:p>
    <w:p>
      <w:pPr>
        <w:numPr>
          <w:ilvl w:val="1"/>
          <w:numId w:val="1005"/>
        </w:numPr>
      </w:pPr>
      <w:r>
        <w:t xml:space="preserve">Primary Outcome:</w:t>
      </w:r>
    </w:p>
    <w:p>
      <w:pPr>
        <w:pStyle w:val="Compact"/>
        <w:numPr>
          <w:ilvl w:val="2"/>
          <w:numId w:val="1006"/>
        </w:numPr>
      </w:pPr>
      <w:r>
        <w:t xml:space="preserve">In-hospital mortality</w:t>
      </w:r>
    </w:p>
    <w:p>
      <w:pPr>
        <w:numPr>
          <w:ilvl w:val="1"/>
          <w:numId w:val="1005"/>
        </w:numPr>
      </w:pPr>
      <w:r>
        <w:t xml:space="preserve">Secondary Outcomes:</w:t>
      </w:r>
    </w:p>
    <w:p>
      <w:pPr>
        <w:numPr>
          <w:ilvl w:val="2"/>
          <w:numId w:val="1007"/>
        </w:numPr>
      </w:pPr>
      <w:r>
        <w:t xml:space="preserve">Length of stay (LOS, days)</w:t>
      </w:r>
    </w:p>
    <w:p>
      <w:pPr>
        <w:numPr>
          <w:ilvl w:val="2"/>
          <w:numId w:val="1007"/>
        </w:numPr>
      </w:pPr>
      <w:r>
        <w:t xml:space="preserve">Inflation-adjusted total hospital charges (U.S. dollars, adjusted to 2020 using CPI)</w:t>
      </w:r>
    </w:p>
    <w:p>
      <w:pPr>
        <w:numPr>
          <w:ilvl w:val="2"/>
          <w:numId w:val="1007"/>
        </w:numPr>
      </w:pPr>
      <w:r>
        <w:t xml:space="preserve">Non-home discharge (e.g., SNF, hospice, other facilities, or death)</w:t>
      </w:r>
    </w:p>
    <w:p>
      <w:pPr>
        <w:numPr>
          <w:ilvl w:val="2"/>
          <w:numId w:val="1007"/>
        </w:numPr>
      </w:pPr>
      <w:r>
        <w:t xml:space="preserve">Mechanical ventilation</w:t>
      </w:r>
    </w:p>
    <w:p>
      <w:pPr>
        <w:numPr>
          <w:ilvl w:val="2"/>
          <w:numId w:val="1007"/>
        </w:numPr>
      </w:pPr>
      <w:r>
        <w:t xml:space="preserve">Vasopressor use</w:t>
      </w:r>
    </w:p>
    <w:p>
      <w:pPr>
        <w:numPr>
          <w:ilvl w:val="2"/>
          <w:numId w:val="1007"/>
        </w:numPr>
      </w:pPr>
      <w:r>
        <w:t xml:space="preserve">Acute kidney injury</w:t>
      </w:r>
    </w:p>
    <w:p>
      <w:pPr>
        <w:numPr>
          <w:ilvl w:val="0"/>
          <w:numId w:val="1001"/>
        </w:numPr>
      </w:pPr>
      <w:r>
        <w:rPr>
          <w:b/>
          <w:bCs/>
        </w:rPr>
        <w:t xml:space="preserve">Covariates and Variable Construction:</w:t>
      </w:r>
    </w:p>
    <w:p>
      <w:pPr>
        <w:numPr>
          <w:ilvl w:val="1"/>
          <w:numId w:val="1008"/>
        </w:numPr>
      </w:pPr>
      <w:r>
        <w:t xml:space="preserve">Demographic &amp; Socioeconomic Factors:</w:t>
      </w:r>
    </w:p>
    <w:p>
      <w:pPr>
        <w:numPr>
          <w:ilvl w:val="2"/>
          <w:numId w:val="1009"/>
        </w:numPr>
      </w:pPr>
      <w:r>
        <w:t xml:space="preserve">Age</w:t>
      </w:r>
    </w:p>
    <w:p>
      <w:pPr>
        <w:numPr>
          <w:ilvl w:val="2"/>
          <w:numId w:val="1009"/>
        </w:numPr>
      </w:pPr>
      <w:r>
        <w:t xml:space="preserve">Sex</w:t>
      </w:r>
    </w:p>
    <w:p>
      <w:pPr>
        <w:numPr>
          <w:ilvl w:val="2"/>
          <w:numId w:val="1009"/>
        </w:numPr>
      </w:pPr>
      <w:r>
        <w:t xml:space="preserve">Race/ethnicity</w:t>
      </w:r>
    </w:p>
    <w:p>
      <w:pPr>
        <w:numPr>
          <w:ilvl w:val="2"/>
          <w:numId w:val="1009"/>
        </w:numPr>
      </w:pPr>
      <w:r>
        <w:t xml:space="preserve">Primary expected payer (Medicare, Medicaid, Private, Other)</w:t>
      </w:r>
    </w:p>
    <w:p>
      <w:pPr>
        <w:numPr>
          <w:ilvl w:val="2"/>
          <w:numId w:val="1009"/>
        </w:numPr>
      </w:pPr>
      <w:r>
        <w:t xml:space="preserve">ZIP-based median income quartile (ZIPINC_QRTL)</w:t>
      </w:r>
    </w:p>
    <w:p>
      <w:pPr>
        <w:numPr>
          <w:ilvl w:val="1"/>
          <w:numId w:val="1008"/>
        </w:numPr>
      </w:pPr>
      <w:r>
        <w:t xml:space="preserve">Hospital Characteristics:</w:t>
      </w:r>
    </w:p>
    <w:p>
      <w:pPr>
        <w:numPr>
          <w:ilvl w:val="2"/>
          <w:numId w:val="1010"/>
        </w:numPr>
      </w:pPr>
      <w:r>
        <w:t xml:space="preserve">Hospital region (Northeast, Midwest, South, West)</w:t>
      </w:r>
    </w:p>
    <w:p>
      <w:pPr>
        <w:numPr>
          <w:ilvl w:val="2"/>
          <w:numId w:val="1010"/>
        </w:numPr>
      </w:pPr>
      <w:r>
        <w:t xml:space="preserve">Bed size (small, medium, large)</w:t>
      </w:r>
    </w:p>
    <w:p>
      <w:pPr>
        <w:numPr>
          <w:ilvl w:val="2"/>
          <w:numId w:val="1010"/>
        </w:numPr>
      </w:pPr>
      <w:r>
        <w:t xml:space="preserve">Urban/rural location and teaching status (rural, urban non-teaching, urban teaching)</w:t>
      </w:r>
    </w:p>
    <w:p>
      <w:pPr>
        <w:numPr>
          <w:ilvl w:val="1"/>
          <w:numId w:val="1008"/>
        </w:numPr>
      </w:pPr>
      <w:r>
        <w:t xml:space="preserve">Comorbidities and Severity:</w:t>
      </w:r>
    </w:p>
    <w:p>
      <w:pPr>
        <w:numPr>
          <w:ilvl w:val="2"/>
          <w:numId w:val="1011"/>
        </w:numPr>
      </w:pPr>
      <w:r>
        <w:t xml:space="preserve">Elixhauser Comorbidity Index (continuous sum score)</w:t>
      </w:r>
    </w:p>
    <w:p>
      <w:pPr>
        <w:numPr>
          <w:ilvl w:val="2"/>
          <w:numId w:val="1011"/>
        </w:numPr>
      </w:pPr>
      <w:r>
        <w:t xml:space="preserve">Selected comorbidities in descriptive baseline table: congestive heart failure, diabetes, hypertension, chronic pulmonary disease, liver disease, obesity, coagulopathy, metastatic cancer</w:t>
      </w:r>
    </w:p>
    <w:p>
      <w:pPr>
        <w:numPr>
          <w:ilvl w:val="0"/>
          <w:numId w:val="1001"/>
        </w:numPr>
      </w:pPr>
      <w:r>
        <w:rPr>
          <w:b/>
          <w:bCs/>
        </w:rPr>
        <w:t xml:space="preserve">Statistical Methods:</w:t>
      </w:r>
    </w:p>
    <w:p>
      <w:pPr>
        <w:numPr>
          <w:ilvl w:val="1"/>
          <w:numId w:val="1012"/>
        </w:numPr>
      </w:pPr>
      <w:r>
        <w:t xml:space="preserve">Survey Design and Weighting:</w:t>
      </w:r>
    </w:p>
    <w:p>
      <w:pPr>
        <w:pStyle w:val="Compact"/>
        <w:numPr>
          <w:ilvl w:val="2"/>
          <w:numId w:val="1013"/>
        </w:numPr>
      </w:pPr>
      <w:r>
        <w:t xml:space="preserve">Analyses incorporated NIS’s complex sampling design using discharge weights (DISCWT), strata (NIS_STRATUM), and clustering (HOSPID). The survey package in R was used to generate nationally representative estimates.</w:t>
      </w:r>
    </w:p>
    <w:p>
      <w:pPr>
        <w:numPr>
          <w:ilvl w:val="1"/>
          <w:numId w:val="1012"/>
        </w:numPr>
      </w:pPr>
      <w:r>
        <w:t xml:space="preserve">Descriptive Statistics:</w:t>
      </w:r>
    </w:p>
    <w:p>
      <w:pPr>
        <w:numPr>
          <w:ilvl w:val="2"/>
          <w:numId w:val="1014"/>
        </w:numPr>
      </w:pPr>
      <w:r>
        <w:t xml:space="preserve">Baseline characteristics were summarized across CKD categories (no CKD, CKD without dialysis, CKD with dialysis).</w:t>
      </w:r>
    </w:p>
    <w:p>
      <w:pPr>
        <w:numPr>
          <w:ilvl w:val="2"/>
          <w:numId w:val="1014"/>
        </w:numPr>
      </w:pPr>
      <w:r>
        <w:t xml:space="preserve">P-values from design-based statistical tests (Rao–Scott adjusted chi-square for categorical variables; design-based Kruskal–Wallis test for continuous variables).</w:t>
      </w:r>
    </w:p>
    <w:p>
      <w:pPr>
        <w:numPr>
          <w:ilvl w:val="1"/>
          <w:numId w:val="1012"/>
        </w:numPr>
      </w:pPr>
      <w:r>
        <w:t xml:space="preserve">Multivariable Regression:</w:t>
      </w:r>
    </w:p>
    <w:p>
      <w:pPr>
        <w:numPr>
          <w:ilvl w:val="2"/>
          <w:numId w:val="1015"/>
        </w:numPr>
      </w:pPr>
      <w:r>
        <w:t xml:space="preserve">Survey-weighted logistic regression for binary outcomes (mortality, non-home discharge, mechanical ventilation, vasopressor use, AKI).</w:t>
      </w:r>
    </w:p>
    <w:p>
      <w:pPr>
        <w:numPr>
          <w:ilvl w:val="2"/>
          <w:numId w:val="1015"/>
        </w:numPr>
      </w:pPr>
      <w:r>
        <w:t xml:space="preserve">Survey-weighted linear regression for continuous outcomes (LOS, charges).</w:t>
      </w:r>
    </w:p>
    <w:p>
      <w:pPr>
        <w:numPr>
          <w:ilvl w:val="2"/>
          <w:numId w:val="1015"/>
        </w:numPr>
      </w:pPr>
      <w:r>
        <w:t xml:space="preserve">Models adjusted for age, sex, race/ethnicity, insurance, income quartile, hospital region, bed size, teaching status, and Elixhauser comorbidity index.</w:t>
      </w:r>
    </w:p>
    <w:p>
      <w:pPr>
        <w:numPr>
          <w:ilvl w:val="2"/>
          <w:numId w:val="1015"/>
        </w:numPr>
      </w:pPr>
      <w:r>
        <w:t xml:space="preserve">CKD exposure was the primary independent variable, with</w:t>
      </w:r>
      <w:r>
        <w:t xml:space="preserve"> </w:t>
      </w:r>
      <w:r>
        <w:t xml:space="preserve">“</w:t>
      </w:r>
      <w:r>
        <w:t xml:space="preserve">no CKD</w:t>
      </w:r>
      <w:r>
        <w:t xml:space="preserve">”</w:t>
      </w:r>
      <w:r>
        <w:t xml:space="preserve"> </w:t>
      </w:r>
      <w:r>
        <w:t xml:space="preserve">as the reference group.</w:t>
      </w:r>
    </w:p>
    <w:p>
      <w:pPr>
        <w:numPr>
          <w:ilvl w:val="2"/>
          <w:numId w:val="1015"/>
        </w:numPr>
      </w:pPr>
      <w:r>
        <w:t xml:space="preserve">Odds ratios (ORs) or beta coefficients with 95% confidence intervals were reported.</w:t>
      </w:r>
    </w:p>
    <w:p>
      <w:pPr>
        <w:numPr>
          <w:ilvl w:val="0"/>
          <w:numId w:val="1001"/>
        </w:numPr>
      </w:pPr>
      <w:r>
        <w:rPr>
          <w:b/>
          <w:bCs/>
        </w:rPr>
        <w:t xml:space="preserve">Software:</w:t>
      </w:r>
      <w:r>
        <w:br/>
      </w:r>
      <w:r>
        <w:t xml:space="preserve">All analyses were conducted in R Statistical Language (Version 4.5.1;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6,800,081</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 CKD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5,083,065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with Dialysis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333,395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without Dialysis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1,383,620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3,365,265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2,582,580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145,950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636,735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3,434,505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2,500,250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187,425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746,830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4,503,795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3,416,425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143,015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944,355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208,530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146,500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16,665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45,365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920,060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624,875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95,845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199,340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779,450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598,850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57,105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123,495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245,035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188,865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41,260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 (by ZIP)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1st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2,076,265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1,549,585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122,900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403,780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2nd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1,770,080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1,321,635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84,390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364,055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3rd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1,567,900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1,169,425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70,125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328,350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4th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1,250,715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934,880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50,270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265,565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1,232,735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1,039,515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34,425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158,795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994,195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848,880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107,935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4,105,165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2,786,550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252,230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1,066,385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460,550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402,035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9,070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49,445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1,381,100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989,530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61,775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329,795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1,119,910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849,450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50,235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220,225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2,691,825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2,039,620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138,510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513,695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1,607,245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1,204,465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82,875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319,905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3,170,165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2,361,795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168,875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639,495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2,076,385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1,548,120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426,975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1,553,530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1,173,150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317,150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&amp;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634,310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483,760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16,980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133,570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1,472,696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1,101,901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66,405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304,390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4,693,075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3,497,405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250,010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945,660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5.03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6.66 (2.11)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1,786,090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1,001,275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174,190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610,625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4,427,990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2,921,595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306,945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1,199,450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2,593,730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1,638,720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220,575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734,435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1,281,655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923,550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62,755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295,350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1,963,815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1,443,630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438,115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692,895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520,565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126,910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Metastatic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331,400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268,455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55,590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937,595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660,375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67,520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209,700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univariable-analysis"/>
    <w:p>
      <w:pPr>
        <w:pStyle w:val="Heading2"/>
      </w:pPr>
      <w:r>
        <w:t xml:space="preserve">Univariable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6,800,081</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 CKD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5,083,065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with Dialysis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333,395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without Dialysis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1,383,620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669,145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451,660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56,725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160,760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Charges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50,108 (27,410, 97,739)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47,721 (26,248, 92,840)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81,499 (42,419, 165,403)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53,776 (29,806, 101,693)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Non-Home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2,814,800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1,941,965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182,325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690,510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 of Mechanical Ventilation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904,155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649,915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72,875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181,365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 of Vasopressors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280,740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194,110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24,975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61,655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2,793,620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1,721,590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1,000,235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9" w:name="multivariable-logistic-regression"/>
    <w:p>
      <w:pPr>
        <w:pStyle w:val="Heading2"/>
      </w:pPr>
      <w:r>
        <w:t xml:space="preserve">Multivariable Logistic Regression:</w:t>
      </w:r>
    </w:p>
    <w:bookmarkStart w:id="24"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without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 (by ZIP)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1st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2nd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3rd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4th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&amp;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4"/>
    <w:bookmarkStart w:id="25" w:name="mechanical-ventilation"/>
    <w:p>
      <w:pPr>
        <w:pStyle w:val="Heading3"/>
      </w:pPr>
      <w:r>
        <w:t xml:space="preserve">Mechanical Ventilation: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without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 (by ZIP)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1st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2nd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3rd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4th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&amp;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vasopressor-use"/>
    <w:p>
      <w:pPr>
        <w:pStyle w:val="Heading3"/>
      </w:pPr>
      <w:r>
        <w:t xml:space="preserve">Vasopressor Use: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without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 (by ZIP)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1st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2nd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3rd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4th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&amp;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acute-kidney-injury"/>
    <w:p>
      <w:pPr>
        <w:pStyle w:val="Heading3"/>
      </w:pPr>
      <w:r>
        <w:t xml:space="preserve">Acute Kidney Injury: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without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3.29, 3.39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 (by ZIP)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1st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2nd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3rd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4th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&amp;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Start w:id="28" w:name="non-home-discharge"/>
    <w:p>
      <w:pPr>
        <w:pStyle w:val="Heading3"/>
      </w:pPr>
      <w:r>
        <w:t xml:space="preserve">Non-Home Discharge: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without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 (by ZIP)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1st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2nd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3rd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4th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&amp;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8"/>
    <w:bookmarkEnd w:id="29"/>
    <w:bookmarkStart w:id="32" w:name="multivariable-linear-regression"/>
    <w:p>
      <w:pPr>
        <w:pStyle w:val="Heading2"/>
      </w:pPr>
      <w:r>
        <w:t xml:space="preserve">Multivariable Linear Regression:</w:t>
      </w:r>
    </w:p>
    <w:bookmarkStart w:id="30"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without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 (by ZIP)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1st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2nd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3rd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4th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&amp;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0"/>
    <w:bookmarkStart w:id="31" w:name="inflation-adjusted-total-charge"/>
    <w:p>
      <w:pPr>
        <w:pStyle w:val="Heading3"/>
      </w:pPr>
      <w:r>
        <w:t xml:space="preserve">Inflation-adjusted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23,431, 27,710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without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-20,699, -18,697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10,688, 11,731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11,834, 19,207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7,667, 11,064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17,586, 22,771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15,363, 22,203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 (by ZIP)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1st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2nd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-2,545, 240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3rd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-4,291, -833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4th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-704, 4,476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2,067, 5,276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-6,984, -4,701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-4,363, -1,039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27,815, 35,364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15,961, 20,349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33,534, 40,672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-15,689, -10,006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-25,392, -19,750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&amp;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28,569, 33,488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38,075, 42,471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12,988, 13,814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j.amjcard.2021.03.05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j.amjcard.2021.03.0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Chronic Kidney Disease on In-Hospital Outcomes in Patients with Sepsis</dc:title>
  <dc:creator>Muhammad Saad; Ifrah Ansari</dc:creator>
  <cp:keywords/>
  <dcterms:created xsi:type="dcterms:W3CDTF">2025-09-23T20:30:48Z</dcterms:created>
  <dcterms:modified xsi:type="dcterms:W3CDTF">2025-09-23T20:30:48Z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IM13</vt:lpwstr>
  </property>
  <property fmtid="{D5CDD505-2E9C-101B-9397-08002B2CF9AE}" pid="12" name="toc-title">
    <vt:lpwstr>Table of contents</vt:lpwstr>
  </property>
</Properties>
</file>