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Hospital switching at first readmission and recurrent hospitalization after heart failure</w:t>
      </w:r>
    </w:p>
    <w:p>
      <w:pPr>
        <w:pStyle w:val="Subtitle"/>
      </w:pPr>
      <w:r>
        <w:t xml:space="preserve">A survivor-conditional retrospective cohort study using the 2016–2022 Nationwide Readmissions Database</w:t>
      </w:r>
    </w:p>
    <w:p>
      <w:pPr>
        <w:pStyle w:val="Author"/>
      </w:pPr>
      <w:r>
        <w:t xml:space="preserve">Author details pending confirmation</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structured-abstract"/>
    <w:p>
      <w:pPr>
        <w:pStyle w:val="Heading2"/>
      </w:pPr>
      <w:r>
        <w:t xml:space="preserve">1 Structured abstract</w:t>
      </w:r>
    </w:p>
    <w:bookmarkStart w:id="9" w:name="background"/>
    <w:p>
      <w:pPr>
        <w:pStyle w:val="Heading3"/>
      </w:pPr>
      <w:r>
        <w:t xml:space="preserve">1.1 Background</w:t>
      </w:r>
    </w:p>
    <w:p>
      <w:pPr>
        <w:pStyle w:val="FirstParagraph"/>
      </w:pPr>
      <w:r>
        <w:t xml:space="preserve">Hospital switching at a readmission can reflect care transitions, referral, access, patient preference, and clinical routing. The association between switching at a first readmission and a further admission after discharge from that readmission is not necessarily a measure of fragmented care or hospital quality.</w:t>
      </w:r>
    </w:p>
    <w:bookmarkEnd w:id="9"/>
    <w:bookmarkStart w:id="10" w:name="objectives"/>
    <w:p>
      <w:pPr>
        <w:pStyle w:val="Heading3"/>
      </w:pPr>
      <w:r>
        <w:t xml:space="preserve">1.2 Objectives</w:t>
      </w:r>
    </w:p>
    <w:p>
      <w:pPr>
        <w:pStyle w:val="FirstParagraph"/>
      </w:pPr>
      <w:r>
        <w:t xml:space="preserve">To estimate the association between a different versus same hospital for the first all-cause readmission after an eligible heart-failure (HF) index hospitalization and a second readmission, defined as any inpatient admission within 30 days after the first-readmission discharge.</w:t>
      </w:r>
    </w:p>
    <w:bookmarkEnd w:id="10"/>
    <w:bookmarkStart w:id="11" w:name="methods"/>
    <w:p>
      <w:pPr>
        <w:pStyle w:val="Heading3"/>
      </w:pPr>
      <w:r>
        <w:t xml:space="preserve">1.3 Methods</w:t>
      </w:r>
    </w:p>
    <w:p>
      <w:pPr>
        <w:pStyle w:val="FirstParagraph"/>
      </w:pPr>
      <w:r>
        <w:t xml:space="preserve">This retrospective cohort study uses the 2016–2022 HCUP Nationwide Readmissions Database (NRD). Adults with an eligible principal-diagnosis HF hospitalization in January through October were followed to a first</w:t>
      </w:r>
      <w:r>
        <w:t xml:space="preserve"> </w:t>
      </w:r>
      <w:r>
        <w:rPr>
          <w:b/>
          <w:bCs/>
        </w:rPr>
        <w:t xml:space="preserve">all-cause</w:t>
      </w:r>
      <w:r>
        <w:t xml:space="preserve"> </w:t>
      </w:r>
      <w:r>
        <w:t xml:space="preserve">readmission within 30 days; HF diagnosis at that first readmission was not required for cohort entry. The analytic population is further restricted to people recorded as alive at discharge from that readmission. The outcome, termed the second readmission, is any inpatient admission within 30 days after the first-readmission discharge. The target is the survey-weighted conditional association among people reaching this survivor cohort. The analysis plan was revised retrospectively before the new outcome models were fit; it was not prespecified before the study.</w:t>
      </w:r>
    </w:p>
    <w:p>
      <w:pPr>
        <w:pStyle w:val="BodyText"/>
      </w:pPr>
      <w:r>
        <w:t xml:space="preserve">Among people in the survivor cohort after an all-cause first readmission, the primary analysis used a survey-weighted logistic model with year, sex, payer, ZIP income quartile, county rurality, index-hospital bed size, urban-teaching status and ownership, natural splines for age and log(1 + index length of stay), index discharge disposition, APR-DRG severity, and mapped legacy Elixhauser indicators that were nonconstant and estimable. Standardized risks were estimated with predictive margins. The fitted formula, outcome-blind spline knots, and any structural simplifications are reported in the supplement.</w:t>
      </w:r>
    </w:p>
    <w:bookmarkEnd w:id="11"/>
    <w:bookmarkStart w:id="12" w:name="results"/>
    <w:p>
      <w:pPr>
        <w:pStyle w:val="Heading3"/>
      </w:pPr>
      <w:r>
        <w:t xml:space="preserve">1.4 Results</w:t>
      </w:r>
    </w:p>
    <w:p>
      <w:pPr>
        <w:pStyle w:val="FirstParagraph"/>
      </w:pPr>
      <w:r>
        <w:t xml:space="preserve">The revised primary model included 502,236 complete cases. The adjusted risk was 31.44% (95% CI 31.26% to 31.61%) after a same-hospital first readmission (n = 394,183), and 32.49% (95% CI 32.18% to 32.80%) after a different-hospital first readmission (n = 108,053). The adjusted risk difference (different minus same hospital) was 1.06 percentage points (95% CI 0.71 to 1.40).</w:t>
      </w:r>
    </w:p>
    <w:bookmarkEnd w:id="12"/>
    <w:bookmarkStart w:id="13" w:name="conclusions"/>
    <w:p>
      <w:pPr>
        <w:pStyle w:val="Heading3"/>
      </w:pPr>
      <w:r>
        <w:t xml:space="preserve">1.5 Conclusions</w:t>
      </w:r>
    </w:p>
    <w:p>
      <w:pPr>
        <w:pStyle w:val="FirstParagraph"/>
      </w:pPr>
      <w:r>
        <w:t xml:space="preserve">The analysis concerns a selected group who had a first readmission and survived to its discharge. The observed association cannot establish that changing hospitals causes or prevents another admission. NRD does not capture out-of-hospital deaths or readmissions across states or calendar-year boundaries.</w:t>
      </w:r>
    </w:p>
    <w:bookmarkEnd w:id="13"/>
    <w:bookmarkEnd w:id="14"/>
    <w:bookmarkStart w:id="22" w:name="introduction"/>
    <w:p>
      <w:pPr>
        <w:pStyle w:val="Heading2"/>
      </w:pPr>
      <w:r>
        <w:t xml:space="preserve">2 Introduction</w:t>
      </w:r>
    </w:p>
    <w:p>
      <w:pPr>
        <w:pStyle w:val="FirstParagraph"/>
      </w:pPr>
      <w:r>
        <w:t xml:space="preserve">Heart-failure readmissions are common markers of illness burden and care transitions. A readmission to a hospital different from the index hospital may result from patient choice, referral, emergency routing, geography, insurance networks, capacity, or clinical need. The hospital identifier therefore describes site continuity in the discharge data; it does not reveal whether clinicians shared records, whether a transfer was clinically appropriate, or whether care was fragmented.</w:t>
      </w:r>
    </w:p>
    <w:p>
      <w:pPr>
        <w:pStyle w:val="BodyText"/>
      </w:pPr>
      <w:r>
        <w:t xml:space="preserve">Prior observational work has compared outcomes during same- versus different-hospital HF readmissions in Canadian and U.S. cohorts (</w:t>
      </w:r>
      <w:hyperlink r:id="rId15">
        <w:r>
          <w:rPr>
            <w:rStyle w:val="Hyperlink"/>
          </w:rPr>
          <w:t xml:space="preserve">McAlister et al</w:t>
        </w:r>
      </w:hyperlink>
      <w:r>
        <w:t xml:space="preserve">;</w:t>
      </w:r>
      <w:r>
        <w:t xml:space="preserve"> </w:t>
      </w:r>
      <w:hyperlink r:id="rId16">
        <w:r>
          <w:rPr>
            <w:rStyle w:val="Hyperlink"/>
          </w:rPr>
          <w:t xml:space="preserve">Lahewala et al</w:t>
        </w:r>
      </w:hyperlink>
      <w:r>
        <w:t xml:space="preserve">). VA research has examined later readmissions after cross-system use (</w:t>
      </w:r>
      <w:hyperlink r:id="rId17">
        <w:r>
          <w:rPr>
            <w:rStyle w:val="Hyperlink"/>
          </w:rPr>
          <w:t xml:space="preserve">Axon et al</w:t>
        </w:r>
      </w:hyperlink>
      <w:r>
        <w:t xml:space="preserve">), and repeat HF admissions have been described in NRD (</w:t>
      </w:r>
      <w:hyperlink r:id="rId18">
        <w:r>
          <w:rPr>
            <w:rStyle w:val="Hyperlink"/>
          </w:rPr>
          <w:t xml:space="preserve">Thandra et al</w:t>
        </w:r>
      </w:hyperlink>
      <w:r>
        <w:t xml:space="preserve">). A systematic review identified a small set of studies addressing later or third admissions, with populations and exposure definitions that differ from the present question (</w:t>
      </w:r>
      <w:hyperlink r:id="rId19">
        <w:r>
          <w:rPr>
            <w:rStyle w:val="Hyperlink"/>
          </w:rPr>
          <w:t xml:space="preserve">Snow et al</w:t>
        </w:r>
      </w:hyperlink>
      <w:r>
        <w:t xml:space="preserve">). More recent NRD work continues to study same- versus different-hospital readmission outcomes (</w:t>
      </w:r>
      <w:hyperlink r:id="rId20">
        <w:r>
          <w:rPr>
            <w:rStyle w:val="Hyperlink"/>
          </w:rPr>
          <w:t xml:space="preserve">Turbow et al</w:t>
        </w:r>
      </w:hyperlink>
      <w:r>
        <w:t xml:space="preserve">;</w:t>
      </w:r>
      <w:r>
        <w:t xml:space="preserve"> </w:t>
      </w:r>
      <w:hyperlink r:id="rId21">
        <w:r>
          <w:rPr>
            <w:rStyle w:val="Hyperlink"/>
          </w:rPr>
          <w:t xml:space="preserve">Verma et al</w:t>
        </w:r>
      </w:hyperlink>
      <w:r>
        <w:t xml:space="preserve">). These studies motivate examining what happens after the first readmission, while leaving important differences in populations, exposure definitions, and follow-up. We therefore avoid a novelty claim and frame the question narrowly: among adults with an eligible HF index admission who are readmitted within 30 days and discharged alive from that first readmission, is a different-hospital first readmission associated with another inpatient admission within the following 30 days?</w:t>
      </w:r>
    </w:p>
    <w:bookmarkEnd w:id="22"/>
    <w:bookmarkStart w:id="34" w:name="methods-1"/>
    <w:p>
      <w:pPr>
        <w:pStyle w:val="Heading2"/>
      </w:pPr>
      <w:r>
        <w:t xml:space="preserve">3 Methods</w:t>
      </w:r>
    </w:p>
    <w:bookmarkStart w:id="23" w:name="design-and-data-source"/>
    <w:p>
      <w:pPr>
        <w:pStyle w:val="Heading3"/>
      </w:pPr>
      <w:r>
        <w:t xml:space="preserve">3.1 Design and data source</w:t>
      </w:r>
    </w:p>
    <w:p>
      <w:pPr>
        <w:pStyle w:val="FirstParagraph"/>
      </w:pPr>
      <w:r>
        <w:t xml:space="preserve">We conducted a retrospective cohort analysis of the HCUP NRD for 2016–2022. The NRD is a state-based, all-payer inpatient database designed to support within-year linkage of hospital discharges in participating states. Its discharge weights support inference to the NRD target universe for each annual sample, not to every U.S. patient or to longitudinal care across years and states. Patient linkage identifiers, hospital identifiers, and sampling strata are year-specific; admissions after a year boundary and admissions in another state are not linked in this analysis.</w:t>
      </w:r>
    </w:p>
    <w:bookmarkEnd w:id="23"/>
    <w:bookmarkStart w:id="24" w:name="cohort-construction"/>
    <w:p>
      <w:pPr>
        <w:pStyle w:val="Heading3"/>
      </w:pPr>
      <w:r>
        <w:t xml:space="preserve">3.2 Cohort construction</w:t>
      </w:r>
    </w:p>
    <w:p>
      <w:pPr>
        <w:pStyle w:val="FirstParagraph"/>
      </w:pPr>
      <w:r>
        <w:t xml:space="preserve">Within each year, we selected adults aged 18 years or older with a principal diagnosis matching the project’s administrative HF phenotype and an index discharge from January through October. The phenotype uses normalized ICD-10-CM principal-diagnosis prefixes</w:t>
      </w:r>
      <w:r>
        <w:t xml:space="preserve"> </w:t>
      </w:r>
      <w:r>
        <w:rPr>
          <w:rStyle w:val="VerbatimChar"/>
        </w:rPr>
        <w:t xml:space="preserve">I50</w:t>
      </w:r>
      <w:r>
        <w:t xml:space="preserve">,</w:t>
      </w:r>
      <w:r>
        <w:t xml:space="preserve"> </w:t>
      </w:r>
      <w:r>
        <w:rPr>
          <w:rStyle w:val="VerbatimChar"/>
        </w:rPr>
        <w:t xml:space="preserve">I110</w:t>
      </w:r>
      <w:r>
        <w:t xml:space="preserve">,</w:t>
      </w:r>
      <w:r>
        <w:t xml:space="preserve"> </w:t>
      </w:r>
      <w:r>
        <w:rPr>
          <w:rStyle w:val="VerbatimChar"/>
        </w:rPr>
        <w:t xml:space="preserve">I130</w:t>
      </w:r>
      <w:r>
        <w:t xml:space="preserve">,</w:t>
      </w:r>
      <w:r>
        <w:t xml:space="preserve"> </w:t>
      </w:r>
      <w:r>
        <w:rPr>
          <w:rStyle w:val="VerbatimChar"/>
        </w:rPr>
        <w:t xml:space="preserve">I132</w:t>
      </w:r>
      <w:r>
        <w:t xml:space="preserve">, or</w:t>
      </w:r>
      <w:r>
        <w:t xml:space="preserve"> </w:t>
      </w:r>
      <w:r>
        <w:rPr>
          <w:rStyle w:val="VerbatimChar"/>
        </w:rPr>
        <w:t xml:space="preserve">I0981</w:t>
      </w:r>
      <w:r>
        <w:t xml:space="preserve">. For each patient-year, the earliest eligible index admission is selected using the source ordering by</w:t>
      </w:r>
      <w:r>
        <w:t xml:space="preserve"> </w:t>
      </w:r>
      <w:r>
        <w:rPr>
          <w:rStyle w:val="VerbatimChar"/>
        </w:rPr>
        <w:t xml:space="preserve">NRD_DAYSTOEVENT</w:t>
      </w:r>
      <w:r>
        <w:t xml:space="preserve"> </w:t>
      </w:r>
      <w:r>
        <w:t xml:space="preserve">and</w:t>
      </w:r>
      <w:r>
        <w:t xml:space="preserve"> </w:t>
      </w:r>
      <w:r>
        <w:rPr>
          <w:rStyle w:val="VerbatimChar"/>
        </w:rPr>
        <w:t xml:space="preserve">KEY_NRD</w:t>
      </w:r>
      <w:r>
        <w:t xml:space="preserve">. Index discharges with recorded in-hospital death, unavailable linkage or hospital identifiers, or the documented same-day event and transfer restrictions are excluded according to the cohort code.</w:t>
      </w:r>
    </w:p>
    <w:p>
      <w:pPr>
        <w:pStyle w:val="BodyText"/>
      </w:pPr>
      <w:r>
        <w:t xml:space="preserve">The cohort flow is ordered by event time. We identify the first all-cause readmission within 30 days after the index discharge before applying the first-readmission discharge-status and follow-up restrictions. To enter the second-stage cohort, the first readmission must be discharged alive (</w:t>
      </w:r>
      <w:r>
        <w:rPr>
          <w:rStyle w:val="VerbatimChar"/>
        </w:rPr>
        <w:t xml:space="preserve">DIED=0</w:t>
      </w:r>
      <w:r>
        <w:t xml:space="preserve">), occur early enough to allow 30 days of within-year follow-up, and meet the same-day, rehabilitation-transfer, and acute-transfer disposition rules implemented in the code. The report uses the published coarsened transfer flow and does not reveal private component counts.</w:t>
      </w:r>
    </w:p>
    <w:bookmarkEnd w:id="24"/>
    <w:bookmarkStart w:id="25" w:name="exposure-outcome-and-estimand"/>
    <w:p>
      <w:pPr>
        <w:pStyle w:val="Heading3"/>
      </w:pPr>
      <w:r>
        <w:t xml:space="preserve">3.3 Exposure Outcome and Estimand</w:t>
      </w:r>
    </w:p>
    <w:p>
      <w:pPr>
        <w:pStyle w:val="FirstParagraph"/>
      </w:pPr>
      <w:r>
        <w:t xml:space="preserve">The exposure is a different-hospital first readmission: the</w:t>
      </w:r>
      <w:r>
        <w:t xml:space="preserve"> </w:t>
      </w:r>
      <w:r>
        <w:rPr>
          <w:rStyle w:val="VerbatimChar"/>
        </w:rPr>
        <w:t xml:space="preserve">HOSP_NRD</w:t>
      </w:r>
      <w:r>
        <w:t xml:space="preserve"> </w:t>
      </w:r>
      <w:r>
        <w:t xml:space="preserve">identifier for the first readmission differs from that of the HF index admission. The comparator is a first readmission at the same hospital identifier. This operational measure captures hospital-site switching within a year; it does not directly measure provider continuity, shared records, or a health-system relationship.</w:t>
      </w:r>
    </w:p>
    <w:p>
      <w:pPr>
        <w:pStyle w:val="BodyText"/>
      </w:pPr>
      <w:r>
        <w:t xml:space="preserve">Follow-up for the primary outcome begins at discharge from the first readmission. The second readmission is any inpatient admission within 30 days. It is not restricted to HF and is not labeled unplanned. Patients are censored by the available within-year follow-up boundary; the data do not identify out-of-hospital death as a competing event.</w:t>
      </w:r>
    </w:p>
    <w:p>
      <w:pPr>
        <w:pStyle w:val="BodyText"/>
      </w:pPr>
      <w:r>
        <w:t xml:space="preserve">The estimand is the survey-weighted, covariate-adjusted difference in predicted 30-day admission risks among adults who experienced the eligible index HF hospitalization, had a first all-cause readmission within 30 days, and were recorded alive at discharge from that first readmission. Conditioning on both readmission and survival defines a selected survivor population and may induce selection bias. This is an adjusted association, not a causal effect of hospital switching.</w:t>
      </w:r>
    </w:p>
    <w:bookmarkEnd w:id="25"/>
    <w:bookmarkStart w:id="32" w:name="covariates-and-statistical-analysis"/>
    <w:p>
      <w:pPr>
        <w:pStyle w:val="Heading3"/>
      </w:pPr>
      <w:r>
        <w:t xml:space="preserve">3.4 Covariates and statistical analysis</w:t>
      </w:r>
    </w:p>
    <w:p>
      <w:pPr>
        <w:pStyle w:val="FirstParagraph"/>
      </w:pPr>
      <w:r>
        <w:t xml:space="preserve">The revised primary model included year, sex, payer, ZIP income quartile, county urban-rural category, index-hospital bed size, index-hospital urban-teaching status and ownership, natural cubic splines for age and log(1 + index length of stay), index discharge disposition, APR-DRG severity category, and all mapped legacy Elixhauser indicators that were nonconstant and estimable. APR-DRG severity code 0 was retained as a category distinct from missingness; no Elixhauser summary count was included with the individual indicators. Spline knots were set at the 5th, 35th, 65th, and 95th percentiles in the primary complete-case population without using the outcome. The final fitted formula, computed knot locations, and any structurally dropped terms are reported from the analysis summary. All adjustment variables refer to the index admission before the first-readmission destination, although claims-based severity and comorbidity flags may include conditions recorded during that stay. A matched historical-specification refit on the revised primary complete-case population is provided as a model comparison.</w:t>
      </w:r>
    </w:p>
    <w:p>
      <w:pPr>
        <w:pStyle w:val="BodyText"/>
      </w:pPr>
      <w:r>
        <w:t xml:space="preserve">Table 1 categories follow the HCUP NRD definitions for</w:t>
      </w:r>
      <w:r>
        <w:t xml:space="preserve"> </w:t>
      </w:r>
      <w:hyperlink r:id="rId26">
        <w:r>
          <w:rPr>
            <w:rStyle w:val="Hyperlink"/>
          </w:rPr>
          <w:t xml:space="preserve">uniform discharge disposition</w:t>
        </w:r>
      </w:hyperlink>
      <w:r>
        <w:t xml:space="preserve">,</w:t>
      </w:r>
      <w:r>
        <w:t xml:space="preserve"> </w:t>
      </w:r>
      <w:hyperlink r:id="rId27">
        <w:r>
          <w:rPr>
            <w:rStyle w:val="Hyperlink"/>
          </w:rPr>
          <w:t xml:space="preserve">hospital teaching status</w:t>
        </w:r>
      </w:hyperlink>
      <w:r>
        <w:t xml:space="preserve">,</w:t>
      </w:r>
      <w:r>
        <w:t xml:space="preserve"> </w:t>
      </w:r>
      <w:hyperlink r:id="rId28">
        <w:r>
          <w:rPr>
            <w:rStyle w:val="Hyperlink"/>
          </w:rPr>
          <w:t xml:space="preserve">hospital ownership</w:t>
        </w:r>
      </w:hyperlink>
      <w:r>
        <w:t xml:space="preserve">,</w:t>
      </w:r>
      <w:r>
        <w:t xml:space="preserve"> </w:t>
      </w:r>
      <w:hyperlink r:id="rId29">
        <w:r>
          <w:rPr>
            <w:rStyle w:val="Hyperlink"/>
          </w:rPr>
          <w:t xml:space="preserve">hospital bed size</w:t>
        </w:r>
      </w:hyperlink>
      <w:r>
        <w:t xml:space="preserve">,</w:t>
      </w:r>
      <w:r>
        <w:t xml:space="preserve"> </w:t>
      </w:r>
      <w:hyperlink r:id="rId30">
        <w:r>
          <w:rPr>
            <w:rStyle w:val="Hyperlink"/>
          </w:rPr>
          <w:t xml:space="preserve">expected primary payer</w:t>
        </w:r>
      </w:hyperlink>
      <w:r>
        <w:t xml:space="preserve">, and</w:t>
      </w:r>
      <w:r>
        <w:t xml:space="preserve"> </w:t>
      </w:r>
      <w:hyperlink r:id="rId31">
        <w:r>
          <w:rPr>
            <w:rStyle w:val="Hyperlink"/>
          </w:rPr>
          <w:t xml:space="preserve">NCHS county urban–rural categories</w:t>
        </w:r>
      </w:hyperlink>
      <w:r>
        <w:t xml:space="preserve">. In particular, HOSP_UR_TEACH codes 0, 1, and 2 mean metropolitan non-teaching, metropolitan teaching, and non-metropolitan hospital, respectively.</w:t>
      </w:r>
    </w:p>
    <w:p>
      <w:pPr>
        <w:pStyle w:val="BodyText"/>
      </w:pPr>
      <w:r>
        <w:t xml:space="preserve">This model revision was made retrospectively before refitting outcome models and is not a pre-study prespecified analysis. Structural changes for empty or aliased terms, if any, followed the documented rules and did not use outcome significance or direction.</w:t>
      </w:r>
    </w:p>
    <w:p>
      <w:pPr>
        <w:pStyle w:val="BodyText"/>
      </w:pPr>
      <w:r>
        <w:rPr>
          <w:b/>
          <w:bCs/>
        </w:rPr>
        <w:t xml:space="preserve">HF index admission and discharge.</w:t>
      </w:r>
      <w:r>
        <w:t xml:space="preserve"> </w:t>
      </w:r>
      <w:r>
        <w:t xml:space="preserve">Demographics, hospital characteristics, year, index length of stay, discharge disposition, APR-DRG severity (including unclassified status), and individual legacy Elixhauser indicators precede the first-readmission destination. The revised primary model uses index-admission covariates with flexible age and index-length-of-stay terms. Claims-based severity and comorbidity flags can include conditions recorded during the index stay.</w:t>
      </w:r>
    </w:p>
    <w:p>
      <w:pPr>
        <w:pStyle w:val="BodyText"/>
      </w:pPr>
      <w:r>
        <w:rPr>
          <w:b/>
          <w:bCs/>
        </w:rPr>
        <w:t xml:space="preserve">Interval before first readmission.</w:t>
      </w:r>
      <w:r>
        <w:t xml:space="preserve"> </w:t>
      </w:r>
      <w:r>
        <w:t xml:space="preserve">Days from index discharge to first readmission occur before the readmission destination is known. Where included, this timing is distinguished from characteristics recorded during the first readmission.</w:t>
      </w:r>
    </w:p>
    <w:p>
      <w:pPr>
        <w:pStyle w:val="BodyText"/>
      </w:pPr>
      <w:r>
        <w:rPr>
          <w:b/>
          <w:bCs/>
        </w:rPr>
        <w:t xml:space="preserve">First readmission.</w:t>
      </w:r>
      <w:r>
        <w:t xml:space="preserve"> </w:t>
      </w:r>
      <w:r>
        <w:t xml:space="preserve">Diagnosis, severity, elective-status flags, hospital characteristics, and length of stay are concurrent with or follow destination selection. They are excluded from primary adjustment and considered separately only in supported sensitivity or secondary specifications.</w:t>
      </w:r>
    </w:p>
    <w:p>
      <w:pPr>
        <w:pStyle w:val="BodyText"/>
      </w:pPr>
      <w:r>
        <w:rPr>
          <w:b/>
          <w:bCs/>
        </w:rPr>
        <w:t xml:space="preserve">After first-readmission discharge.</w:t>
      </w:r>
      <w:r>
        <w:t xml:space="preserve"> </w:t>
      </w:r>
      <w:r>
        <w:t xml:space="preserve">The second readmission and its length of stay are post-exposure outcomes, not baseline confounders.</w:t>
      </w:r>
    </w:p>
    <w:p>
      <w:pPr>
        <w:pStyle w:val="BodyText"/>
      </w:pPr>
      <w:r>
        <w:t xml:space="preserve">We use the annual NRD discharge weight, hospital as the primary sampling unit, and the year-specific NRD stratum. Year-specific identifiers are retained when pooling annual files. Survey-weighted logistic regression and design-based standardized predictive margins estimate the adjusted group risks and contrasts. The main effect measure is the risk difference (different minus same hospital), reported in percentage points with a 95% confidence interval. The risk ratio is secondary. Coefficients are reported on the scale used by the analysis output and are not interpreted as risk ratios. The supplement gives model convergence and rank, survey design degrees of freedom, fitted formula, spline knots, and alternate specifications.</w:t>
      </w:r>
    </w:p>
    <w:p>
      <w:pPr>
        <w:pStyle w:val="BodyText"/>
      </w:pPr>
      <w:r>
        <w:t xml:space="preserve">The primary analysis is complete-case for model covariates. We report the analytic flow and covariate missingness by year and exposure group. No missing-category model was fitted. Complete-case analyses can be biased if covariate missingness is informative. The analysis plan and reporting checklist distinguish planned revision checks from post hoc decisions; this retrospective revision is not described as preregistered.</w:t>
      </w:r>
    </w:p>
    <w:bookmarkEnd w:id="32"/>
    <w:bookmarkStart w:id="33" w:name="ethics-funding-and-author-information"/>
    <w:p>
      <w:pPr>
        <w:pStyle w:val="Heading3"/>
      </w:pPr>
      <w:r>
        <w:t xml:space="preserve">3.5 Ethics Funding and Author Information</w:t>
      </w:r>
    </w:p>
    <w:p>
      <w:pPr>
        <w:pStyle w:val="FirstParagraph"/>
      </w:pPr>
      <w:r>
        <w:rPr>
          <w:b/>
          <w:bCs/>
        </w:rPr>
        <w:t xml:space="preserve">Author confirmation required before submission:</w:t>
      </w:r>
      <w:r>
        <w:t xml:space="preserve"> </w:t>
      </w:r>
      <w:r>
        <w:t xml:space="preserve">institutional review board determination and any waiver or exemption; applicable HCUP data-use compliance statement; author affiliations and contributions; funding and funder role; acknowledgments; and conflicts of interest. These details are intentionally not inferred from the analysis files.</w:t>
      </w:r>
    </w:p>
    <w:bookmarkEnd w:id="33"/>
    <w:bookmarkEnd w:id="34"/>
    <w:bookmarkStart w:id="46" w:name="results-1"/>
    <w:p>
      <w:pPr>
        <w:pStyle w:val="Heading2"/>
      </w:pPr>
      <w:r>
        <w:t xml:space="preserve">4 Results</w:t>
      </w:r>
    </w:p>
    <w:bookmarkStart w:id="38" w:name="cohort-and-analysis-population"/>
    <w:p>
      <w:pPr>
        <w:pStyle w:val="Heading3"/>
      </w:pPr>
      <w:r>
        <w:t xml:space="preserve">4.1 Cohort and analysis population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40"/>
        <w:gridCol w:w="1944"/>
        <w:gridCol w:w="24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Unweighted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NRD-weighted estimate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Eligible HF index admissions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2,836,759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5,196,674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First all-cause readmission within 30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576,784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1,053,004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Alive survivor cohort after first readmission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512,770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936,597</w:t>
            </w:r>
          </w:p>
        </w:tc>
      </w:tr>
    </w:tbl>
    <w:p>
      <w:pPr>
        <w:pStyle w:val="FirstParagraph"/>
      </w:pPr>
      <w:r>
        <w:t xml:space="preserve">The annual counts and weighted totals below are generated from the certified flow outputs. The sequence distinguishes index eligibility, first readmission, and the later survivor risk set; it should not be read as a single unselected HF cohort.</w:t>
      </w:r>
    </w:p>
    <w:p>
      <w:pPr>
        <w:pStyle w:val="CaptionedFigure"/>
      </w:pPr>
      <w:r>
        <w:drawing>
          <wp:inline>
            <wp:extent cx="4620126" cy="3696101"/>
            <wp:effectExtent b="0" l="0" r="0" t="0"/>
            <wp:docPr descr="Unweighted flow from eligible index HF admission through first readmission to the survivor-conditional second-stage population. Weighted estimates are shown in the accompanying table." title="" id="36" name="Picture"/>
            <a:graphic>
              <a:graphicData uri="http://schemas.openxmlformats.org/drawingml/2006/picture">
                <pic:pic>
                  <pic:nvPicPr>
                    <pic:cNvPr descr="index_files/figure-docx/flow-figure-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Unweighted flow from eligible index HF admission through first readmission to the survivor-conditional second-stage population. Weighted estimates are shown in the accompanying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84"/>
        <w:gridCol w:w="1584"/>
        <w:gridCol w:w="1584"/>
        <w:gridCol w:w="2304"/>
        <w:gridCol w:w="230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Eligible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Complete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Excluded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Eligible weighted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Complete weighted</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512,770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502,236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10,534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936,597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919,368</w:t>
            </w:r>
          </w:p>
        </w:tc>
      </w:tr>
    </w:tbl>
    <w:bookmarkEnd w:id="38"/>
    <w:bookmarkStart w:id="42" w:name="primary-adjusted-association"/>
    <w:p>
      <w:pPr>
        <w:pStyle w:val="Heading3"/>
      </w:pPr>
      <w:r>
        <w:t xml:space="preserve">4.2 Primary adjusted association</w:t>
      </w:r>
    </w:p>
    <w:p>
      <w:pPr>
        <w:pStyle w:val="FirstParagraph"/>
      </w:pPr>
      <w:r>
        <w:t xml:space="preserve">The crude and adjusted risks share the survivor-conditional analysis population. Crude values are descriptive weighted risks; adjusted values standardize over the selected model covariates.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1728"/>
        <w:gridCol w:w="24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Crude weighted risk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Unweighted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Weighted population estimate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hospital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31.31% (31.13 to 31.49)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394,183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722,070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 hospital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32.96% (32.65 to 33.28)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197,298</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3600"/>
        <w:gridCol w:w="33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 difference (percentage points)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Risk ratio (95% CI)</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 minus same hospital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percentage points (95% CI 0.71 to 1.40)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1.03 (95% CI 1.02 to 1.04)</w:t>
            </w:r>
          </w:p>
        </w:tc>
      </w:tr>
    </w:tbl>
    <w:p>
      <w:pPr>
        <w:pStyle w:val="CaptionedFigure"/>
      </w:pPr>
      <w:r>
        <w:drawing>
          <wp:inline>
            <wp:extent cx="4620126" cy="3696101"/>
            <wp:effectExtent b="0" l="0" r="0" t="0"/>
            <wp:docPr descr="Survey-standardized risks of a second readmission within 30 days after first-readmission discharge. Points show adjusted risks and bars show design-based 95% confidence intervals." title="" id="40" name="Picture"/>
            <a:graphic>
              <a:graphicData uri="http://schemas.openxmlformats.org/drawingml/2006/picture">
                <pic:pic>
                  <pic:nvPicPr>
                    <pic:cNvPr descr="index_files/figure-docx/primary-risk-figure-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Survey-standardized risks of a second readmission within 30 days after first-readmission discharge. Points show adjusted risks and bars show design-based 95% confidence intervals.</w:t>
      </w:r>
    </w:p>
    <w:bookmarkEnd w:id="42"/>
    <w:bookmarkStart w:id="43" w:name="Xe1cb15d40e37a448ffe95f5bf708e0ab8a504f6"/>
    <w:p>
      <w:pPr>
        <w:pStyle w:val="Heading3"/>
      </w:pPr>
      <w:r>
        <w:t xml:space="preserve">4.3 Population characteristics and missingness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40"/>
        <w:gridCol w:w="1440"/>
        <w:gridCol w:w="1728"/>
        <w:gridCol w:w="1728"/>
        <w:gridCol w:w="129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Same hospital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Different hospital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Std. difference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13.1% (n = 49,825)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12.5% (n = 13,239)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14.6% (n = 57,935)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14.2% (n = 15,478)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15.2% (n = 60,094)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14.6% (n = 15,796)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15.8% (n = 63,156)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15.0% (n = 16,489)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 (n = 53,809)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13.1% (n = 14,381)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13.9% (n = 54,486)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15.1% (n = 16,087)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Discharge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13.9% (n = 54,878)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 (n = 16,583)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Age,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 (n = 394,183)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69.1 (n = 108,053)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Female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51.6% (n = 203,604)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54.1% (n = 58,854)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Female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48.4% (n = 190,579)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45.9% (n = 49,199)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77.3% (n = 304,246)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72.6% (n = 78,147)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Medicaid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(n = 42,708)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14.3% (n = 16,053)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Private insurance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8.4% (n = 32,556)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 (n = 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Self-pay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 (n = 6,355)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 (n = 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 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 (n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 (n =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Other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 (n = 7,623)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 (n = 2,190)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Median household income quartile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Income quartile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33.6% (n = 124,855)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37.3% (n = 37,736)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Median household income quartile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Income quartile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27.7% (n = 107,174)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27.5% (n = 29,239)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Median household income quartile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Income quartile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22.6% (n = 92,271)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20.7% (n = 23,427)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Median household income quartile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Income quartile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16.0% (n = 69,883)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14.6% (n = 17,651)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Central county, metro 1 million or 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25.3% (n = 109,161)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 (n = 34,519)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Fringe county, metro 1 million or 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26.2% (n = 101,035)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26.7% (n = 28,346)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metro 250,000 to 999,999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22.8% (n = 92,846)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17.6% (n = 19,987)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metro 50,000 to 249,999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10.7% (n = 40,886)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 (n = 7,701)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Micropolitan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 (n = 29,191)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 (n = 9,078)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Nonmetropolitan, nonmicropolitan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 (n = 21,064)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 (n = 8,422)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bed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Small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17.3% (n = 65,169)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25.5% (n = 26,061)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bed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Medium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27.6% (n = 112,691)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 (n = 32,398)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bed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55.0% (n = 216,323)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45.6% (n = 49,594)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urban/teaching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Metropolitan non-teaching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20.4% (n = 87,026)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24.4% (n = 28,355)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urban/teaching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Metropolitan teaching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70.3% (n = 276,987)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63.5% (n = 69,431)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urban/teaching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Non-metropolitan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 (n = 30,170)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12.1% (n = 10,267)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ownership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Government, nonfederal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 (n = 41,136)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 (n = 12,401)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ownership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Private, not-for-profit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76.4% (n = 296,595)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71.1% (n = 75,405)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hospital ownership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Private investor-owned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13.7% (n = 56,452)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17.9% (n = 20,247)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length of stay,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 (n = 394,183)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 (n = 108,053)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discharge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Routine discharge home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48.4% (n = 187,701)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49.6% (n = 52,893)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discharge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Other facility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18.6% (n = 72,322)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 (n = 21,647)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discharge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Home health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30.7% (n = 124,587)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24.6% (n = 27,224)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discharge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discharge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APR-DRG severity of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APR-DRG severity of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Suppressed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APR-DRG severity of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Moderate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30.4% (n = 119,989)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32.5% (n = 35,064)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APR-DRG severity of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 (n = 194,335)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46.6% (n = 50,359)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APR-DRG severity of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Extreme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15.5% (n = 61,001)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14.7% (n = 16,126)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Cardiac arrhythmias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57.4% (n = 226,998)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53.6% (n = 57,989)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Valvular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29.9% (n = 118,412)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28.4% (n = 30,818)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Pulmonary circulation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23.8% (n = 92,665)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21.9% (n = 23,533)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Peripheral vascular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19.5% (n = 76,830)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 (n = 19,815)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Hypertension, uncomplicated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 (n = 21,326)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 (n = 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Paralysis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 (n = 1,828)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 (n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Other neurologic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 (n = 33,806)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 (n = 9,843)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Chronic pulmonary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43.3% (n = 168,577)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 (n = 44,682)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Diabetes, uncomplicated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 (n = 47,147)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 (n = 13,984)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Diabetes with complications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40.7% (n = 159,839)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39.5% (n = 42,574)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Hypothyroidism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19.2% (n = 75,365)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17.2% (n = 18,419)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Renal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57.8% (n = 227,377)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55.0% (n = 59,227)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Liver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 (n = 23,542)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 (n = 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Peptic ulcer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 (n = 2,523)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 (n = 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AIDS/HIV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 (n = 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 (n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Lymphoma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 (n = 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 (n = 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Metastatic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 (n = 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 (n = 1,343)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Solid tumor without metastasis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 (n = 13,206)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 (n = 3,247)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Rheumatoid arthritis/collagen vascular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 (n = 15,650)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 (n = 3,802)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Coagulopathy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 (n = 31,353)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 (n = 8,310)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Obesity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26.2% (n = 101,224)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26.9% (n = 28,692)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Weight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6.4% (n = 25,411)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 (n = 6,851)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Fluid and electrolyte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41.0% (n = 161,262)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40.8% (n = 44,030)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Blood loss 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 (n = 4,068)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 (n = 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Deficiency 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 (n = 35,752)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9.0% (n = 9,658)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Alcohol abuse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 (n = 14,922)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 (n = 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Drug abuse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 (n = 21,213)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7.8% (n = 8,876)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Psychoses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 (n = 5,679)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 (n = 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Depression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13.6% (n = 52,345)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13.0% (n = 13,664)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Hypertension, complicated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Present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87.7% (n = 346,558)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86.4% (n = 93,455)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40"/>
        <w:gridCol w:w="1440"/>
        <w:gridCol w:w="1584"/>
        <w:gridCol w:w="1584"/>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Eligible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Missing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Missing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Expected primary payer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Different hospital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111,140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Expected primary payer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County urban-rural 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2,718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Median household income quartile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111,140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Median household income quartile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Same hospital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401,630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4,672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1.2%</w:t>
            </w:r>
          </w:p>
        </w:tc>
      </w:tr>
    </w:tbl>
    <w:p>
      <w:pPr>
        <w:pStyle w:val="FirstParagraph"/>
      </w:pPr>
      <w:r>
        <w:t xml:space="preserve">In the Word table, pooled groups affected by an annual suppression are omitted and are not assumed to be zero. The complete disclosure-reviewed 23-table release, including annual missingness detail, is available through the CSV downloads.</w:t>
      </w:r>
    </w:p>
    <w:bookmarkEnd w:id="43"/>
    <w:bookmarkStart w:id="44" w:name="sensitivity-and-secondary-analyses"/>
    <w:p>
      <w:pPr>
        <w:pStyle w:val="Heading3"/>
      </w:pPr>
      <w:r>
        <w:t xml:space="preserve">4.4 Sensitivity and secondary analyses</w:t>
      </w:r>
    </w:p>
    <w:p>
      <w:pPr>
        <w:pStyle w:val="FirstParagraph"/>
      </w:pPr>
      <w:r>
        <w:t xml:space="preserve">The following estimates are secondary and should not displace the primary adjusted risk difference. Annual rows are descriptive crude weighted estimates; the current analysis did not fit year-specific adjusted effects or subgroup interaction tests.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088"/>
        <w:gridCol w:w="2952"/>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Odds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elapsed days pre destination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second readmission 30d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(95% CI 1.03 to 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first readmission encounter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second readmission 30d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 (95% CI 1.04 to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501,833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second readmission 30d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(95% CI 1.03 to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434,046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january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second readmission 30d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(95% CI 1.03 to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426,693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january september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second readmission 30d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(95% CI 1.04 to 1.07)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461,821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64"/>
        <w:gridCol w:w="1656"/>
        <w:gridCol w:w="3528"/>
        <w:gridCol w:w="151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Risk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31.30% (95% CI 30.77% to 31.83%)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49,825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33.35% (95% CI 32.42% to 34.29%)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13,239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31.34% (95% CI 30.89% to 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33.93% (95% CI 33.12% to 34.74%)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15,478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31.49% (95% CI 31.03% to 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32.98% (95% CI 32.18% to 33.79%)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31.35% (95% CI 30.92% to 31.79%)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63,156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33.20% (95% CI 32.42% to 33.97%)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31.07% (95% CI 30.63% to 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33.13% (95% CI 32.27% to 33.99%)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14,381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31.01% (95% CI 30.52% to 31.49%)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32.00% (95% CI 31.17% to 32.82%)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16,087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31.58% (95% CI 31.11% to 32.05%)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32.32% (95% CI 31.52% to 33.12%)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16,583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elapsed days pre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31.45% (95% CI 31.27% to 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394,183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elapsed days pre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32.46% (95% CI 32.15% to 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first readmission encounter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31.41% (95% CI 31.23% to 31.58%)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393,906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first readmission encounter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32.63% (95% CI 32.31% to 32.94%)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107,927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31.47% (95% CI 31.28% to 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340,374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32.49% (95% CI 32.15% to 32.82%)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january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30.90% (95% CI 30.72% to 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335,508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january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31.96% (95% CI 31.62% to 32.29%)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january september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31.55% (95% CI 31.37% to 31.74%)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362,400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january september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32.68% (95% CI 32.35% to 33.01%)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99,421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3456"/>
        <w:gridCol w:w="1800"/>
        <w:gridCol w:w="165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Risk difference (pp;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Risk ratio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2.05 percentage points (95% CI 0.98 to 3.12)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2.59 percentage points (95% CI 1.70 to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1.49 percentage points (95% CI 0.60 to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75,890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 percentage points (95% CI 1.00 to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79,645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2.06 percentage points (95% CI 1.13 to 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 percentage points (95% CI 0.06 to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70,573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annual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 percentage points (95% CI -0.13 to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Not estimated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71,461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elapsed days pre destination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1.02 percentage points (95% CI 0.67 to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 (95% CI 1.02 to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502,236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first readmission encounter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 percentage points (95% CI 0.87 to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 (95% CI 1.03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501,833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1.02 percentage points (95% CI 0.65 to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 (95% CI 1.02 to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434,046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exclude january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1.05 percentage points (95% CI 0.68 to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 (95% CI 1.02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426,693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index january september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 percentage points (95% CI 0.77 to 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 (95% CI 1.02 to 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461,821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36"/>
        <w:gridCol w:w="1368"/>
        <w:gridCol w:w="3312"/>
        <w:gridCol w:w="19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Estimate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 (weighted 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Any subsequent readmission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31.38% (95% CI 31.20% to 31.55%)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401,630 (734,380)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Any subsequent readmission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33.17% (95% CI 32.87% to 33.48%)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111,140 (202,216)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HF-coded subsequent readmission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11.15% (95% CI 11.04% to 11.27%)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401,630 (734,380)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HF-coded subsequent readmission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11.66% (95% CI 11.46% to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111,140 (202,216)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Subsequent readmission at a hospital distinct from both prior hospitals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5.30% (95% CI 5.21% to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401,630 (734,380)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Subsequent readmission at a hospital distinct from both prior hospitals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6.54% (95% CI 6.38% to 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111,140 (202,216)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Third distinct hospital after fragmented first readmission (different-hospital subgroup)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6.54% (95% CI 6.38% to 6.70%)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111,140 (202,216)</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368"/>
        <w:gridCol w:w="3168"/>
        <w:gridCol w:w="19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Mean days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 (weighted 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Full LOS of first subsequent admission (days; zero if 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Same hospital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2.16 (95% CI 2.14 to 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401,630 (734,380)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Full LOS of first subsequent admission (days; zero if 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Different hospital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2.32 (95% CI 2.28 to 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111,140 (202,216)</w:t>
            </w:r>
          </w:p>
        </w:tc>
      </w:tr>
    </w:tbl>
    <w:p>
      <w:pPr>
        <w:pStyle w:val="BodyText"/>
      </w:pPr>
      <w:r>
        <w:t xml:space="preserve">Observed first-readmission mortality risk (95% CI): same hospital 6.39% (6.29 to 6.48; n = 442,645); different hospital 7.72% (7.56 to 7.88; n = 133,981). Unknown-status counts were 114 and 44, respectively.</w:t>
      </w:r>
    </w:p>
    <w:bookmarkEnd w:id="44"/>
    <w:bookmarkStart w:id="45" w:name="model-coefficients-and-diagnostics"/>
    <w:p>
      <w:pPr>
        <w:pStyle w:val="Heading3"/>
      </w:pPr>
      <w:r>
        <w:t xml:space="preserve">4.5 Model coefficients and diagnostics</w:t>
      </w:r>
    </w:p>
    <w:p>
      <w:pPr>
        <w:pStyle w:val="FirstParagraph"/>
      </w:pPr>
      <w:r>
        <w:t xml:space="preserve">The primary interpretation is based on standardized risks and the absolute risk difference, not individual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68"/>
        <w:gridCol w:w="57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Log-odds coefficient (95% CI)</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Different versus same hospital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0.050 (95% CI 0.033 to 0.066)</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76"/>
        <w:gridCol w:w="518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Model audit field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Analysis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primary_enriched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Complete-case sample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502,236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Weighted population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919,368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PSUs / strata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14,721 / 670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Survey design degrees of freedom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14,051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Convergence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TRUE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Model rank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Fitted residual degrees of freedom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13,979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Age spline knots (boundary; internal)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46;67;79;90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Log index-length-of-stay spline knots (boundary; internal)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0.69; 1.39; 1.95; 2.77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Knot adjustment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Age retained 2/2 internal knots; log1p(index LOS) retained 2/2 internal knots</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Structurally dropped terms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None</w:t>
            </w:r>
          </w:p>
        </w:tc>
      </w:tr>
    </w:tbl>
    <w:p>
      <w:pPr>
        <w:pStyle w:val="BodyText"/>
      </w:pPr>
      <w:r>
        <w:t xml:space="preserve">The primary model is a survey-weighted logistic regression for the second-readmission outcome. In symbolic form,</w:t>
      </w:r>
      <w:r>
        <w:t xml:space="preserve"> </w:t>
      </w:r>
      <w:r>
        <w:rPr>
          <w:rStyle w:val="VerbatimChar"/>
        </w:rPr>
        <w:t xml:space="preserve">logit{Pr(Y = 1 | X)} = β₀ + Xβ</w:t>
      </w:r>
      <w:r>
        <w:t xml:space="preserve">; the exposure coefficient is on the log-odds scale. Adjusted risks are design-based predictive margins over the primary complete-case population, and the risk difference is the different-hospital margin minus the same-hospital margin. The model included hospital-switching exposure, year, sex, payer, ZIP income quartile, county urban–rural category, index-hospital bed size, urban-teaching status and ownership, natural spline terms for age and log(1 + index length of stay), index discharge disposition, APR-DRG severity, and estimable mapped legacy Elixhauser indicators. Full coefficient rows and the exact software formula are available in</w:t>
      </w:r>
      <w:r>
        <w:t xml:space="preserve"> </w:t>
      </w:r>
      <w:r>
        <w:rPr>
          <w:rStyle w:val="VerbatimChar"/>
        </w:rPr>
        <w:t xml:space="preserve">model_coefficients.csv</w:t>
      </w:r>
      <w:r>
        <w:t xml:space="preserve"> </w:t>
      </w:r>
      <w:r>
        <w:t xml:space="preserve">and</w:t>
      </w:r>
      <w:r>
        <w:t xml:space="preserve"> </w:t>
      </w:r>
      <w:r>
        <w:rPr>
          <w:rStyle w:val="VerbatimChar"/>
        </w:rPr>
        <w:t xml:space="preserve">analysis_summary.csv</w:t>
      </w:r>
      <w:r>
        <w:t xml:space="preserve">.</w:t>
      </w:r>
    </w:p>
    <w:p>
      <w:r>
        <w:br w:type="page"/>
      </w:r>
    </w:p>
    <w:bookmarkEnd w:id="45"/>
    <w:bookmarkEnd w:id="46"/>
    <w:bookmarkStart w:id="51" w:name="discussion"/>
    <w:p>
      <w:pPr>
        <w:pStyle w:val="Heading2"/>
      </w:pPr>
      <w:r>
        <w:t xml:space="preserve">5 Discussion</w:t>
      </w:r>
    </w:p>
    <w:bookmarkStart w:id="47" w:name="principal-findings"/>
    <w:p>
      <w:pPr>
        <w:pStyle w:val="Heading3"/>
      </w:pPr>
      <w:r>
        <w:t xml:space="preserve">5.1 Principal findings</w:t>
      </w:r>
    </w:p>
    <w:p>
      <w:pPr>
        <w:pStyle w:val="FirstParagraph"/>
      </w:pPr>
      <w:r>
        <w:t xml:space="preserve">In 502,236 complete cases, adjusted 30-day risk was 31.44% (95% CI 31.26% to 31.61%) after a same-hospital first readmission and 32.49% (95% CI 32.18% to 32.80%) after a different-hospital first readmission. The adjusted risk difference was 1.06 percentage points (95% CI 0.71 to 1.40). This conditional association applies to people already selected by having a first readmission and surviving to its discharge.</w:t>
      </w:r>
    </w:p>
    <w:bookmarkEnd w:id="47"/>
    <w:bookmarkStart w:id="48" w:name="interpretation-in-context"/>
    <w:p>
      <w:pPr>
        <w:pStyle w:val="Heading3"/>
      </w:pPr>
      <w:r>
        <w:t xml:space="preserve">5.2 Interpretation in context</w:t>
      </w:r>
    </w:p>
    <w:p>
      <w:pPr>
        <w:pStyle w:val="FirstParagraph"/>
      </w:pPr>
      <w:r>
        <w:t xml:space="preserve">Hospital switching is a descriptive site-of-care measure. It can represent a necessary transfer, emergency routing, patient preference, access constraints, insurance arrangements, or referral patterns. These data cannot separate those mechanisms or establish that switching itself is detrimental. Comparison with earlier HF fragmentation studies should emphasize differences in exposure, timing, and target population rather than claim that findings are directly contradictory or novel.</w:t>
      </w:r>
    </w:p>
    <w:bookmarkEnd w:id="48"/>
    <w:bookmarkStart w:id="49" w:name="limitations"/>
    <w:p>
      <w:pPr>
        <w:pStyle w:val="Heading3"/>
      </w:pPr>
      <w:r>
        <w:t xml:space="preserve">5.3 Limitations</w:t>
      </w:r>
    </w:p>
    <w:p>
      <w:pPr>
        <w:pStyle w:val="FirstParagraph"/>
      </w:pPr>
      <w:r>
        <w:t xml:space="preserve">Several limitations constrain interpretation. First, the cohort is conditioned on both a first readmission and survival to its discharge. Illness, access, care processes, and other factors may influence entry into this selected group and the subsequent outcome, creating selection bias. Second, administrative claims lack detailed physiologic severity, functional status, patient preference, distance, referral, ambulance routing, hospital capacity, and information exchange. Adjustment for measured baseline characteristics cannot remove residual confounding. Third, the hospital identifier identifies a site, not a care network or continuity of clinicians. Fourth, the diagnosis and transfer definitions are administrative algorithms without local clinical validation; transfer disposition can be imperfect. Fifth, follow-up cannot cross NRD year or state boundaries, and deaths outside the hospital are not observed. Finally, complete-case analyses can be biased if covariate missingness is informative; no missing-category sensitivity analysis was run.</w:t>
      </w:r>
    </w:p>
    <w:bookmarkEnd w:id="49"/>
    <w:bookmarkStart w:id="50" w:name="conclusions-1"/>
    <w:p>
      <w:pPr>
        <w:pStyle w:val="Heading3"/>
      </w:pPr>
      <w:r>
        <w:t xml:space="preserve">5.4 Conclusions</w:t>
      </w:r>
    </w:p>
    <w:p>
      <w:pPr>
        <w:pStyle w:val="FirstParagraph"/>
      </w:pPr>
      <w:r>
        <w:t xml:space="preserve">Among adults with an eligible HF index admission who were readmitted within 30 days and discharged alive from that readmission, a different-hospital first readmission was associated with the subsequent 30-day inpatient admission risk estimated by the revised model. The result is specific to this selected survivor population and does not show that hospital switching causes, prevents, or is itself evidence of fragmented or lower-quality care.</w:t>
      </w:r>
    </w:p>
    <w:bookmarkEnd w:id="50"/>
    <w:bookmarkEnd w:id="51"/>
    <w:bookmarkStart w:id="54" w:name="technical-supplement"/>
    <w:p>
      <w:pPr>
        <w:pStyle w:val="Heading2"/>
      </w:pPr>
      <w:r>
        <w:t xml:space="preserve">6 Technical supplement</w:t>
      </w:r>
    </w:p>
    <w:bookmarkStart w:id="52" w:name="X383146956e90e3cef64732c1cc0b18f2222ed2a"/>
    <w:p>
      <w:pPr>
        <w:pStyle w:val="Heading3"/>
      </w:pPr>
      <w:r>
        <w:t xml:space="preserve">6.1 Detailed annual flow and transfer exclusions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2880"/>
        <w:gridCol w:w="28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Eligible index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First readmission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Survivor cohort 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349,889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72,353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404,210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74,780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420,921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77,475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444,576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81,434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390,676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69,790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72,190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416,381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82,152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72,915</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1224"/>
        <w:gridCol w:w="2376"/>
        <w:gridCol w:w="2376"/>
        <w:gridCol w:w="266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Eligible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Complete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Excluded 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58,916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Different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55,854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54,878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976</w:t>
            </w:r>
          </w:p>
        </w:tc>
      </w:tr>
    </w:tbl>
    <w:p>
      <w:r>
        <w:br w:type="page"/>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40"/>
        <w:gridCol w:w="144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Entering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Excluded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Remaining 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2016 - Death or unknown status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72,353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2016 -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78,574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2017 -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74,780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81,257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81,052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2018 -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77,475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2019 -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85,189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81,434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72,815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2020 -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69,790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75,122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2021 - Combined same-day, rehabilitation, acute-transfer exclusions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72,190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2022 - Death or unknown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76,163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2022 - Discharge after November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75,892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2022 - Combined same-day, rehabilitation, acute-transfer exclusions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75,892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72,915</w:t>
            </w:r>
          </w:p>
        </w:tc>
      </w:tr>
    </w:tbl>
    <w:p>
      <w:r>
        <w:br w:type="page"/>
      </w:r>
    </w:p>
    <w:bookmarkEnd w:id="52"/>
    <w:bookmarkStart w:id="53" w:name="annual-and-model-sensitivity-detail"/>
    <w:p>
      <w:pPr>
        <w:pStyle w:val="Heading3"/>
      </w:pPr>
      <w:r>
        <w:t xml:space="preserve">6.2 Annual and model sensitivity detail</w:t>
      </w:r>
    </w:p>
    <w:p>
      <w:pPr>
        <w:pStyle w:val="FirstParagraph"/>
      </w:pPr>
      <w:r>
        <w:t xml:space="preserve">Annual variable-specific missingness by year and hospital group is available in the missingness_flow.csv download. The main pooled table above suppresses any pooled group containing a masked annual cell.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4"/>
        <w:gridCol w:w="532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Risk difference (percentage points, 95% CI)</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Historical matched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1.07 percentage points (95% CI 0.72 to 1.41)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Analysis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7"/>
                <w:szCs w:val="17"/>
                <w:color w:val="000000"/>
              </w:rPr>
              <w:t xml:space="preserve">Population and fit summary</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Primary enriched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 502,236; weighted population = 919,368; PSUs / strata = 14,721 / 670; survey design df = 14,051; converged; rank = 73; residual df = 13,979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Historical matched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7"/>
                <w:szCs w:val="17"/>
                <w:color w:val="000000"/>
              </w:rPr>
              <w:t xml:space="preserve">N = 502,236; weighted population = 919,368; PSUs / strata = 14,721 / 670; survey design df = 14,051; converged; rank = 30; residual df = 14,022</w:t>
            </w:r>
          </w:p>
        </w:tc>
      </w:tr>
    </w:tbl>
    <w:bookmarkEnd w:id="53"/>
    <w:bookmarkEnd w:id="54"/>
    <w:bookmarkStart w:id="79" w:name="data-access-and-reproducibility"/>
    <w:p>
      <w:pPr>
        <w:pStyle w:val="Heading2"/>
      </w:pPr>
      <w:r>
        <w:t xml:space="preserve">7 Data access and reproducibility</w:t>
      </w:r>
    </w:p>
    <w:p>
      <w:pPr>
        <w:pStyle w:val="FirstParagraph"/>
      </w:pPr>
      <w:r>
        <w:t xml:space="preserve">The NRD is a restricted-use data product and person-level data cannot be redistributed. Researchers may obtain annual NRD files through HCUP subject to its data-use requirements. This project releases aggregate tables only after the project’s disclosure review. Raw NRD records, record-level linked cohorts, survey PSU frames, run manifests, private audit ledgers, and credentials are not part of the public release.</w:t>
      </w:r>
    </w:p>
    <w:p>
      <w:pPr>
        <w:pStyle w:val="BodyText"/>
      </w:pPr>
      <w:r>
        <w:t xml:space="preserve">The analysis source is maintained separately from the public site.</w:t>
      </w:r>
      <w:r>
        <w:t xml:space="preserve"> </w:t>
      </w:r>
      <w:r>
        <w:rPr>
          <w:rStyle w:val="VerbatimChar"/>
        </w:rPr>
        <w:t xml:space="preserve">REPRODUCING.md</w:t>
      </w:r>
      <w:r>
        <w:t xml:space="preserve"> </w:t>
      </w:r>
      <w:r>
        <w:t xml:space="preserve">documents the aggregate-only public render and the private full rebuild using authorized annual files. This report reads results from the certified aggregate CSV outputs in</w:t>
      </w:r>
      <w:r>
        <w:t xml:space="preserve"> </w:t>
      </w:r>
      <w:r>
        <w:rPr>
          <w:rStyle w:val="VerbatimChar"/>
        </w:rPr>
        <w:t xml:space="preserve">results/</w:t>
      </w:r>
      <w:r>
        <w:t xml:space="preserve">; it does not hard-code effect estimates. The current primary run is</w:t>
      </w:r>
      <w:r>
        <w:t xml:space="preserve"> </w:t>
      </w:r>
      <w:r>
        <w:rPr>
          <w:rStyle w:val="VerbatimChar"/>
        </w:rPr>
        <w:t xml:space="preserve">20261024T035323+0500</w:t>
      </w:r>
      <w:r>
        <w:t xml:space="preserve"> </w:t>
      </w:r>
      <w:r>
        <w:t xml:space="preserve">and uses cohort run</w:t>
      </w:r>
      <w:r>
        <w:t xml:space="preserve"> </w:t>
      </w:r>
      <w:r>
        <w:rPr>
          <w:rStyle w:val="VerbatimChar"/>
        </w:rPr>
        <w:t xml:space="preserve">20261023T191357+0500</w:t>
      </w:r>
      <w:r>
        <w:t xml:space="preserve">.</w:t>
      </w:r>
    </w:p>
    <w:p>
      <w:pPr>
        <w:pStyle w:val="BodyText"/>
      </w:pPr>
      <w:r>
        <w:t xml:space="preserve">The public site provides the full 23-file disclosure-reviewed aggregate contract and the</w:t>
      </w:r>
      <w:r>
        <w:t xml:space="preserve"> </w:t>
      </w:r>
      <w:hyperlink r:id="rId55">
        <w:r>
          <w:rPr>
            <w:rStyle w:val="Hyperlink"/>
          </w:rPr>
          <w:t xml:space="preserve">Word manuscript</w:t>
        </w:r>
      </w:hyperlink>
      <w:r>
        <w:t xml:space="preserve">:</w:t>
      </w:r>
      <w:r>
        <w:t xml:space="preserve"> </w:t>
      </w:r>
      <w:hyperlink r:id="rId56">
        <w:r>
          <w:rPr>
            <w:rStyle w:val="Hyperlink"/>
          </w:rPr>
          <w:t xml:space="preserve">cohort flow</w:t>
        </w:r>
      </w:hyperlink>
      <w:r>
        <w:t xml:space="preserve">,</w:t>
      </w:r>
      <w:r>
        <w:t xml:space="preserve"> </w:t>
      </w:r>
      <w:hyperlink r:id="rId57">
        <w:r>
          <w:rPr>
            <w:rStyle w:val="Hyperlink"/>
          </w:rPr>
          <w:t xml:space="preserve">crude weighted risks</w:t>
        </w:r>
      </w:hyperlink>
      <w:r>
        <w:t xml:space="preserve">,</w:t>
      </w:r>
      <w:r>
        <w:t xml:space="preserve"> </w:t>
      </w:r>
      <w:hyperlink r:id="rId58">
        <w:r>
          <w:rPr>
            <w:rStyle w:val="Hyperlink"/>
          </w:rPr>
          <w:t xml:space="preserve">adjusted risks (revised-run legacy filename)</w:t>
        </w:r>
      </w:hyperlink>
      <w:r>
        <w:t xml:space="preserve">,</w:t>
      </w:r>
      <w:r>
        <w:t xml:space="preserve"> </w:t>
      </w:r>
      <w:hyperlink r:id="rId59">
        <w:r>
          <w:rPr>
            <w:rStyle w:val="Hyperlink"/>
          </w:rPr>
          <w:t xml:space="preserve">adjusted contrasts (revised-run legacy filename)</w:t>
        </w:r>
      </w:hyperlink>
      <w:r>
        <w:t xml:space="preserve">,</w:t>
      </w:r>
      <w:r>
        <w:t xml:space="preserve"> </w:t>
      </w:r>
      <w:hyperlink r:id="rId60">
        <w:r>
          <w:rPr>
            <w:rStyle w:val="Hyperlink"/>
          </w:rPr>
          <w:t xml:space="preserve">Table 1</w:t>
        </w:r>
      </w:hyperlink>
      <w:r>
        <w:t xml:space="preserve">,</w:t>
      </w:r>
      <w:r>
        <w:t xml:space="preserve"> </w:t>
      </w:r>
      <w:hyperlink r:id="rId61">
        <w:r>
          <w:rPr>
            <w:rStyle w:val="Hyperlink"/>
          </w:rPr>
          <w:t xml:space="preserve">sensitivity results</w:t>
        </w:r>
      </w:hyperlink>
      <w:r>
        <w:t xml:space="preserve">,</w:t>
      </w:r>
      <w:r>
        <w:t xml:space="preserve"> </w:t>
      </w:r>
      <w:hyperlink r:id="rId62">
        <w:r>
          <w:rPr>
            <w:rStyle w:val="Hyperlink"/>
          </w:rPr>
          <w:t xml:space="preserve">E-value</w:t>
        </w:r>
      </w:hyperlink>
      <w:r>
        <w:t xml:space="preserve">,</w:t>
      </w:r>
      <w:r>
        <w:t xml:space="preserve"> </w:t>
      </w:r>
      <w:hyperlink r:id="rId63">
        <w:r>
          <w:rPr>
            <w:rStyle w:val="Hyperlink"/>
          </w:rPr>
          <w:t xml:space="preserve">subgroup results (empty in this run)</w:t>
        </w:r>
      </w:hyperlink>
      <w:r>
        <w:t xml:space="preserve">,</w:t>
      </w:r>
      <w:r>
        <w:t xml:space="preserve"> </w:t>
      </w:r>
      <w:hyperlink r:id="rId64">
        <w:r>
          <w:rPr>
            <w:rStyle w:val="Hyperlink"/>
          </w:rPr>
          <w:t xml:space="preserve">main-model legacy output</w:t>
        </w:r>
      </w:hyperlink>
      <w:r>
        <w:t xml:space="preserve">,</w:t>
      </w:r>
      <w:r>
        <w:t xml:space="preserve"> </w:t>
      </w:r>
      <w:hyperlink r:id="rId65">
        <w:r>
          <w:rPr>
            <w:rStyle w:val="Hyperlink"/>
          </w:rPr>
          <w:t xml:space="preserve">conditional-model coefficients</w:t>
        </w:r>
      </w:hyperlink>
      <w:r>
        <w:t xml:space="preserve">,</w:t>
      </w:r>
      <w:r>
        <w:t xml:space="preserve"> </w:t>
      </w:r>
      <w:hyperlink r:id="rId66">
        <w:r>
          <w:rPr>
            <w:rStyle w:val="Hyperlink"/>
          </w:rPr>
          <w:t xml:space="preserve">missingness flow</w:t>
        </w:r>
      </w:hyperlink>
      <w:r>
        <w:t xml:space="preserve">,</w:t>
      </w:r>
      <w:r>
        <w:t xml:space="preserve"> </w:t>
      </w:r>
      <w:hyperlink r:id="rId67">
        <w:r>
          <w:rPr>
            <w:rStyle w:val="Hyperlink"/>
          </w:rPr>
          <w:t xml:space="preserve">complete-case flow</w:t>
        </w:r>
      </w:hyperlink>
      <w:r>
        <w:t xml:space="preserve">,</w:t>
      </w:r>
      <w:r>
        <w:t xml:space="preserve"> </w:t>
      </w:r>
      <w:hyperlink r:id="rId68">
        <w:r>
          <w:rPr>
            <w:rStyle w:val="Hyperlink"/>
          </w:rPr>
          <w:t xml:space="preserve">coarsened transfer exclusions</w:t>
        </w:r>
      </w:hyperlink>
      <w:r>
        <w:t xml:space="preserve">,</w:t>
      </w:r>
      <w:r>
        <w:t xml:space="preserve"> </w:t>
      </w:r>
      <w:hyperlink r:id="rId69">
        <w:r>
          <w:rPr>
            <w:rStyle w:val="Hyperlink"/>
          </w:rPr>
          <w:t xml:space="preserve">first-readmission mortality</w:t>
        </w:r>
      </w:hyperlink>
      <w:r>
        <w:t xml:space="preserve">,</w:t>
      </w:r>
      <w:r>
        <w:t xml:space="preserve"> </w:t>
      </w:r>
      <w:hyperlink r:id="rId70">
        <w:r>
          <w:rPr>
            <w:rStyle w:val="Hyperlink"/>
          </w:rPr>
          <w:t xml:space="preserve">secondary outcomes</w:t>
        </w:r>
      </w:hyperlink>
      <w:r>
        <w:t xml:space="preserve">,</w:t>
      </w:r>
      <w:r>
        <w:t xml:space="preserve"> </w:t>
      </w:r>
      <w:hyperlink r:id="rId71">
        <w:r>
          <w:rPr>
            <w:rStyle w:val="Hyperlink"/>
          </w:rPr>
          <w:t xml:space="preserve">utilization</w:t>
        </w:r>
      </w:hyperlink>
      <w:r>
        <w:t xml:space="preserve">,</w:t>
      </w:r>
      <w:r>
        <w:t xml:space="preserve"> </w:t>
      </w:r>
      <w:hyperlink r:id="rId72">
        <w:r>
          <w:rPr>
            <w:rStyle w:val="Hyperlink"/>
          </w:rPr>
          <w:t xml:space="preserve">cost availability</w:t>
        </w:r>
      </w:hyperlink>
      <w:r>
        <w:t xml:space="preserve">,</w:t>
      </w:r>
      <w:r>
        <w:t xml:space="preserve"> </w:t>
      </w:r>
      <w:hyperlink r:id="rId73">
        <w:r>
          <w:rPr>
            <w:rStyle w:val="Hyperlink"/>
          </w:rPr>
          <w:t xml:space="preserve">primary and matched-model risks</w:t>
        </w:r>
      </w:hyperlink>
      <w:r>
        <w:t xml:space="preserve">,</w:t>
      </w:r>
      <w:r>
        <w:t xml:space="preserve"> </w:t>
      </w:r>
      <w:hyperlink r:id="rId74">
        <w:r>
          <w:rPr>
            <w:rStyle w:val="Hyperlink"/>
          </w:rPr>
          <w:t xml:space="preserve">primary and matched-model contrasts</w:t>
        </w:r>
      </w:hyperlink>
      <w:r>
        <w:t xml:space="preserve">,</w:t>
      </w:r>
      <w:r>
        <w:t xml:space="preserve"> </w:t>
      </w:r>
      <w:hyperlink r:id="rId75">
        <w:r>
          <w:rPr>
            <w:rStyle w:val="Hyperlink"/>
          </w:rPr>
          <w:t xml:space="preserve">model coefficients</w:t>
        </w:r>
      </w:hyperlink>
      <w:r>
        <w:t xml:space="preserve">,</w:t>
      </w:r>
      <w:r>
        <w:t xml:space="preserve"> </w:t>
      </w:r>
      <w:hyperlink r:id="rId76">
        <w:r>
          <w:rPr>
            <w:rStyle w:val="Hyperlink"/>
          </w:rPr>
          <w:t xml:space="preserve">sensitivity risks</w:t>
        </w:r>
      </w:hyperlink>
      <w:r>
        <w:t xml:space="preserve">,</w:t>
      </w:r>
      <w:r>
        <w:t xml:space="preserve"> </w:t>
      </w:r>
      <w:hyperlink r:id="rId77">
        <w:r>
          <w:rPr>
            <w:rStyle w:val="Hyperlink"/>
          </w:rPr>
          <w:t xml:space="preserve">sensitivity contrasts</w:t>
        </w:r>
      </w:hyperlink>
      <w:r>
        <w:t xml:space="preserve">, and</w:t>
      </w:r>
      <w:r>
        <w:t xml:space="preserve"> </w:t>
      </w:r>
      <w:hyperlink r:id="rId78">
        <w:r>
          <w:rPr>
            <w:rStyle w:val="Hyperlink"/>
          </w:rPr>
          <w:t xml:space="preserve">analysis summary</w:t>
        </w:r>
      </w:hyperlink>
      <w:r>
        <w:t xml:space="preserve">. The adjusted risks/contrasts and main-model legacy files are revised-run outputs, not historical model estimates. Private manifests, survey frames, record-level data, and audit files are not public.</w:t>
      </w:r>
    </w:p>
    <w:bookmarkEnd w:id="79"/>
    <w:bookmarkStart w:id="80" w:name="X325d50e0b710942844bb5cc120e0ea3fe20b093"/>
    <w:p>
      <w:pPr>
        <w:pStyle w:val="Heading2"/>
      </w:pPr>
      <w:r>
        <w:t xml:space="preserve">8 Author declarations requiring confirmation</w:t>
      </w:r>
    </w:p>
    <w:p>
      <w:pPr>
        <w:pStyle w:val="FirstParagraph"/>
      </w:pPr>
      <w:r>
        <w:t xml:space="preserve">Before submission, authors must confirm the IRB and applicable HCUP data-use determinations, funding and funder role, affiliations, contributions, acknowledgments, and conflicts of interest.</w:t>
      </w:r>
    </w:p>
    <w:bookmarkEnd w:id="80"/>
    <w:bookmarkStart w:id="84" w:name="references"/>
    <w:p>
      <w:pPr>
        <w:pStyle w:val="Heading2"/>
      </w:pPr>
      <w:r>
        <w:t xml:space="preserve">9 References</w:t>
      </w:r>
    </w:p>
    <w:p>
      <w:pPr>
        <w:pStyle w:val="Compact"/>
        <w:numPr>
          <w:ilvl w:val="0"/>
          <w:numId w:val="1001"/>
        </w:numPr>
      </w:pPr>
      <w:r>
        <w:t xml:space="preserve">McAlister FA, Youngson E, Kaul P. Patients with heart failure readmitted to the original hospital have better outcomes than those readmitted elsewhere.</w:t>
      </w:r>
      <w:r>
        <w:t xml:space="preserve"> </w:t>
      </w:r>
      <w:r>
        <w:rPr>
          <w:i/>
          <w:iCs/>
        </w:rPr>
        <w:t xml:space="preserve">J Am Heart Assoc</w:t>
      </w:r>
      <w:r>
        <w:t xml:space="preserve">. 2017;6(5):e004892. doi:10.1161/JAHA.116.004892.</w:t>
      </w:r>
      <w:r>
        <w:t xml:space="preserve"> </w:t>
      </w:r>
      <w:hyperlink r:id="rId15">
        <w:r>
          <w:rPr>
            <w:rStyle w:val="Hyperlink"/>
          </w:rPr>
          <w:t xml:space="preserve">Full text</w:t>
        </w:r>
      </w:hyperlink>
      <w:r>
        <w:t xml:space="preserve">.</w:t>
      </w:r>
    </w:p>
    <w:p>
      <w:pPr>
        <w:pStyle w:val="Compact"/>
        <w:numPr>
          <w:ilvl w:val="0"/>
          <w:numId w:val="1001"/>
        </w:numPr>
      </w:pPr>
      <w:r>
        <w:t xml:space="preserve">Lahewala S, et al. Outcomes of patients with heart failure admitted to hospitals with different levels of care fragmentation.</w:t>
      </w:r>
      <w:r>
        <w:t xml:space="preserve"> </w:t>
      </w:r>
      <w:r>
        <w:rPr>
          <w:i/>
          <w:iCs/>
        </w:rPr>
        <w:t xml:space="preserve">Int J Cardiol</w:t>
      </w:r>
      <w:r>
        <w:t xml:space="preserve">. 2019.</w:t>
      </w:r>
      <w:r>
        <w:t xml:space="preserve"> </w:t>
      </w:r>
      <w:hyperlink r:id="rId81">
        <w:r>
          <w:rPr>
            <w:rStyle w:val="Hyperlink"/>
          </w:rPr>
          <w:t xml:space="preserve">Article</w:t>
        </w:r>
      </w:hyperlink>
      <w:r>
        <w:t xml:space="preserve">;</w:t>
      </w:r>
      <w:r>
        <w:t xml:space="preserve"> </w:t>
      </w:r>
      <w:hyperlink r:id="rId82">
        <w:r>
          <w:rPr>
            <w:rStyle w:val="Hyperlink"/>
          </w:rPr>
          <w:t xml:space="preserve">corrigendum</w:t>
        </w:r>
      </w:hyperlink>
      <w:r>
        <w:t xml:space="preserve">.</w:t>
      </w:r>
    </w:p>
    <w:p>
      <w:pPr>
        <w:pStyle w:val="Compact"/>
        <w:numPr>
          <w:ilvl w:val="0"/>
          <w:numId w:val="1001"/>
        </w:numPr>
      </w:pPr>
      <w:r>
        <w:t xml:space="preserve">Axon RN, et al. Dual use of Veterans Affairs and non-Veterans Affairs hospitals among patients with heart failure and subsequent readmissions.</w:t>
      </w:r>
      <w:r>
        <w:t xml:space="preserve"> </w:t>
      </w:r>
      <w:r>
        <w:rPr>
          <w:i/>
          <w:iCs/>
        </w:rPr>
        <w:t xml:space="preserve">Am Heart J</w:t>
      </w:r>
      <w:r>
        <w:t xml:space="preserve">. 2016.</w:t>
      </w:r>
      <w:r>
        <w:t xml:space="preserve"> </w:t>
      </w:r>
      <w:hyperlink r:id="rId17">
        <w:r>
          <w:rPr>
            <w:rStyle w:val="Hyperlink"/>
          </w:rPr>
          <w:t xml:space="preserve">PubMed</w:t>
        </w:r>
      </w:hyperlink>
      <w:r>
        <w:t xml:space="preserve">.</w:t>
      </w:r>
    </w:p>
    <w:p>
      <w:pPr>
        <w:pStyle w:val="Compact"/>
        <w:numPr>
          <w:ilvl w:val="0"/>
          <w:numId w:val="1001"/>
        </w:numPr>
      </w:pPr>
      <w:r>
        <w:t xml:space="preserve">Snow K, Galaviz K, Turbow S. Patient outcomes following interhospital care fragmentation: a systematic review.</w:t>
      </w:r>
      <w:r>
        <w:t xml:space="preserve"> </w:t>
      </w:r>
      <w:r>
        <w:rPr>
          <w:i/>
          <w:iCs/>
        </w:rPr>
        <w:t xml:space="preserve">J Gen Intern Med</w:t>
      </w:r>
      <w:r>
        <w:t xml:space="preserve">. 2020;35(5):1550–1558. doi:10.1007/s11606-019-05366-z.</w:t>
      </w:r>
      <w:r>
        <w:t xml:space="preserve"> </w:t>
      </w:r>
      <w:hyperlink r:id="rId19">
        <w:r>
          <w:rPr>
            <w:rStyle w:val="Hyperlink"/>
          </w:rPr>
          <w:t xml:space="preserve">Full text</w:t>
        </w:r>
      </w:hyperlink>
      <w:r>
        <w:t xml:space="preserve">.</w:t>
      </w:r>
    </w:p>
    <w:p>
      <w:pPr>
        <w:pStyle w:val="Compact"/>
        <w:numPr>
          <w:ilvl w:val="0"/>
          <w:numId w:val="1001"/>
        </w:numPr>
      </w:pPr>
      <w:r>
        <w:t xml:space="preserve">Zheng C, et al. Non-index hospital readmissions and subsequent readmissions following major cancer surgery.</w:t>
      </w:r>
      <w:r>
        <w:t xml:space="preserve"> </w:t>
      </w:r>
      <w:r>
        <w:rPr>
          <w:i/>
          <w:iCs/>
        </w:rPr>
        <w:t xml:space="preserve">J Am Coll Surg</w:t>
      </w:r>
      <w:r>
        <w:t xml:space="preserve">. 2016.</w:t>
      </w:r>
      <w:r>
        <w:t xml:space="preserve"> </w:t>
      </w:r>
      <w:hyperlink r:id="rId83">
        <w:r>
          <w:rPr>
            <w:rStyle w:val="Hyperlink"/>
          </w:rPr>
          <w:t xml:space="preserve">Full text</w:t>
        </w:r>
      </w:hyperlink>
      <w:r>
        <w:t xml:space="preserve">.</w:t>
      </w:r>
    </w:p>
    <w:p>
      <w:pPr>
        <w:pStyle w:val="Compact"/>
        <w:numPr>
          <w:ilvl w:val="0"/>
          <w:numId w:val="1001"/>
        </w:numPr>
      </w:pPr>
      <w:r>
        <w:t xml:space="preserve">Thandra A, et al. Recurrent readmissions among patients hospitalized with heart failure in the United States.</w:t>
      </w:r>
      <w:r>
        <w:t xml:space="preserve"> </w:t>
      </w:r>
      <w:r>
        <w:rPr>
          <w:i/>
          <w:iCs/>
        </w:rPr>
        <w:t xml:space="preserve">Am J Med Sci</w:t>
      </w:r>
      <w:r>
        <w:t xml:space="preserve">. 2023;365:145–151.</w:t>
      </w:r>
      <w:r>
        <w:t xml:space="preserve"> </w:t>
      </w:r>
      <w:hyperlink r:id="rId18">
        <w:r>
          <w:rPr>
            <w:rStyle w:val="Hyperlink"/>
          </w:rPr>
          <w:t xml:space="preserve">PubMed</w:t>
        </w:r>
      </w:hyperlink>
      <w:r>
        <w:t xml:space="preserve">.</w:t>
      </w:r>
    </w:p>
    <w:p>
      <w:pPr>
        <w:pStyle w:val="Compact"/>
        <w:numPr>
          <w:ilvl w:val="0"/>
          <w:numId w:val="1001"/>
        </w:numPr>
      </w:pPr>
      <w:r>
        <w:t xml:space="preserve">Turbow S, et al. Care fragmentation and readmission mortality and length of stay before and during the COVID-19 pandemic: data from the National Readmissions Database, 2018–2020.</w:t>
      </w:r>
      <w:r>
        <w:t xml:space="preserve"> </w:t>
      </w:r>
      <w:r>
        <w:rPr>
          <w:i/>
          <w:iCs/>
        </w:rPr>
        <w:t xml:space="preserve">BMC Health Serv Res</w:t>
      </w:r>
      <w:r>
        <w:t xml:space="preserve">. 2024;24:622. doi:10.1186/s12913-024-11073-1.</w:t>
      </w:r>
      <w:r>
        <w:t xml:space="preserve"> </w:t>
      </w:r>
      <w:hyperlink r:id="rId20">
        <w:r>
          <w:rPr>
            <w:rStyle w:val="Hyperlink"/>
          </w:rPr>
          <w:t xml:space="preserve">Full text</w:t>
        </w:r>
      </w:hyperlink>
      <w:r>
        <w:t xml:space="preserve">.</w:t>
      </w:r>
    </w:p>
    <w:p>
      <w:pPr>
        <w:pStyle w:val="Compact"/>
        <w:numPr>
          <w:ilvl w:val="0"/>
          <w:numId w:val="1001"/>
        </w:numPr>
      </w:pPr>
      <w:r>
        <w:t xml:space="preserve">Verma A, et al. Care fragmentation following hospitalization for atrial fibrillation in the United States.</w:t>
      </w:r>
      <w:r>
        <w:t xml:space="preserve"> </w:t>
      </w:r>
      <w:r>
        <w:rPr>
          <w:i/>
          <w:iCs/>
        </w:rPr>
        <w:t xml:space="preserve">JACC Adv</w:t>
      </w:r>
      <w:r>
        <w:t xml:space="preserve">. 2023;2(4):100375. doi:10.1016/j.jacadv.2023.100375.</w:t>
      </w:r>
      <w:r>
        <w:t xml:space="preserve"> </w:t>
      </w:r>
      <w:hyperlink r:id="rId21">
        <w:r>
          <w:rPr>
            <w:rStyle w:val="Hyperlink"/>
          </w:rPr>
          <w:t xml:space="preserve">PubMed</w:t>
        </w:r>
      </w:hyperlink>
      <w:r>
        <w:t xml:space="preserve">.</w:t>
      </w:r>
    </w:p>
    <w:p>
      <w:pPr>
        <w:pStyle w:val="Compact"/>
        <w:numPr>
          <w:ilvl w:val="0"/>
          <w:numId w:val="1001"/>
        </w:numPr>
      </w:pPr>
      <w:r>
        <w:t xml:space="preserve">Benchimol EI, Smeeth L, Guttmann A, et al. The REporting of studies Conducted using Observational Routinely-collected health Data (RECORD) statement.</w:t>
      </w:r>
      <w:r>
        <w:t xml:space="preserve"> </w:t>
      </w:r>
      <w:r>
        <w:rPr>
          <w:i/>
          <w:iCs/>
        </w:rPr>
        <w:t xml:space="preserve">PLoS Med</w:t>
      </w:r>
      <w:r>
        <w:t xml:space="preserve">. 2015;12(10):e1001885. doi:10.1371/journal.pmed.1001885.</w:t>
      </w:r>
    </w:p>
    <w:p>
      <w:pPr>
        <w:pStyle w:val="Compact"/>
        <w:numPr>
          <w:ilvl w:val="0"/>
          <w:numId w:val="1001"/>
        </w:numPr>
      </w:pPr>
      <w:r>
        <w:t xml:space="preserve">von Elm E, Altman DG, Egger M, et al. The Strengthening the Reporting of Observational Studies in Epidemiology (STROBE) statement.</w:t>
      </w:r>
      <w:r>
        <w:t xml:space="preserve"> </w:t>
      </w:r>
      <w:r>
        <w:rPr>
          <w:i/>
          <w:iCs/>
        </w:rPr>
        <w:t xml:space="preserve">PLoS Med</w:t>
      </w:r>
      <w:r>
        <w:t xml:space="preserve">. 2007;4(10):e296. doi:10.1371/journal.pmed.0040296.</w:t>
      </w:r>
    </w:p>
    <w:p>
      <w:pPr>
        <w:pStyle w:val="Compact"/>
        <w:numPr>
          <w:ilvl w:val="0"/>
          <w:numId w:val="1001"/>
        </w:numPr>
      </w:pPr>
      <w:r>
        <w:t xml:space="preserve">Healthcare Cost and Utilization Project (HCUP). Nationwide Readmissions Database (NRD) documentation for 2016–2022. Agency for Healthcare Research and Quality.</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59" Target="../data/adjusted_contrasts.csv" TargetMode="External" /><Relationship Type="http://schemas.openxmlformats.org/officeDocument/2006/relationships/hyperlink" Id="rId58" Target="../data/adjusted_risks.csv" TargetMode="External" /><Relationship Type="http://schemas.openxmlformats.org/officeDocument/2006/relationships/hyperlink" Id="rId78" Target="../data/analysis_summary.csv" TargetMode="External" /><Relationship Type="http://schemas.openxmlformats.org/officeDocument/2006/relationships/hyperlink" Id="rId56" Target="../data/cohort_flow.csv" TargetMode="External" /><Relationship Type="http://schemas.openxmlformats.org/officeDocument/2006/relationships/hyperlink" Id="rId67" Target="../data/complete_case_flow.csv" TargetMode="External" /><Relationship Type="http://schemas.openxmlformats.org/officeDocument/2006/relationships/hyperlink" Id="rId72" Target="../data/cost_availability.csv" TargetMode="External" /><Relationship Type="http://schemas.openxmlformats.org/officeDocument/2006/relationships/hyperlink" Id="rId57" Target="../data/crude_weighted_risks.csv" TargetMode="External" /><Relationship Type="http://schemas.openxmlformats.org/officeDocument/2006/relationships/hyperlink" Id="rId62" Target="../data/e_value.csv" TargetMode="External" /><Relationship Type="http://schemas.openxmlformats.org/officeDocument/2006/relationships/hyperlink" Id="rId69" Target="../data/first_readmission_mortality.csv" TargetMode="External" /><Relationship Type="http://schemas.openxmlformats.org/officeDocument/2006/relationships/hyperlink" Id="rId66" Target="../data/missingness_flow.csv" TargetMode="External" /><Relationship Type="http://schemas.openxmlformats.org/officeDocument/2006/relationships/hyperlink" Id="rId74" Target="../data/model_adjusted_contrasts.csv" TargetMode="External" /><Relationship Type="http://schemas.openxmlformats.org/officeDocument/2006/relationships/hyperlink" Id="rId73" Target="../data/model_adjusted_risks.csv" TargetMode="External" /><Relationship Type="http://schemas.openxmlformats.org/officeDocument/2006/relationships/hyperlink" Id="rId75" Target="../data/model_coefficients.csv" TargetMode="External" /><Relationship Type="http://schemas.openxmlformats.org/officeDocument/2006/relationships/hyperlink" Id="rId65" Target="../data/model_conditional.csv" TargetMode="External" /><Relationship Type="http://schemas.openxmlformats.org/officeDocument/2006/relationships/hyperlink" Id="rId64" Target="../data/model_main.csv" TargetMode="External" /><Relationship Type="http://schemas.openxmlformats.org/officeDocument/2006/relationships/hyperlink" Id="rId70" Target="../data/secondary_outcomes.csv" TargetMode="External" /><Relationship Type="http://schemas.openxmlformats.org/officeDocument/2006/relationships/hyperlink" Id="rId77" Target="../data/sensitivity_adjusted_contrasts.csv" TargetMode="External" /><Relationship Type="http://schemas.openxmlformats.org/officeDocument/2006/relationships/hyperlink" Id="rId76" Target="../data/sensitivity_adjusted_risks.csv" TargetMode="External" /><Relationship Type="http://schemas.openxmlformats.org/officeDocument/2006/relationships/hyperlink" Id="rId61" Target="../data/sensitivity_results.csv" TargetMode="External" /><Relationship Type="http://schemas.openxmlformats.org/officeDocument/2006/relationships/hyperlink" Id="rId63" Target="../data/subgroup_results.csv" TargetMode="External" /><Relationship Type="http://schemas.openxmlformats.org/officeDocument/2006/relationships/hyperlink" Id="rId60" Target="../data/table1.csv" TargetMode="External" /><Relationship Type="http://schemas.openxmlformats.org/officeDocument/2006/relationships/hyperlink" Id="rId68" Target="../data/transfer_exclusions.csv" TargetMode="External" /><Relationship Type="http://schemas.openxmlformats.org/officeDocument/2006/relationships/hyperlink" Id="rId71" Target="../data/utilization.csv" TargetMode="External" /><Relationship Type="http://schemas.openxmlformats.org/officeDocument/2006/relationships/hyperlink" Id="rId26" Target="https://hcup-us.ahrq.gov/db/vars/dispuniform/nrdnote.jsp" TargetMode="External" /><Relationship Type="http://schemas.openxmlformats.org/officeDocument/2006/relationships/hyperlink" Id="rId28" Target="https://hcup-us.ahrq.gov/db/vars/h_contrl/nrdnote.jsp" TargetMode="External" /><Relationship Type="http://schemas.openxmlformats.org/officeDocument/2006/relationships/hyperlink" Id="rId29" Target="https://hcup-us.ahrq.gov/db/vars/hosp_bedsize/nrdnote.jsp" TargetMode="External" /><Relationship Type="http://schemas.openxmlformats.org/officeDocument/2006/relationships/hyperlink" Id="rId27" Target="https://hcup-us.ahrq.gov/db/vars/hosp_ur_teach/nrdnote.jsp" TargetMode="External" /><Relationship Type="http://schemas.openxmlformats.org/officeDocument/2006/relationships/hyperlink" Id="rId30" Target="https://hcup-us.ahrq.gov/db/vars/pay1/nrdnote.jsp" TargetMode="External" /><Relationship Type="http://schemas.openxmlformats.org/officeDocument/2006/relationships/hyperlink" Id="rId31" Target="https://hcup-us.ahrq.gov/db/vars/pl_nchs/nrdnote.jsp" TargetMode="External" /><Relationship Type="http://schemas.openxmlformats.org/officeDocument/2006/relationships/hyperlink" Id="rId20" Target="https://pmc.ncbi.nlm.nih.gov/articles/PMC11090805/" TargetMode="External" /><Relationship Type="http://schemas.openxmlformats.org/officeDocument/2006/relationships/hyperlink" Id="rId15" Target="https://pmc.ncbi.nlm.nih.gov/articles/PMC5524066/" TargetMode="External" /><Relationship Type="http://schemas.openxmlformats.org/officeDocument/2006/relationships/hyperlink" Id="rId83" Target="https://pmc.ncbi.nlm.nih.gov/articles/PMC6142950/" TargetMode="External" /><Relationship Type="http://schemas.openxmlformats.org/officeDocument/2006/relationships/hyperlink" Id="rId19" Target="https://pmc.ncbi.nlm.nih.gov/articles/PMC7210367/" TargetMode="External" /><Relationship Type="http://schemas.openxmlformats.org/officeDocument/2006/relationships/hyperlink" Id="rId17" Target="https://pubmed.ncbi.nlm.nih.gov/26995383/" TargetMode="External" /><Relationship Type="http://schemas.openxmlformats.org/officeDocument/2006/relationships/hyperlink" Id="rId16" Target="https://pubmed.ncbi.nlm.nih.gov/30579719/" TargetMode="External" /><Relationship Type="http://schemas.openxmlformats.org/officeDocument/2006/relationships/hyperlink" Id="rId82" Target="https://pubmed.ncbi.nlm.nih.gov/32223962/" TargetMode="External" /><Relationship Type="http://schemas.openxmlformats.org/officeDocument/2006/relationships/hyperlink" Id="rId18" Target="https://pubmed.ncbi.nlm.nih.gov/36152813/" TargetMode="External" /><Relationship Type="http://schemas.openxmlformats.org/officeDocument/2006/relationships/hyperlink" Id="rId21" Target="https://pubmed.ncbi.nlm.nih.gov/38938260/" TargetMode="External" /><Relationship Type="http://schemas.openxmlformats.org/officeDocument/2006/relationships/hyperlink" Id="rId81" Target="https://www.internationaljournalofcardiology.com/article/S0167-5273%2818%2933712-4/abstract" TargetMode="External" /><Relationship Type="http://schemas.openxmlformats.org/officeDocument/2006/relationships/hyperlink" Id="rId55" Target="index.docx" TargetMode="External" /></Relationships>
</file>

<file path=word/_rels/footnotes.xml.rels><?xml version="1.0" encoding="UTF-8"?><Relationships xmlns="http://schemas.openxmlformats.org/package/2006/relationships"><Relationship Type="http://schemas.openxmlformats.org/officeDocument/2006/relationships/hyperlink" Id="rId59" Target="../data/adjusted_contrasts.csv" TargetMode="External" /><Relationship Type="http://schemas.openxmlformats.org/officeDocument/2006/relationships/hyperlink" Id="rId58" Target="../data/adjusted_risks.csv" TargetMode="External" /><Relationship Type="http://schemas.openxmlformats.org/officeDocument/2006/relationships/hyperlink" Id="rId78" Target="../data/analysis_summary.csv" TargetMode="External" /><Relationship Type="http://schemas.openxmlformats.org/officeDocument/2006/relationships/hyperlink" Id="rId56" Target="../data/cohort_flow.csv" TargetMode="External" /><Relationship Type="http://schemas.openxmlformats.org/officeDocument/2006/relationships/hyperlink" Id="rId67" Target="../data/complete_case_flow.csv" TargetMode="External" /><Relationship Type="http://schemas.openxmlformats.org/officeDocument/2006/relationships/hyperlink" Id="rId72" Target="../data/cost_availability.csv" TargetMode="External" /><Relationship Type="http://schemas.openxmlformats.org/officeDocument/2006/relationships/hyperlink" Id="rId57" Target="../data/crude_weighted_risks.csv" TargetMode="External" /><Relationship Type="http://schemas.openxmlformats.org/officeDocument/2006/relationships/hyperlink" Id="rId62" Target="../data/e_value.csv" TargetMode="External" /><Relationship Type="http://schemas.openxmlformats.org/officeDocument/2006/relationships/hyperlink" Id="rId69" Target="../data/first_readmission_mortality.csv" TargetMode="External" /><Relationship Type="http://schemas.openxmlformats.org/officeDocument/2006/relationships/hyperlink" Id="rId66" Target="../data/missingness_flow.csv" TargetMode="External" /><Relationship Type="http://schemas.openxmlformats.org/officeDocument/2006/relationships/hyperlink" Id="rId74" Target="../data/model_adjusted_contrasts.csv" TargetMode="External" /><Relationship Type="http://schemas.openxmlformats.org/officeDocument/2006/relationships/hyperlink" Id="rId73" Target="../data/model_adjusted_risks.csv" TargetMode="External" /><Relationship Type="http://schemas.openxmlformats.org/officeDocument/2006/relationships/hyperlink" Id="rId75" Target="../data/model_coefficients.csv" TargetMode="External" /><Relationship Type="http://schemas.openxmlformats.org/officeDocument/2006/relationships/hyperlink" Id="rId65" Target="../data/model_conditional.csv" TargetMode="External" /><Relationship Type="http://schemas.openxmlformats.org/officeDocument/2006/relationships/hyperlink" Id="rId64" Target="../data/model_main.csv" TargetMode="External" /><Relationship Type="http://schemas.openxmlformats.org/officeDocument/2006/relationships/hyperlink" Id="rId70" Target="../data/secondary_outcomes.csv" TargetMode="External" /><Relationship Type="http://schemas.openxmlformats.org/officeDocument/2006/relationships/hyperlink" Id="rId77" Target="../data/sensitivity_adjusted_contrasts.csv" TargetMode="External" /><Relationship Type="http://schemas.openxmlformats.org/officeDocument/2006/relationships/hyperlink" Id="rId76" Target="../data/sensitivity_adjusted_risks.csv" TargetMode="External" /><Relationship Type="http://schemas.openxmlformats.org/officeDocument/2006/relationships/hyperlink" Id="rId61" Target="../data/sensitivity_results.csv" TargetMode="External" /><Relationship Type="http://schemas.openxmlformats.org/officeDocument/2006/relationships/hyperlink" Id="rId63" Target="../data/subgroup_results.csv" TargetMode="External" /><Relationship Type="http://schemas.openxmlformats.org/officeDocument/2006/relationships/hyperlink" Id="rId60" Target="../data/table1.csv" TargetMode="External" /><Relationship Type="http://schemas.openxmlformats.org/officeDocument/2006/relationships/hyperlink" Id="rId68" Target="../data/transfer_exclusions.csv" TargetMode="External" /><Relationship Type="http://schemas.openxmlformats.org/officeDocument/2006/relationships/hyperlink" Id="rId71" Target="../data/utilization.csv" TargetMode="External" /><Relationship Type="http://schemas.openxmlformats.org/officeDocument/2006/relationships/hyperlink" Id="rId26" Target="https://hcup-us.ahrq.gov/db/vars/dispuniform/nrdnote.jsp" TargetMode="External" /><Relationship Type="http://schemas.openxmlformats.org/officeDocument/2006/relationships/hyperlink" Id="rId28" Target="https://hcup-us.ahrq.gov/db/vars/h_contrl/nrdnote.jsp" TargetMode="External" /><Relationship Type="http://schemas.openxmlformats.org/officeDocument/2006/relationships/hyperlink" Id="rId29" Target="https://hcup-us.ahrq.gov/db/vars/hosp_bedsize/nrdnote.jsp" TargetMode="External" /><Relationship Type="http://schemas.openxmlformats.org/officeDocument/2006/relationships/hyperlink" Id="rId27" Target="https://hcup-us.ahrq.gov/db/vars/hosp_ur_teach/nrdnote.jsp" TargetMode="External" /><Relationship Type="http://schemas.openxmlformats.org/officeDocument/2006/relationships/hyperlink" Id="rId30" Target="https://hcup-us.ahrq.gov/db/vars/pay1/nrdnote.jsp" TargetMode="External" /><Relationship Type="http://schemas.openxmlformats.org/officeDocument/2006/relationships/hyperlink" Id="rId31" Target="https://hcup-us.ahrq.gov/db/vars/pl_nchs/nrdnote.jsp" TargetMode="External" /><Relationship Type="http://schemas.openxmlformats.org/officeDocument/2006/relationships/hyperlink" Id="rId20" Target="https://pmc.ncbi.nlm.nih.gov/articles/PMC11090805/" TargetMode="External" /><Relationship Type="http://schemas.openxmlformats.org/officeDocument/2006/relationships/hyperlink" Id="rId15" Target="https://pmc.ncbi.nlm.nih.gov/articles/PMC5524066/" TargetMode="External" /><Relationship Type="http://schemas.openxmlformats.org/officeDocument/2006/relationships/hyperlink" Id="rId83" Target="https://pmc.ncbi.nlm.nih.gov/articles/PMC6142950/" TargetMode="External" /><Relationship Type="http://schemas.openxmlformats.org/officeDocument/2006/relationships/hyperlink" Id="rId19" Target="https://pmc.ncbi.nlm.nih.gov/articles/PMC7210367/" TargetMode="External" /><Relationship Type="http://schemas.openxmlformats.org/officeDocument/2006/relationships/hyperlink" Id="rId17" Target="https://pubmed.ncbi.nlm.nih.gov/26995383/" TargetMode="External" /><Relationship Type="http://schemas.openxmlformats.org/officeDocument/2006/relationships/hyperlink" Id="rId16" Target="https://pubmed.ncbi.nlm.nih.gov/30579719/" TargetMode="External" /><Relationship Type="http://schemas.openxmlformats.org/officeDocument/2006/relationships/hyperlink" Id="rId82" Target="https://pubmed.ncbi.nlm.nih.gov/32223962/" TargetMode="External" /><Relationship Type="http://schemas.openxmlformats.org/officeDocument/2006/relationships/hyperlink" Id="rId18" Target="https://pubmed.ncbi.nlm.nih.gov/36152813/" TargetMode="External" /><Relationship Type="http://schemas.openxmlformats.org/officeDocument/2006/relationships/hyperlink" Id="rId21" Target="https://pubmed.ncbi.nlm.nih.gov/38938260/" TargetMode="External" /><Relationship Type="http://schemas.openxmlformats.org/officeDocument/2006/relationships/hyperlink" Id="rId81" Target="https://www.internationaljournalofcardiology.com/article/S0167-5273%2818%2933712-4/abstract" TargetMode="External" /><Relationship Type="http://schemas.openxmlformats.org/officeDocument/2006/relationships/hyperlink" Id="rId55" Target="index.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switching at first readmission and recurrent hospitalization after heart failure</dc:title>
  <dc:creator>Author details pending confirmation</dc:creator>
  <cp:keywords/>
  <dcterms:created xsi:type="dcterms:W3CDTF">2026-10-24T03:02:14Z</dcterms:created>
  <dcterms:modified xsi:type="dcterms:W3CDTF">2026-10-24T03:02:14Z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 survivor-conditional retrospective cohort study using the 2016–2022 Nationwide Readmissions Database</vt:lpwstr>
  </property>
  <property fmtid="{D5CDD505-2E9C-101B-9397-08002B2CF9AE}" pid="12" name="toc-title">
    <vt:lpwstr>Table of contents</vt:lpwstr>
  </property>
</Properties>
</file>