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Hospital fragmentation and second readmission after heart failure</w:t>
      </w:r>
    </w:p>
    <w:p>
      <w:pPr>
        <w:pStyle w:val="Subtitle"/>
      </w:pPr>
      <w:r>
        <w:t xml:space="preserve">A national observational study using the Nationwide Readmissions Database, 2016-2022</w:t>
      </w:r>
    </w:p>
    <w:p>
      <w:pPr>
        <w:pStyle w:val="Author"/>
      </w:pPr>
      <w:r>
        <w:t xml:space="preserve">Muhammad Saad</w:t>
      </w:r>
    </w:p>
    <w:p>
      <w:pPr>
        <w:pStyle w:val="Date"/>
      </w:pPr>
      <w:r>
        <w:t xml:space="preserve">23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what-this-study-asks"/>
    <w:p>
      <w:pPr>
        <w:pStyle w:val="Heading2"/>
      </w:pPr>
      <w:r>
        <w:t xml:space="preserve">1 What this study asks</w:t>
      </w:r>
    </w:p>
    <w:p>
      <w:pPr>
        <w:pStyle w:val="FirstParagraph"/>
      </w:pPr>
      <w:r>
        <w:t xml:space="preserve">Among adults hospitalized for heart failure whose index and first-readmission</w:t>
      </w:r>
      <w:r>
        <w:t xml:space="preserve"> </w:t>
      </w:r>
      <w:r>
        <w:t xml:space="preserve">discharges are recorded as alive, and whose first readmission occurs within 30</w:t>
      </w:r>
      <w:r>
        <w:t xml:space="preserve"> </w:t>
      </w:r>
      <w:r>
        <w:t xml:space="preserve">days, is discharge from the same hospital rather than a different hospital</w:t>
      </w:r>
      <w:r>
        <w:t xml:space="preserve"> </w:t>
      </w:r>
      <w:r>
        <w:t xml:space="preserve">associated with another readmission within 30 days?</w:t>
      </w:r>
    </w:p>
    <w:p>
      <w:pPr>
        <w:pStyle w:val="BodyText"/>
      </w:pPr>
      <w:r>
        <w:t xml:space="preserve">The study uses US Nationwide Readmissions Database records from 2016-2022.</w:t>
      </w:r>
      <w:r>
        <w:t xml:space="preserve"> </w:t>
      </w:r>
      <w:r>
        <w:t xml:space="preserve">The analysis accounts for the database’s hospital sampling design and uses</w:t>
      </w:r>
      <w:r>
        <w:t xml:space="preserve"> </w:t>
      </w:r>
      <w:r>
        <w:t xml:space="preserve">discharge weights. The results describe an association among people who</w:t>
      </w:r>
      <w:r>
        <w:t xml:space="preserve"> </w:t>
      </w:r>
      <w:r>
        <w:t xml:space="preserve">reached the second stage of this care pathway. They do not estimate what would</w:t>
      </w:r>
      <w:r>
        <w:t xml:space="preserve"> </w:t>
      </w:r>
      <w:r>
        <w:t xml:space="preserve">happen if a hospital changed its referral or transfer practices.</w:t>
      </w:r>
    </w:p>
    <w:bookmarkEnd w:id="9"/>
    <w:bookmarkStart w:id="12" w:name="main-findings"/>
    <w:p>
      <w:pPr>
        <w:pStyle w:val="Heading2"/>
      </w:pPr>
      <w:r>
        <w:t xml:space="preserve">2 Main findings</w:t>
      </w:r>
    </w:p>
    <w:p>
      <w:pPr>
        <w:pStyle w:val="FirstParagraph"/>
      </w:pPr>
      <w:r>
        <w:t xml:space="preserve">The adjusted model estimates a 30-day second-readmission risk of</w:t>
      </w:r>
      <w:r>
        <w:t xml:space="preserve"> </w:t>
      </w:r>
      <w:r>
        <w:t xml:space="preserve">31.4% (31.3% to 31.6%)</w:t>
      </w:r>
      <w:r>
        <w:t xml:space="preserve"> </w:t>
      </w:r>
      <w:r>
        <w:t xml:space="preserve">for patients whose first readmission was at the same hospital, and</w:t>
      </w:r>
      <w:r>
        <w:t xml:space="preserve"> </w:t>
      </w:r>
      <w:r>
        <w:t xml:space="preserve">32.5% (32.2% to 32.8%)</w:t>
      </w:r>
      <w:r>
        <w:t xml:space="preserve"> </w:t>
      </w:r>
      <w:r>
        <w:t xml:space="preserve">for those readmitted to a different hospital. The adjusted risk difference</w:t>
      </w:r>
      <w:r>
        <w:t xml:space="preserve"> </w:t>
      </w:r>
      <w:r>
        <w:t xml:space="preserve">(different minus same hospital) was</w:t>
      </w:r>
      <w:r>
        <w:t xml:space="preserve"> </w:t>
      </w:r>
      <w:r>
        <w:t xml:space="preserve">1.1</w:t>
      </w:r>
      <w:r>
        <w:t xml:space="preserve"> </w:t>
      </w:r>
      <w:r>
        <w:t xml:space="preserve">percentage points (95% CI</w:t>
      </w:r>
      <w:r>
        <w:t xml:space="preserve"> </w:t>
      </w:r>
      <w:r>
        <w:t xml:space="preserve">0.7</w:t>
      </w:r>
      <w:r>
        <w:t xml:space="preserve"> </w:t>
      </w:r>
      <w:r>
        <w:t xml:space="preserve">to 1.4 percentage points).</w:t>
      </w:r>
      <w:r>
        <w:t xml:space="preserve"> </w:t>
      </w:r>
      <w:r>
        <w:t xml:space="preserve">The adjusted risk ratio was</w:t>
      </w:r>
      <w:r>
        <w:t xml:space="preserve"> </w:t>
      </w:r>
      <w:r>
        <w:t xml:space="preserve">1.034</w:t>
      </w:r>
      <w:r>
        <w:t xml:space="preserve"> </w:t>
      </w:r>
      <w:r>
        <w:t xml:space="preserve">(95% CI 1.023</w:t>
      </w:r>
      <w:r>
        <w:t xml:space="preserve"> </w:t>
      </w:r>
      <w:r>
        <w:t xml:space="preserve">to 1.045).</w:t>
      </w:r>
    </w:p>
    <w:p>
      <w:pPr>
        <w:pStyle w:val="BodyText"/>
      </w:pPr>
      <w:r>
        <w:t xml:space="preserve">These adjusted values come from the primary model, which includes measured</w:t>
      </w:r>
      <w:r>
        <w:t xml:space="preserve"> </w:t>
      </w:r>
      <w:r>
        <w:t xml:space="preserve">patient and hospital characteristics available in the database. A separate</w:t>
      </w:r>
      <w:r>
        <w:t xml:space="preserve"> </w:t>
      </w:r>
      <w:r>
        <w:t xml:space="preserve">conditional model adds measured characteristics of the first readmission.</w:t>
      </w:r>
      <w:r>
        <w:t xml:space="preserve"> </w:t>
      </w:r>
      <w:r>
        <w:t xml:space="preserve">Both estimates may still reflect differences the data could not measure.</w:t>
      </w:r>
    </w:p>
    <w:p>
      <w:pPr>
        <w:pStyle w:val="TableCaption"/>
      </w:pPr>
      <w:r>
        <w:t xml:space="preserve">Adjusted probability of a second readmission within 30 days.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djusted probability of a second readmission within 30 day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Adjusted risk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 hospital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 (31.3% to 31.6%)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Different hospital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32.5% (32.2% to 32.8%)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Adjusted contrasts between different and same hospital.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djusted contrasts between different and same hospital."/>
      </w:tblPr>
      <w:tblGrid>
        <w:gridCol w:w="2605"/>
        <w:gridCol w:w="2292"/>
        <w:gridCol w:w="302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Adjusted risk 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 percentage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 to 1.4 percentage 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Adjusted risk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1.023 to 1.045</w:t>
            </w:r>
          </w:p>
        </w:tc>
      </w:tr>
    </w:tbl>
    <w:p>
      <w:pPr>
        <w:pStyle w:val="BodyText"/>
      </w:pPr>
      <w:r>
        <w:t xml:space="preserve">The primary model adjusts for calendar year, age, sex, payer, neighborhood</w:t>
      </w:r>
      <w:r>
        <w:t xml:space="preserve"> </w:t>
      </w:r>
      <w:r>
        <w:t xml:space="preserve">income, county urban-rural category, hospital characteristics, and the Elixhauser</w:t>
      </w:r>
      <w:r>
        <w:t xml:space="preserve"> </w:t>
      </w:r>
      <w:r>
        <w:t xml:space="preserve">comorbidity count. A separate conditional model also adjusts for measured</w:t>
      </w:r>
      <w:r>
        <w:t xml:space="preserve"> </w:t>
      </w:r>
      <w:r>
        <w:t xml:space="preserve">characteristics of the first readmission. Odds ratios are shown as secondary</w:t>
      </w:r>
      <w:r>
        <w:t xml:space="preserve"> </w:t>
      </w:r>
      <w:r>
        <w:t xml:space="preserve">model summaries; they are not risk ratios and do not replace the adjusted risk</w:t>
      </w:r>
      <w:r>
        <w:t xml:space="preserve"> </w:t>
      </w:r>
      <w:r>
        <w:t xml:space="preserve">comparison above. In each coefficient table, a category is compared with the</w:t>
      </w:r>
      <w:r>
        <w:t xml:space="preserve"> </w:t>
      </w:r>
      <w:r>
        <w:t xml:space="preserve">stated reference category; continuous variables are per one-unit increase.</w:t>
      </w:r>
    </w:p>
    <w:p>
      <w:pPr>
        <w:pStyle w:val="TableCaption"/>
      </w:pPr>
      <w:r>
        <w:t xml:space="preserve">Primary model coefficient table. Reference levels are stated in the term labels.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imary model coefficient table. Reference levels are stated in the term labels."/>
      </w:tblPr>
      <w:tblGrid>
        <w:gridCol w:w="648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Odds ratio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 (0.93 to 1.05)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 year 2017 (reference: 2016)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 (0.96 to 1.02)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 year 2018 (reference: 2016)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 (0.96 to 1.02)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 year 2019 (reference: 2016)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 (0.96 to 1.01)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 year 2020 (reference: 2016)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 (0.93 to 0.98)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 year 2021 (reference: 2016)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 (0.92 to 0.97)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 year 2022 (reference: 2016)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(0.94 to 0.99)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 (per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 (0.98 to 0.99)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 vs 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 (0.98 to 1.00)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payer code: Medicaid vs Medicare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 (0.99 to 1.03)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payer code: Private insurance vs Medicare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(0.74 to 0.77)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payer code: Self-pay vs Medicare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 (0.68 to 0.75)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payer code: No charge vs Medicare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 (0.79 to 1.05)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payer code: Other payer vs Medicare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 (0.87 to 0.95)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 income quartile: Second quartile vs Lowest income quartile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 (0.93 to 0.97)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 income quartile: Third quartile vs Lowest income quartile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 (0.88 to 0.91)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 income quartile: Highest income quartile vs Lowest income quartile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 (0.86 to 0.90)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County urban-rural code: Fringe county, metro 1M+ vs Central county, metro 1M+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 (0.96 to 1.00)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County urban-rural code: Metro 250,000-999,999 vs Central county, metro 1M+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 (0.93 to 0.97)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County urban-rural code: Metro 50,000-249,999 vs Central county, metro 1M+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 (0.90 to 0.95)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County urban-rural code: Micropolitan vs Central county, metro 1M+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 (0.84 to 0.90)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County urban-rural code: Nonmetropolitan and nonmicropolitan vs Central county, metro 1M+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 (0.80 to 0.86)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 bed-size code: Medium vs Small hospital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 (1.02 to 1.06)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 bed-size code: Large vs Small hospital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 (1.03 to 1.07)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 urban/teaching code: Metropolitan, teaching vs Metropolitan, nonteaching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 (1.00 to 1.03)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 urban/teaching code: Nonmetropolitan vs Metropolitan, nonteaching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(0.96 to 1.04)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 ownership code: Private nonprofit vs Government, nonfederal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(0.95 to 1.00)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 ownership code: Private investor-owned vs Government, nonfederal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 (1.03 to 1.09)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Elixhauser comorbidity count (per point)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 (1.06 to 1.07)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Different vs same hospital for first readmission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 (1.03 to 1.07)</w:t>
            </w:r>
          </w:p>
        </w:tc>
      </w:tr>
    </w:tbl>
    <w:p>
      <w:pPr>
        <w:pStyle w:val="TableCaption"/>
      </w:pPr>
      <w:r>
        <w:t xml:space="preserve">Conditional model coefficient table. Reference levels are stated in the term labels.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ditional model coefficient table. Reference levels are stated in the term labels."/>
      </w:tblPr>
      <w:tblGrid>
        <w:gridCol w:w="648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Odds ratio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 (1.14 to 1.30)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 year 2017 (reference: 2016)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 (0.96 to 1.01)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 year 2018 (reference: 2016)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 (0.96 to 1.01)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 year 2019 (reference: 2016)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 (0.95 to 1.00)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 year 2020 (reference: 2016)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 (0.92 to 0.97)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 year 2021 (reference: 2016)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 (0.91 to 0.97)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 year 2022 (reference: 2016)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 (0.94 to 0.99)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 (per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 (0.99 to 0.99)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 vs 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 (0.98 to 1.01)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payer code: Medicaid vs Medicare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(0.98 to 1.02)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payer code: Private insurance vs Medicare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 (0.74 to 0.78)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payer code: Self-pay vs Medicare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 (0.67 to 0.75)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payer code: No charge vs Medicare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 (0.79 to 1.04)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payer code: Other payer vs Medicare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 (0.86 to 0.95)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 income quartile: Second quartile vs Lowest income quartile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 (0.93 to 0.97)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 income quartile: Third quartile vs Lowest income quartile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 (0.88 to 0.92)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 income quartile: Highest income quartile vs Lowest income quartile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 (0.86 to 0.90)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County urban-rural code: Fringe county, metro 1M+ vs Central county, metro 1M+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 (0.97 to 1.00)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County urban-rural code: Metro 250,000-999,999 vs Central county, metro 1M+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 (0.94 to 0.98)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County urban-rural code: Metro 50,000-249,999 vs Central county, metro 1M+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 (0.91 to 0.96)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County urban-rural code: Micropolitan vs Central county, metro 1M+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 (0.85 to 0.92)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County urban-rural code: Nonmetropolitan and nonmicropolitan vs Central county, metro 1M+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 (0.82 to 0.88)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 bed-size code: Medium vs Small hospital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 (1.02 to 1.06)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 bed-size code: Large vs Small hospital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 (1.03 to 1.07)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 urban/teaching code: Metropolitan, teaching vs Metropolitan, nonteaching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 (1.00 to 1.04)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 urban/teaching code: Nonmetropolitan vs Metropolitan, nonteaching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(0.96 to 1.04)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 ownership code: Private nonprofit vs Government, nonfederal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 (0.95 to 1.00)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 ownership code: Private investor-owned vs Government, nonfederal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 (1.03 to 1.09)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Elixhauser comorbidity count (per point)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 (1.06 to 1.07)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Days to first readmission (per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 (0.99 to 0.99)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HF-coded vs not HF-coded first readmission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 (1.04 to 1.07)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Elective vs non-elective first readmission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 (0.72 to 0.76)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readmission month 2 (reference: January)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 (0.92 to 0.98)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readmission month 3 (reference: January)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 (0.84 to 0.89)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readmission month 4 (reference: January)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 (0.84 to 0.90)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readmission month 5 (reference: January)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 (0.82 to 0.88)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readmission month 6 (reference: January)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 (0.81 to 0.86)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readmission month 7 (reference: January)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 (0.84 to 0.90)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readmission month 8 (reference: January)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 (0.81 to 0.87)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readmission month 9 (reference: January)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 (0.82 to 0.88)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readmission month 10 (reference: January)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 (0.81 to 0.87)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readmission month 11 (reference: January)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 (0.79 to 0.86)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Different vs same hospital for first readmission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 (1.04 to 1.08)</w:t>
            </w:r>
          </w:p>
        </w:tc>
      </w:tr>
    </w:tbl>
    <w:p>
      <w:pPr>
        <w:pStyle w:val="BodyText"/>
      </w:pPr>
      <w:r>
        <w:t xml:space="preserve">The full coefficient tables are also available as</w:t>
      </w:r>
      <w:r>
        <w:t xml:space="preserve"> </w:t>
      </w:r>
      <w:hyperlink r:id="rId10">
        <w:r>
          <w:rPr>
            <w:rStyle w:val="Hyperlink"/>
          </w:rPr>
          <w:t xml:space="preserve">primary model CSV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conditional model CSV</w:t>
        </w:r>
      </w:hyperlink>
      <w:r>
        <w:t xml:space="preserve">.</w:t>
      </w:r>
    </w:p>
    <w:bookmarkEnd w:id="12"/>
    <w:bookmarkStart w:id="13" w:name="how-the-cohort-was-formed"/>
    <w:p>
      <w:pPr>
        <w:pStyle w:val="Heading2"/>
      </w:pPr>
      <w:r>
        <w:t xml:space="preserve">3 How the cohort was formed</w:t>
      </w:r>
    </w:p>
    <w:p>
      <w:pPr>
        <w:pStyle w:val="FirstParagraph"/>
      </w:pPr>
      <w:r>
        <w:t xml:space="preserve">The yearly counts below show eligible first heart failure discharges, first</w:t>
      </w:r>
      <w:r>
        <w:t xml:space="preserve"> </w:t>
      </w:r>
      <w:r>
        <w:t xml:space="preserve">readmissions within 30 days before the known-alive eligibility screen, and the</w:t>
      </w:r>
      <w:r>
        <w:t xml:space="preserve"> </w:t>
      </w:r>
      <w:r>
        <w:t xml:space="preserve">second-stage population recorded as alive at first-readmission discharge</w:t>
      </w:r>
      <w:r>
        <w:t xml:space="preserve"> </w:t>
      </w:r>
      <w:r>
        <w:t xml:space="preserve">(DIED=0). Deaths and records with unknown death status are excluded before</w:t>
      </w:r>
      <w:r>
        <w:t xml:space="preserve"> </w:t>
      </w:r>
      <w:r>
        <w:t xml:space="preserve">this second-stage population is formed. Weighted counts are national estimates.</w:t>
      </w:r>
      <w:r>
        <w:t xml:space="preserve"> </w:t>
      </w:r>
      <w:r>
        <w:t xml:space="preserve">The seven years are analyzed with year-specific</w:t>
      </w:r>
      <w:r>
        <w:t xml:space="preserve"> </w:t>
      </w:r>
      <w:r>
        <w:t xml:space="preserve">linkage and survey identifiers; patient links do not cross calendar years.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2736"/>
        <w:gridCol w:w="2736"/>
        <w:gridCol w:w="2736"/>
      </w:tblGrid>
      <w:tr>
        <w:trPr>
          <w:cantSplit/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Year (YYYY)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Eligible first index discharges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First 30-day readmissions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Second-stage eligible discharges (n)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349,889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72,353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64,186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404,210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84,147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74,780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420,921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86,835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77,475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444,576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91,201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81,434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390,676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78,657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69,790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410,106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81,439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72,190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416,381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82,152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72,915</w:t>
            </w:r>
          </w:p>
        </w:tc>
      </w:tr>
    </w:tbl>
    <w:bookmarkEnd w:id="13"/>
    <w:bookmarkStart w:id="18" w:name="X7d9fd7becd8a1ab8e718d97e51a7ef11e9f6284"/>
    <w:p>
      <w:pPr>
        <w:pStyle w:val="Heading2"/>
      </w:pPr>
      <w:r>
        <w:t xml:space="preserve">4 Characteristics of the analytic population</w:t>
      </w:r>
    </w:p>
    <w:p>
      <w:pPr>
        <w:pStyle w:val="FirstParagraph"/>
      </w:pPr>
      <w:r>
        <w:t xml:space="preserve">Table 1 describes the second-stage population by whether the first</w:t>
      </w:r>
      <w:r>
        <w:t xml:space="preserve"> </w:t>
      </w:r>
      <w:r>
        <w:t xml:space="preserve">readmission was to the same or a different hospital. Values are weighted</w:t>
      </w:r>
      <w:r>
        <w:t xml:space="preserve"> </w:t>
      </w:r>
      <w:r>
        <w:t xml:space="preserve">means or percentages. The standardized difference summarizes the</w:t>
      </w:r>
      <w:r>
        <w:t xml:space="preserve"> </w:t>
      </w:r>
      <w:r>
        <w:t xml:space="preserve">size of the difference between groups; Table 1 does not use significance</w:t>
      </w:r>
      <w:r>
        <w:t xml:space="preserve"> </w:t>
      </w:r>
      <w:r>
        <w:t xml:space="preserve">tests to compare baseline characteristics.</w:t>
      </w:r>
    </w:p>
    <w:p>
      <w:pPr>
        <w:pStyle w:val="TableCaption"/>
      </w:pPr>
      <w:r>
        <w:t xml:space="preserve">Table 1. Weighted characteristics of the second-stage analytic population.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Weighted characteristics of the second-stage analytic population."/>
      </w:tblPr>
      <w:tblGrid>
        <w:gridCol w:w="2014"/>
        <w:gridCol w:w="2501"/>
        <w:gridCol w:w="972"/>
        <w:gridCol w:w="1320"/>
        <w:gridCol w:w="111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hospital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hospital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|SMD|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Discharge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 (years)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71.6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payer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payer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payer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Private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payer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payer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payer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payer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 income quartile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Lowest income quartile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 income quartile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quartile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 income quartile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 quartile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 income quartile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income quartile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County urban-rural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county, metro 1M+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County urban-rural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Fringe county, metro 1M+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County urban-rural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Metro 250,000-999,999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County urban-rural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Metro 50,000-249,999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County urban-rural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Micropolitan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County urban-rural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Nonmetropolitan and nonmicropolitan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 bed-size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 bed-size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 bed-size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 urban/teaching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Metropolitan, nonteaching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 urban/teaching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Metropolitan, teaching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 urban/teaching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Nonmetropolitan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 ownership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Government, nonfederal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 ownership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Private nonprofit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 ownership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Private investor-owned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Elixhauser comorbidity count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</w:tr>
    </w:tbl>
    <w:p>
      <w:pPr>
        <w:pStyle w:val="BodyText"/>
      </w:pPr>
      <w:r>
        <w:t xml:space="preserve">Continuous rows are weighted means; categorical rows are weighted percentages.</w:t>
      </w:r>
      <w:r>
        <w:t xml:space="preserve"> </w:t>
      </w:r>
      <w:r>
        <w:t xml:space="preserve">Cells with fewer than 11 unweighted discharges are marked Suppressed.</w:t>
      </w:r>
      <w:r>
        <w:t xml:space="preserve"> </w:t>
      </w:r>
      <w:r>
        <w:t xml:space="preserve">“Same hospital”</w:t>
      </w:r>
      <w:r>
        <w:t xml:space="preserve"> </w:t>
      </w:r>
      <w:r>
        <w:t xml:space="preserve">and</w:t>
      </w:r>
      <w:r>
        <w:t xml:space="preserve"> </w:t>
      </w:r>
      <w:r>
        <w:t xml:space="preserve">“different hospital”</w:t>
      </w:r>
      <w:r>
        <w:t xml:space="preserve"> </w:t>
      </w:r>
      <w:r>
        <w:t xml:space="preserve">refer to whether the first readmission</w:t>
      </w:r>
      <w:r>
        <w:t xml:space="preserve"> </w:t>
      </w:r>
      <w:r>
        <w:t xml:space="preserve">occurred at the index hospital. SMD means standardized mean difference; the</w:t>
      </w:r>
      <w:r>
        <w:t xml:space="preserve"> </w:t>
      </w:r>
      <w:r>
        <w:t xml:space="preserve">table reports its absolute value. Category definitions</w:t>
      </w:r>
      <w:r>
        <w:t xml:space="preserve"> </w:t>
      </w:r>
      <w:r>
        <w:t xml:space="preserve">follow the</w:t>
      </w:r>
      <w:r>
        <w:t xml:space="preserve"> </w:t>
      </w:r>
      <w:hyperlink r:id="rId14">
        <w:r>
          <w:rPr>
            <w:rStyle w:val="Hyperlink"/>
          </w:rPr>
          <w:t xml:space="preserve">HCUP NRD documentation</w:t>
        </w:r>
      </w:hyperlink>
      <w:r>
        <w:t xml:space="preserve">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2736"/>
        <w:gridCol w:w="2736"/>
        <w:gridCol w:w="2736"/>
      </w:tblGrid>
      <w:tr>
        <w:trPr>
          <w:cantSplit/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Year (YYYY)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Eligible first index discharges (weighted)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First 30-day readmissions (weighted)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Second-stage eligible discharges (weighted)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665,061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136,632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121,353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737,411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152,842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135,766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772,303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158,472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141,438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799,037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163,612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146,160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702,888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141,327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125,385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756,982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149,923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133,070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762,993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150,197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133,425</w:t>
            </w:r>
          </w:p>
        </w:tc>
      </w:tr>
    </w:tbl>
    <w:p>
      <w:pPr>
        <w:pStyle w:val="BodyText"/>
      </w:pPr>
      <w:r>
        <w:t xml:space="preserve">The complete-case counts show how many second-stage discharges had all</w:t>
      </w:r>
      <w:r>
        <w:t xml:space="preserve"> </w:t>
      </w:r>
      <w:r>
        <w:t xml:space="preserve">covariates required for the primary model. The transfer table reports three</w:t>
      </w:r>
      <w:r>
        <w:t xml:space="preserve"> </w:t>
      </w:r>
      <w:r>
        <w:t xml:space="preserve">coarsened sequential exclusions among first all-cause readmissions: death or</w:t>
      </w:r>
      <w:r>
        <w:t xml:space="preserve"> </w:t>
      </w:r>
      <w:r>
        <w:t xml:space="preserve">unknown vital status; discharge after November; and a combined category for</w:t>
      </w:r>
      <w:r>
        <w:t xml:space="preserve"> </w:t>
      </w:r>
      <w:r>
        <w:t xml:space="preserve">same-day events, rehabilitation transfers, and acute transfers. The combined</w:t>
      </w:r>
      <w:r>
        <w:t xml:space="preserve"> </w:t>
      </w:r>
      <w:r>
        <w:t xml:space="preserve">category is reported as one stage. Counts describe analysis rules and do not</w:t>
      </w:r>
      <w:r>
        <w:t xml:space="preserve"> </w:t>
      </w:r>
      <w:r>
        <w:t xml:space="preserve">resolve all uncertainty in hospital attribution after transfers.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2736"/>
        <w:gridCol w:w="2736"/>
        <w:gridCol w:w="2736"/>
      </w:tblGrid>
      <w:tr>
        <w:trPr>
          <w:cantSplit/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Year (YYYY)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Eligible (n; wt 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Primary complete (n; wt 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Missing covariates (n; wt N)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64,186; 121,353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63,064; 119,362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1,122; 1,990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74,780; 135,766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73,413; 133,490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1,367; 2,276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77,475; 141,438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75,890; 138,769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1,585; 2,670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81,434; 146,160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79,645; 143,367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1,789; 2,794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69,790; 125,385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68,190; 122,870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1,600; 2,515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72,190; 133,070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70,573; 130,420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1,617; 2,650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72,915; 133,425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71,461; 131,091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1,454; 2,334</w:t>
            </w:r>
          </w:p>
        </w:tc>
      </w:tr>
    </w:tbl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8"/>
        <w:gridCol w:w="2880"/>
        <w:gridCol w:w="1771"/>
        <w:gridCol w:w="1771"/>
        <w:gridCol w:w="1771"/>
      </w:tblGrid>
      <w:tr>
        <w:trPr>
          <w:cantSplit/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Year (YYYY)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Sequential stage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Entering (n; wt 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Excluded (n; wt 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Remaining (n; wt N)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Death or unknown status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72,353; 136,632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4,817;  8,933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67,536; 127,699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Discharge after November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67,536; 127,699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  198;    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67,338; 127,343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Combined same-day/rehab/acute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67,338; 127,343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3,152;  5,990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64,186; 121,353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Death or unknown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84,147; 152,842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5,573; 10,042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78,574; 142,800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Discharge after November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78,574; 142,800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  261;    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78,313; 142,321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Combined same-day/rehab/acute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78,313; 142,321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3,533;  6,555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74,780; 135,766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Death or unknown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86,835; 158,472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5,578; 10,057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81,257; 148,415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Discharge after November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81,257; 148,415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  205;    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81,052; 148,048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Combined same-day/rehab/acute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81,052; 148,048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3,577;  6,610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77,475; 141,438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Death or unknown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91,201; 163,612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5,732; 10,079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85,469; 153,534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Discharge after November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85,469; 153,534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  280;    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85,189; 153,033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Combined same-day/rehab/acute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85,189; 153,033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3,755;  6,873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81,434; 146,160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Death or unknown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78,657; 141,327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5,599;  9,906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73,058; 131,420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Discharge after November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73,058; 131,420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  243;    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72,815; 130,981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Combined same-day/rehab/acute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72,815; 130,981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3,025;  5,596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69,790; 125,385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Death or unknown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81,439; 149,923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6,063; 10,965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75,376; 138,958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Discharge after November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75,376; 138,958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  254;    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75,122; 138,490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Combined same-day/rehab/acute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75,122; 138,490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2,932;  5,421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72,190; 133,070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Death or unknown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82,152; 150,197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5,989; 10,755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76,163; 139,442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Discharge after November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76,163; 139,442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  271;    488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75,892; 138,953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Combined same-day/rehab/acute transfers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75,892; 138,953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2,977;  5,529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72,915; 133,425</w:t>
            </w:r>
          </w:p>
        </w:tc>
      </w:tr>
    </w:tbl>
    <w:p>
      <w:pPr>
        <w:pStyle w:val="BodyText"/>
      </w:pPr>
      <w:r>
        <w:t xml:space="preserve">Missingness is summarized among second-stage eligible discharges, by exposure</w:t>
      </w:r>
      <w:r>
        <w:t xml:space="preserve"> </w:t>
      </w:r>
      <w:r>
        <w:t xml:space="preserve">group and year, before complete-case model exclusion. Missing baseline data</w:t>
      </w:r>
      <w:r>
        <w:t xml:space="preserve"> </w:t>
      </w:r>
      <w:r>
        <w:t xml:space="preserve">occur in payer, ZIP-code income quartile, and county urban-rural category.</w:t>
      </w:r>
      <w:r>
        <w:t xml:space="preserve"> </w:t>
      </w:r>
      <w:r>
        <w:t xml:space="preserve">Small missing counts and their percentages are suppressed. The missing-category</w:t>
      </w:r>
      <w:r>
        <w:t xml:space="preserve"> </w:t>
      </w:r>
      <w:r>
        <w:t xml:space="preserve">sensitivity analysis fills these three fields while requiring exposure and</w:t>
      </w:r>
      <w:r>
        <w:t xml:space="preserve"> </w:t>
      </w:r>
      <w:r>
        <w:t xml:space="preserve">outcome to be observed.</w:t>
      </w:r>
    </w:p>
    <w:p>
      <w:pPr>
        <w:pStyle w:val="TableCaption"/>
      </w:pPr>
      <w:r>
        <w:t xml:space="preserve">Baseline covariate missingness in the eligible second-stage population.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aseline covariate missingness in the eligible second-stage populati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(n; %)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Discharge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Discharge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Discharge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Discharge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Discharge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Discharge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Discharge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Discharge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Discharge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Discharge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Discharge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Discharge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Discharge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Discharge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payer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17; 0.1%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payer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54; 0.1%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payer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19; 0.1%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payer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54; 0.1%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payer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29; 0.2%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payer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64; 0.1%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payer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16; 0.1%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payer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57; 0.1%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payer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25; 0.2%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payer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48; 0.1%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payer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22; 0.1%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payer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81; 0.1%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payer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18; 0.1%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payer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60; 0.1%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income quartile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198; 1.5%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income quartile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701; 1.4%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income quartile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204; 1.3%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income quartile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714; 1.2%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income quartile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197; 1.2%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income quartile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780; 1.3%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income quartile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233; 1.4%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income quartile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781; 1.2%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income quartile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194; 1.3%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income quartile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638; 1.2%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income quartile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194; 1.2%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income quartile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587; 1.1%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income quartile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159; 0.9%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income quartile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471; 0.8%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County urban-rural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89; 0.7%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County urban-rural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150; 0.3%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County urban-rural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179; 1.1%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County urban-rural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267; 0.5%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County urban-rural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219; 1.4%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County urban-rural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386; 0.6%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County urban-rural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306; 1.8%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County urban-rural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490; 0.8%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County urban-rural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291; 2.0%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County urban-rural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454; 0.8%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County urban-rural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299; 1.8%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County urban-rural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488; 0.9%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County urban-rural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322; 1.9%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County urban-rural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483; 0.9%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bed-size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bed-size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bed-size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bed-size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bed-size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bed-size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bed-size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bed-size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bed-size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bed-size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bed-size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bed-size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bed-size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bed-size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urban/teaching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urban/teaching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urban/teaching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urban/teaching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urban/teaching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urban/teaching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urban/teaching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urban/teaching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urban/teaching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urban/teaching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urban/teaching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urban/teaching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urban/teaching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urban/teaching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ownership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ownership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ownership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ownership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ownership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ownership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ownership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ownership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ownership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ownership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ownership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ownership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ownership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 ownership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Elixhauser comorbidity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Elixhauser comorbidity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Elixhauser comorbidity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Elixhauser comorbidity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Elixhauser comorbidity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Elixhauser comorbidity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Elixhauser comorbidity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Elixhauser comorbidity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Elixhauser comorbidity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Elixhauser comorbidity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Elixhauser comorbidity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Elixhauser comorbidity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Elixhauser comorbidity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Elixhauser comorbidity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Suppressed; Suppressed</w:t>
            </w:r>
          </w:p>
        </w:tc>
      </w:tr>
    </w:tbl>
    <w:p>
      <w:pPr>
        <w:pStyle w:val="BodyText"/>
      </w:pPr>
      <w:r>
        <w:t xml:space="preserve">The first-readmission mortality summary has a different denominator from the</w:t>
      </w:r>
      <w:r>
        <w:t xml:space="preserve"> </w:t>
      </w:r>
      <w:r>
        <w:t xml:space="preserve">main readmission analysis. For each exposure group, its denominator is all</w:t>
      </w:r>
      <w:r>
        <w:t xml:space="preserve"> </w:t>
      </w:r>
      <w:r>
        <w:t xml:space="preserve">qualifying first all-cause readmissions with observed DIED status, including</w:t>
      </w:r>
      <w:r>
        <w:t xml:space="preserve"> </w:t>
      </w:r>
      <w:r>
        <w:t xml:space="preserve">those ending in in-hospital death. Records with unknown death status are</w:t>
      </w:r>
      <w:r>
        <w:t xml:space="preserve"> </w:t>
      </w:r>
      <w:r>
        <w:t xml:space="preserve">excluded and counted separately. These weighted mortality risks are descriptive</w:t>
      </w:r>
      <w:r>
        <w:t xml:space="preserve"> </w:t>
      </w:r>
      <w:r>
        <w:t xml:space="preserve">and unadjusted. The second-stage population is restricted to patients recorded</w:t>
      </w:r>
      <w:r>
        <w:t xml:space="preserve"> </w:t>
      </w:r>
      <w:r>
        <w:t xml:space="preserve">as alive at first-readmission discharge (DIED=0), subject to the follow-up and</w:t>
      </w:r>
      <w:r>
        <w:t xml:space="preserve"> </w:t>
      </w:r>
      <w:r>
        <w:t xml:space="preserve">transfer rules.</w:t>
      </w:r>
    </w:p>
    <w:p>
      <w:pPr>
        <w:pStyle w:val="TableCaption"/>
      </w:pPr>
      <w:r>
        <w:t xml:space="preserve">Weighted descriptive in-hospital mortality during first all-cause readmissions with observed DIED status.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Weighted descriptive in-hospital mortality during first all-cause readmissions with observed DIED status."/>
      </w:tblPr>
      <w:tblGrid>
        <w:gridCol w:w="1233"/>
        <w:gridCol w:w="2856"/>
        <w:gridCol w:w="2337"/>
        <w:gridCol w:w="149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Observed-status denominator (n; weighted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Unknown-status records excluded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risk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 hospital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442,645; 808,914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6.39% (6.29% to 6.48%)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Different hospital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133,981; 243,834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7.72% (7.56% to 7.88%)</w:t>
            </w:r>
          </w:p>
        </w:tc>
      </w:tr>
    </w:tbl>
    <w:p>
      <w:pPr>
        <w:pStyle w:val="CaptionedFigure"/>
      </w:pPr>
      <w:r>
        <w:drawing>
          <wp:inline>
            <wp:extent cx="4620126" cy="3696101"/>
            <wp:effectExtent b="0" l="0" r="0" t="0"/>
            <wp:docPr descr="Cohort flow from eligible heart failure index discharge to the population analyzed for second readmission. Weighted values are national estimates." title="" id="16" name="Picture"/>
            <a:graphic>
              <a:graphicData uri="http://schemas.openxmlformats.org/drawingml/2006/picture">
                <pic:pic>
                  <pic:nvPicPr>
                    <pic:cNvPr descr="index_files/figure-docx/flow-figure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Cohort flow from eligible heart failure index discharge to the population analyzed for second readmission. Weighted values are national estimates.</w:t>
      </w:r>
    </w:p>
    <w:bookmarkEnd w:id="18"/>
    <w:bookmarkStart w:id="19" w:name="crude-and-adjusted-estimates"/>
    <w:p>
      <w:pPr>
        <w:pStyle w:val="Heading2"/>
      </w:pPr>
      <w:r>
        <w:t xml:space="preserve">5 Crude and adjusted estimates</w:t>
      </w:r>
    </w:p>
    <w:p>
      <w:pPr>
        <w:pStyle w:val="FirstParagraph"/>
      </w:pPr>
      <w:r>
        <w:t xml:space="preserve">The crude weighted risks are presented alongside the adjusted risks so</w:t>
      </w:r>
      <w:r>
        <w:t xml:space="preserve"> </w:t>
      </w:r>
      <w:r>
        <w:t xml:space="preserve">readers can see how the measured covariates change the comparison. Absolute</w:t>
      </w:r>
      <w:r>
        <w:t xml:space="preserve"> </w:t>
      </w:r>
      <w:r>
        <w:t xml:space="preserve">risk differences are easier to interpret than odds ratios when readmission is</w:t>
      </w:r>
      <w:r>
        <w:t xml:space="preserve"> </w:t>
      </w:r>
      <w:r>
        <w:t xml:space="preserve">common, so the adjusted risk difference is the main contrast.</w:t>
      </w:r>
    </w:p>
    <w:p>
      <w:pPr>
        <w:pStyle w:val="TableCaption"/>
      </w:pPr>
      <w:r>
        <w:t xml:space="preserve">Unadjusted weighted probability of second readmission within 30 days.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Unadjusted weighted probability of second readmission within 30 day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Crude weighted risk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 hospital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31.3% (31.1% to 31.5%)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Different hospital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33.0% (32.7% to 33.3%)</w:t>
            </w:r>
          </w:p>
        </w:tc>
      </w:tr>
    </w:tbl>
    <w:bookmarkEnd w:id="19"/>
    <w:bookmarkStart w:id="20" w:name="sensitivity-analyses"/>
    <w:p>
      <w:pPr>
        <w:pStyle w:val="Heading2"/>
      </w:pPr>
      <w:r>
        <w:t xml:space="preserve">6 Sensitivity analyses</w:t>
      </w:r>
    </w:p>
    <w:p>
      <w:pPr>
        <w:pStyle w:val="FirstParagraph"/>
      </w:pPr>
      <w:r>
        <w:t xml:space="preserve">The following analyses vary selected eligibility definitions or outcome and</w:t>
      </w:r>
      <w:r>
        <w:t xml:space="preserve"> </w:t>
      </w:r>
      <w:r>
        <w:t xml:space="preserve">weighting specifications. They are secondary checks on the main model. The</w:t>
      </w:r>
      <w:r>
        <w:t xml:space="preserve"> </w:t>
      </w:r>
      <w:r>
        <w:t xml:space="preserve">odds ratios are conditional model estimates and should not be interpreted as</w:t>
      </w:r>
      <w:r>
        <w:t xml:space="preserve"> </w:t>
      </w:r>
      <w:r>
        <w:t xml:space="preserve">risk ratios.</w:t>
      </w:r>
    </w:p>
    <w:p>
      <w:pPr>
        <w:pStyle w:val="TableCaption"/>
      </w:pPr>
      <w:r>
        <w:t xml:space="preserve">Sensitivity analyses for second readmission.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nsitivity analyses for second readmission."/>
      </w:tblPr>
      <w:tblGrid>
        <w:gridCol w:w="2515"/>
        <w:gridCol w:w="2836"/>
        <w:gridCol w:w="1284"/>
        <w:gridCol w:w="12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Odds ratio (95% 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 discharges (n)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second readmission within 30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 (1.03 to 1.07)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434,046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 January index discharges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second readmission within 30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 (1.03 to 1.07)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426,693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Restrict index discharges to January-September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second readmission within 30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 (1.04 to 1.07)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461,821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Non-elective-coded second readmission 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Non-elective-coded second readmission within 30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 (1.02 to 1.05)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502,236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Missing-category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second readmission within 30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 (1.04 to 1.07)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512,770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Overlap-weighted exploratory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second readmission within 30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 (CI not estimated)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502,236</w:t>
            </w:r>
          </w:p>
        </w:tc>
      </w:tr>
    </w:tbl>
    <w:p>
      <w:pPr>
        <w:pStyle w:val="BodyText"/>
      </w:pPr>
      <w:r>
        <w:t xml:space="preserve">The non-elective-coded outcome uses the database’s admission-type coding. It</w:t>
      </w:r>
      <w:r>
        <w:t xml:space="preserve"> </w:t>
      </w:r>
      <w:r>
        <w:t xml:space="preserve">has not been independently validated as a measure of unplanned readmission.</w:t>
      </w:r>
      <w:r>
        <w:t xml:space="preserve"> </w:t>
      </w:r>
      <w:r>
        <w:t xml:space="preserve">The overlap-weighted estimate is exploratory; its confidence interval was not</w:t>
      </w:r>
      <w:r>
        <w:t xml:space="preserve"> </w:t>
      </w:r>
      <w:r>
        <w:t xml:space="preserve">estimated because uncertainty from propensity-score fitting was not</w:t>
      </w:r>
      <w:r>
        <w:t xml:space="preserve"> </w:t>
      </w:r>
      <w:r>
        <w:t xml:space="preserve">propagated.</w:t>
      </w:r>
    </w:p>
    <w:bookmarkEnd w:id="20"/>
    <w:bookmarkStart w:id="21" w:name="secondary-outcomes-and-utilization"/>
    <w:p>
      <w:pPr>
        <w:pStyle w:val="Heading2"/>
      </w:pPr>
      <w:r>
        <w:t xml:space="preserve">7 Secondary outcomes and utilization</w:t>
      </w:r>
    </w:p>
    <w:p>
      <w:pPr>
        <w:pStyle w:val="FirstParagraph"/>
      </w:pPr>
      <w:r>
        <w:t xml:space="preserve">These weighted outcomes use the same second-stage survivor risk set as the</w:t>
      </w:r>
      <w:r>
        <w:t xml:space="preserve"> </w:t>
      </w:r>
      <w:r>
        <w:t xml:space="preserve">primary model. “Distinct from both prior hospitals” means the next</w:t>
      </w:r>
      <w:r>
        <w:t xml:space="preserve"> </w:t>
      </w:r>
      <w:r>
        <w:t xml:space="preserve">readmission hospital differs from both the index and first-readmission</w:t>
      </w:r>
      <w:r>
        <w:t xml:space="preserve"> </w:t>
      </w:r>
      <w:r>
        <w:t xml:space="preserve">hospitals in either exposure group. A separate outcome counts a third distinct</w:t>
      </w:r>
      <w:r>
        <w:t xml:space="preserve"> </w:t>
      </w:r>
      <w:r>
        <w:t xml:space="preserve">hospital only within the different-hospital first-readmission group. These</w:t>
      </w:r>
      <w:r>
        <w:t xml:space="preserve"> </w:t>
      </w:r>
      <w:r>
        <w:t xml:space="preserve">remain observational comparisons, not effects of changing hospitals.</w:t>
      </w:r>
    </w:p>
    <w:p>
      <w:pPr>
        <w:pStyle w:val="TableCaption"/>
      </w:pPr>
      <w:r>
        <w:t xml:space="preserve">Secondary outcomes within the second-stage eligible population.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condary outcomes within the second-stage eligible population."/>
      </w:tblPr>
      <w:tblGrid>
        <w:gridCol w:w="4849"/>
        <w:gridCol w:w="2002"/>
        <w:gridCol w:w="106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estimate (95% 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 discharges (n)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subsequent readmission: Same hospital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Risk: 31.38% (31.20% to 31.55%)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401,630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subsequent readmission: Different hospital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Risk: 33.17% (32.87% to 33.48%)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111,140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HF-coded subsequent readmission: Same hospital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Risk: 11.15% (11.04% to 11.27%)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401,630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HF-coded subsequent readmission: Different hospital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Risk: 11.66% (11.46% to 11.87%)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111,140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Subsequent readmission at a hospital distinct from both prior hospitals: Same hospital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Risk: 5.30% (5.21% to 5.40%)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401,630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Subsequent readmission at a hospital distinct from both prior hospitals: Different hospital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Risk: 6.54% (6.38% to 6.70%)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111,140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Third distinct hospital after fragmented first readmission (different-hospital subgroup): Different hospital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Risk: 6.54% (6.38% to 6.70%)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111,140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LOS of first subsequent admission (days; zero if none): Same hospital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full-stay LOS: 2.16 (2.14 to 2.18)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401,630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LOS of first subsequent admission (days; zero if none): Different hospital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full-stay LOS: 2.32 (2.28 to 2.36)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111,140</w:t>
            </w:r>
          </w:p>
        </w:tc>
      </w:tr>
    </w:tbl>
    <w:p>
      <w:pPr>
        <w:pStyle w:val="BodyText"/>
      </w:pPr>
      <w:r>
        <w:t xml:space="preserve">The utilization measure is the full length of stay of the first subsequent</w:t>
      </w:r>
      <w:r>
        <w:t xml:space="preserve"> </w:t>
      </w:r>
      <w:r>
        <w:t xml:space="preserve">admission, with zero days assigned when there is no such admission. It is not</w:t>
      </w:r>
      <w:r>
        <w:t xml:space="preserve"> </w:t>
      </w:r>
      <w:r>
        <w:t xml:space="preserve">the total number of hospital days accrued inside a fixed 30-day window; a</w:t>
      </w:r>
      <w:r>
        <w:t xml:space="preserve"> </w:t>
      </w:r>
      <w:r>
        <w:t xml:space="preserve">readmission beginning within the window contributes its full stay length.</w:t>
      </w:r>
    </w:p>
    <w:p>
      <w:pPr>
        <w:pStyle w:val="TableCaption"/>
      </w:pPr>
      <w:r>
        <w:t xml:space="preserve">Full length of stay of first subsequent admission, including zero for no readmission.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ull length of stay of first subsequent admission, including zero for no readmission."/>
      </w:tblPr>
      <w:tblGrid>
        <w:gridCol w:w="2603"/>
        <w:gridCol w:w="2712"/>
        <w:gridCol w:w="26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First-readmission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full LOS (95% 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 discharges (n)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 hospital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 (2.14 to 2.18)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401,630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Different hospital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 (2.28 to 2.36)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111,140</w:t>
            </w:r>
          </w:p>
        </w:tc>
      </w:tr>
    </w:tbl>
    <w:p>
      <w:pPr>
        <w:pStyle w:val="TableCaption"/>
      </w:pPr>
      <w:r>
        <w:t xml:space="preserve">Cost-data availability.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st-data availability."/>
      </w:tblPr>
      <w:tblGrid>
        <w:gridCol w:w="830"/>
        <w:gridCol w:w="708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 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Unavailable: NRD total charges are not costs, and no year- and hospital-appropriate HCUP cost-to-charge ratio file was applied.</w:t>
            </w:r>
          </w:p>
        </w:tc>
      </w:tr>
    </w:tbl>
    <w:bookmarkEnd w:id="21"/>
    <w:bookmarkStart w:id="22" w:name="unmeasured-confounding"/>
    <w:p>
      <w:pPr>
        <w:pStyle w:val="Heading2"/>
      </w:pPr>
      <w:r>
        <w:t xml:space="preserve">8 Unmeasured confounding</w:t>
      </w:r>
    </w:p>
    <w:p>
      <w:pPr>
        <w:pStyle w:val="FirstParagraph"/>
      </w:pPr>
      <w:r>
        <w:t xml:space="preserve">The E-value is calculated from the directly standardized adjusted risk ratio</w:t>
      </w:r>
      <w:r>
        <w:t xml:space="preserve"> </w:t>
      </w:r>
      <w:r>
        <w:t xml:space="preserve">and its lower confidence limit. Under the E-value assumptions, it describes</w:t>
      </w:r>
      <w:r>
        <w:t xml:space="preserve"> </w:t>
      </w:r>
      <w:r>
        <w:t xml:space="preserve">the minimum association strength an unmeasured confounder would need to have</w:t>
      </w:r>
      <w:r>
        <w:t xml:space="preserve"> </w:t>
      </w:r>
      <w:r>
        <w:t xml:space="preserve">with both hospital fragmentation and the outcome, conditional on measured</w:t>
      </w:r>
      <w:r>
        <w:t xml:space="preserve"> </w:t>
      </w:r>
      <w:r>
        <w:t xml:space="preserve">covariates, to explain the observed association. It does not show that such</w:t>
      </w:r>
      <w:r>
        <w:t xml:space="preserve"> </w:t>
      </w:r>
      <w:r>
        <w:t xml:space="preserve">confounding is present or absent.</w:t>
      </w:r>
    </w:p>
    <w:p>
      <w:pPr>
        <w:pStyle w:val="TableCaption"/>
      </w:pPr>
      <w:r>
        <w:t xml:space="preserve">E-value summary for the primary adjusted association.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-value summary for the primary adjusted association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Adjusted standardized risk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 95% confidence limit for adjusted risk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E-value for point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E-value for confidence limit closest to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1.176</w:t>
            </w:r>
          </w:p>
        </w:tc>
      </w:tr>
    </w:tbl>
    <w:bookmarkEnd w:id="22"/>
    <w:bookmarkStart w:id="26" w:name="exploratory-subgroup-estimates"/>
    <w:p>
      <w:pPr>
        <w:pStyle w:val="Heading2"/>
      </w:pPr>
      <w:r>
        <w:t xml:space="preserve">9 Exploratory subgroup estimates</w:t>
      </w:r>
    </w:p>
    <w:p>
      <w:pPr>
        <w:pStyle w:val="FirstParagraph"/>
      </w:pPr>
      <w:r>
        <w:t xml:space="preserve">Subgroup estimates are exploratory. The available output gives estimates</w:t>
      </w:r>
      <w:r>
        <w:t xml:space="preserve"> </w:t>
      </w:r>
      <w:r>
        <w:t xml:space="preserve">within each subgroup but does not provide interaction tests, so differences</w:t>
      </w:r>
      <w:r>
        <w:t xml:space="preserve"> </w:t>
      </w:r>
      <w:r>
        <w:t xml:space="preserve">between subgroup estimates should not be described as evidence that the</w:t>
      </w:r>
      <w:r>
        <w:t xml:space="preserve"> </w:t>
      </w:r>
      <w:r>
        <w:t xml:space="preserve">association varies across groups.</w:t>
      </w:r>
    </w:p>
    <w:p>
      <w:pPr>
        <w:pStyle w:val="TableCaption"/>
      </w:pPr>
      <w:r>
        <w:t xml:space="preserve">Exploratory estimates within prespecified subgroups.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ploratory estimates within prespecified subgroups."/>
      </w:tblPr>
      <w:tblGrid>
        <w:gridCol w:w="3771"/>
        <w:gridCol w:w="1885"/>
        <w:gridCol w:w="22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Odds ratio (95% 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 discharges (n)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readmission with heart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 (1.00 to 1.06)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191,272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readmission without heart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 (1.05 to 1.09)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310,964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 18-64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 (1.06 to 1.11)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148,859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 65 years or 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 (1.01 to 1.05)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353,377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 county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 (1.04 to 1.08)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434,481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Rural county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(0.96 to 1.04)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67,755</w:t>
            </w:r>
          </w:p>
        </w:tc>
      </w:tr>
    </w:tbl>
    <w:p>
      <w:pPr>
        <w:pStyle w:val="CaptionedFigure"/>
      </w:pPr>
      <w:r>
        <w:drawing>
          <wp:inline>
            <wp:extent cx="4620126" cy="3696101"/>
            <wp:effectExtent b="0" l="0" r="0" t="0"/>
            <wp:docPr descr="Crude weighted and covariate-adjusted risks of a second 30-day readmission. Points show risks and horizontal lines show 95% confidence intervals." title="" id="24" name="Picture"/>
            <a:graphic>
              <a:graphicData uri="http://schemas.openxmlformats.org/drawingml/2006/picture">
                <pic:pic>
                  <pic:nvPicPr>
                    <pic:cNvPr descr="index_files/figure-docx/risk-figure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Crude weighted and covariate-adjusted risks of a second 30-day readmission. Points show risks and horizontal lines show 95% confidence intervals.</w:t>
      </w:r>
    </w:p>
    <w:bookmarkEnd w:id="26"/>
    <w:bookmarkStart w:id="27" w:name="methods-in-brief"/>
    <w:p>
      <w:pPr>
        <w:pStyle w:val="Heading2"/>
      </w:pPr>
      <w:r>
        <w:t xml:space="preserve">10 Methods in brief</w:t>
      </w:r>
    </w:p>
    <w:p>
      <w:pPr>
        <w:pStyle w:val="FirstParagraph"/>
      </w:pPr>
      <w:r>
        <w:t xml:space="preserve">The analytic population begins with adults whose principal heart failure</w:t>
      </w:r>
      <w:r>
        <w:t xml:space="preserve"> </w:t>
      </w:r>
      <w:r>
        <w:t xml:space="preserve">hospitalization is recorded as discharged alive from January through October.</w:t>
      </w:r>
      <w:r>
        <w:t xml:space="preserve"> </w:t>
      </w:r>
      <w:r>
        <w:t xml:space="preserve">It then requires a first 30-day readmission recorded as alive at discharge</w:t>
      </w:r>
      <w:r>
        <w:t xml:space="preserve"> </w:t>
      </w:r>
      <w:r>
        <w:t xml:space="preserve">(DIED=0) by</w:t>
      </w:r>
      <w:r>
        <w:t xml:space="preserve"> </w:t>
      </w:r>
      <w:r>
        <w:t xml:space="preserve">November, leaving the full 30-day window observable within that calendar year.</w:t>
      </w:r>
      <w:r>
        <w:t xml:space="preserve"> </w:t>
      </w:r>
      <w:r>
        <w:t xml:space="preserve">The first-readmission flow count precedes the known-alive screen; patients</w:t>
      </w:r>
      <w:r>
        <w:t xml:space="preserve"> </w:t>
      </w:r>
      <w:r>
        <w:t xml:space="preserve">with an in-hospital death or unknown death status are not eligible for the</w:t>
      </w:r>
      <w:r>
        <w:t xml:space="preserve"> </w:t>
      </w:r>
      <w:r>
        <w:t xml:space="preserve">second-stage risk set. Transfers are excluded from the readmission risk set</w:t>
      </w:r>
      <w:r>
        <w:t xml:space="preserve"> </w:t>
      </w:r>
      <w:r>
        <w:t xml:space="preserve">because the hospital attribution or follow-up for the next event is not</w:t>
      </w:r>
      <w:r>
        <w:t xml:space="preserve"> </w:t>
      </w:r>
      <w:r>
        <w:t xml:space="preserve">defined consistently for those discharges. The exposure compares whether that first readmission was to</w:t>
      </w:r>
      <w:r>
        <w:t xml:space="preserve"> </w:t>
      </w:r>
      <w:r>
        <w:t xml:space="preserve">the same hospital as the index stay or to a different hospital. The outcome</w:t>
      </w:r>
      <w:r>
        <w:t xml:space="preserve"> </w:t>
      </w:r>
      <w:r>
        <w:t xml:space="preserve">is any further inpatient readmission within 30 days after the first</w:t>
      </w:r>
      <w:r>
        <w:t xml:space="preserve"> </w:t>
      </w:r>
      <w:r>
        <w:t xml:space="preserve">readmission.</w:t>
      </w:r>
    </w:p>
    <w:p>
      <w:pPr>
        <w:pStyle w:val="BodyText"/>
      </w:pPr>
      <w:r>
        <w:t xml:space="preserve">The models account for the NRD’s stratified hospital sampling design and</w:t>
      </w:r>
      <w:r>
        <w:t xml:space="preserve"> </w:t>
      </w:r>
      <w:r>
        <w:t xml:space="preserve">discharge weights. The primary model adjusts for calendar year and measured</w:t>
      </w:r>
      <w:r>
        <w:t xml:space="preserve"> </w:t>
      </w:r>
      <w:r>
        <w:t xml:space="preserve">patient and hospital characteristics. A separate conditional model also</w:t>
      </w:r>
      <w:r>
        <w:t xml:space="preserve"> </w:t>
      </w:r>
      <w:r>
        <w:t xml:space="preserve">adjusts for measured first-readmission characteristics. The analysis uses annual</w:t>
      </w:r>
      <w:r>
        <w:t xml:space="preserve"> </w:t>
      </w:r>
      <w:r>
        <w:t xml:space="preserve">linkage identifiers because NRD patient linkage is limited to each calendar</w:t>
      </w:r>
      <w:r>
        <w:t xml:space="preserve"> </w:t>
      </w:r>
      <w:r>
        <w:t xml:space="preserve">year. See the analysis code and aggregate tables for the full variable</w:t>
      </w:r>
      <w:r>
        <w:t xml:space="preserve"> </w:t>
      </w:r>
      <w:r>
        <w:t xml:space="preserve">definitions and model specification.</w:t>
      </w:r>
    </w:p>
    <w:bookmarkEnd w:id="27"/>
    <w:bookmarkStart w:id="28" w:name="limitations"/>
    <w:p>
      <w:pPr>
        <w:pStyle w:val="Heading2"/>
      </w:pPr>
      <w:r>
        <w:t xml:space="preserve">11 Limitations</w:t>
      </w:r>
    </w:p>
    <w:p>
      <w:pPr>
        <w:pStyle w:val="FirstParagraph"/>
      </w:pPr>
      <w:r>
        <w:t xml:space="preserve">This is an observational analysis of administrative discharge records.</w:t>
      </w:r>
      <w:r>
        <w:t xml:space="preserve"> </w:t>
      </w:r>
      <w:r>
        <w:t xml:space="preserve">The primary complete-case model includes 502,236 discharges from 512,770 eligible</w:t>
      </w:r>
      <w:r>
        <w:t xml:space="preserve"> </w:t>
      </w:r>
      <w:r>
        <w:t xml:space="preserve">second-stage discharges; records missing required model covariates are</w:t>
      </w:r>
      <w:r>
        <w:t xml:space="preserve"> </w:t>
      </w:r>
      <w:r>
        <w:t xml:space="preserve">excluded. Differences between patients treated at the</w:t>
      </w:r>
      <w:r>
        <w:t xml:space="preserve"> </w:t>
      </w:r>
      <w:r>
        <w:t xml:space="preserve">same or different hospitals may reflect clinical severity, access to care,</w:t>
      </w:r>
      <w:r>
        <w:t xml:space="preserve"> </w:t>
      </w:r>
      <w:r>
        <w:t xml:space="preserve">referral patterns, or social factors unavailable in the database, leaving</w:t>
      </w:r>
      <w:r>
        <w:t xml:space="preserve"> </w:t>
      </w:r>
      <w:r>
        <w:t xml:space="preserve">residual confounding. Diagnosis codes do not provide the clinical detail of a</w:t>
      </w:r>
      <w:r>
        <w:t xml:space="preserve"> </w:t>
      </w:r>
      <w:r>
        <w:t xml:space="preserve">medical record, and coding may be incomplete. Readmissions outside the NRD’s</w:t>
      </w:r>
      <w:r>
        <w:t xml:space="preserve"> </w:t>
      </w:r>
      <w:r>
        <w:t xml:space="preserve">observable linkage are not captured, including care across state boundaries</w:t>
      </w:r>
      <w:r>
        <w:t xml:space="preserve"> </w:t>
      </w:r>
      <w:r>
        <w:t xml:space="preserve">and events after the annual linkage window. Out-of-hospital deaths are not</w:t>
      </w:r>
      <w:r>
        <w:t xml:space="preserve"> </w:t>
      </w:r>
      <w:r>
        <w:t xml:space="preserve">observed, so some patients classified as at risk may have died before a</w:t>
      </w:r>
      <w:r>
        <w:t xml:space="preserve"> </w:t>
      </w:r>
      <w:r>
        <w:t xml:space="preserve">recorded readmission. Patients who die during a hospitalization cannot</w:t>
      </w:r>
      <w:r>
        <w:t xml:space="preserve"> </w:t>
      </w:r>
      <w:r>
        <w:t xml:space="preserve">experience a subsequent readmission and are outside this conditional</w:t>
      </w:r>
      <w:r>
        <w:t xml:space="preserve"> </w:t>
      </w:r>
      <w:r>
        <w:t xml:space="preserve">prognosis estimand. The results are adjusted associations among survivors who</w:t>
      </w:r>
      <w:r>
        <w:t xml:space="preserve"> </w:t>
      </w:r>
      <w:r>
        <w:t xml:space="preserve">experienced a first readmission, not causal effects of hospital continuity</w:t>
      </w:r>
      <w:r>
        <w:t xml:space="preserve"> </w:t>
      </w:r>
      <w:r>
        <w:t xml:space="preserve">or fragmentation.</w:t>
      </w:r>
    </w:p>
    <w:bookmarkEnd w:id="28"/>
    <w:bookmarkStart w:id="45" w:name="reproducibility-and-data-access"/>
    <w:p>
      <w:pPr>
        <w:pStyle w:val="Heading2"/>
      </w:pPr>
      <w:r>
        <w:t xml:space="preserve">12 Reproducibility and data access</w:t>
      </w:r>
    </w:p>
    <w:p>
      <w:pPr>
        <w:pStyle w:val="FirstParagraph"/>
      </w:pPr>
      <w:r>
        <w:t xml:space="preserve">The analysis uses the HCUP Nationwide Readmissions Database, which requires</w:t>
      </w:r>
      <w:r>
        <w:t xml:space="preserve"> </w:t>
      </w:r>
      <w:r>
        <w:t xml:space="preserve">an authorized data-use agreement. The analysis source code and the aggregate</w:t>
      </w:r>
      <w:r>
        <w:t xml:space="preserve"> </w:t>
      </w:r>
      <w:r>
        <w:t xml:space="preserve">tables used to produce this report are available in the project repository.</w:t>
      </w:r>
      <w:r>
        <w:t xml:space="preserve"> </w:t>
      </w:r>
      <w:r>
        <w:t xml:space="preserve">The aggregate tables can also be downloaded individually below. They contain</w:t>
      </w:r>
      <w:r>
        <w:t xml:space="preserve"> </w:t>
      </w:r>
      <w:r>
        <w:t xml:space="preserve">summary results only; record-level data and survey sampling files are not</w:t>
      </w:r>
      <w:r>
        <w:t xml:space="preserve"> </w:t>
      </w:r>
      <w:r>
        <w:t xml:space="preserve">included.</w:t>
      </w:r>
    </w:p>
    <w:bookmarkStart w:id="44" w:name="downloadable-aggregate-tables"/>
    <w:p>
      <w:pPr>
        <w:pStyle w:val="Heading3"/>
      </w:pPr>
      <w:r>
        <w:t xml:space="preserve">12.1 Downloadable aggregate tables</w:t>
      </w:r>
    </w:p>
    <w:p>
      <w:pPr>
        <w:pStyle w:val="FirstParagraph"/>
      </w:pPr>
      <w:hyperlink r:id="rId29">
        <w:r>
          <w:rPr>
            <w:rStyle w:val="Hyperlink"/>
          </w:rPr>
          <w:t xml:space="preserve">Cohort flow</w:t>
        </w:r>
      </w:hyperlink>
      <w:r>
        <w:t xml:space="preserve">;</w:t>
      </w:r>
      <w:r>
        <w:t xml:space="preserve"> </w:t>
      </w:r>
      <w:hyperlink r:id="rId30">
        <w:r>
          <w:rPr>
            <w:rStyle w:val="Hyperlink"/>
          </w:rPr>
          <w:t xml:space="preserve">Complete-case flow</w:t>
        </w:r>
      </w:hyperlink>
      <w:r>
        <w:t xml:space="preserve">;</w:t>
      </w:r>
      <w:r>
        <w:t xml:space="preserve"> </w:t>
      </w:r>
      <w:hyperlink r:id="rId31">
        <w:r>
          <w:rPr>
            <w:rStyle w:val="Hyperlink"/>
          </w:rPr>
          <w:t xml:space="preserve">Sequential transfer exclusions</w:t>
        </w:r>
      </w:hyperlink>
      <w:r>
        <w:t xml:space="preserve">;</w:t>
      </w:r>
      <w:r>
        <w:t xml:space="preserve"> </w:t>
      </w:r>
      <w:hyperlink r:id="rId32">
        <w:r>
          <w:rPr>
            <w:rStyle w:val="Hyperlink"/>
          </w:rPr>
          <w:t xml:space="preserve">Covariate missingness</w:t>
        </w:r>
      </w:hyperlink>
      <w:r>
        <w:t xml:space="preserve">;</w:t>
      </w:r>
      <w:r>
        <w:t xml:space="preserve"> </w:t>
      </w:r>
      <w:hyperlink r:id="rId33">
        <w:r>
          <w:rPr>
            <w:rStyle w:val="Hyperlink"/>
          </w:rPr>
          <w:t xml:space="preserve">Table 1</w:t>
        </w:r>
      </w:hyperlink>
      <w:r>
        <w:t xml:space="preserve">;</w:t>
      </w:r>
      <w:r>
        <w:t xml:space="preserve"> </w:t>
      </w:r>
      <w:hyperlink r:id="rId34">
        <w:r>
          <w:rPr>
            <w:rStyle w:val="Hyperlink"/>
          </w:rPr>
          <w:t xml:space="preserve">Crude weighted risks</w:t>
        </w:r>
      </w:hyperlink>
      <w:r>
        <w:t xml:space="preserve">;</w:t>
      </w:r>
      <w:r>
        <w:t xml:space="preserve"> </w:t>
      </w:r>
      <w:hyperlink r:id="rId35">
        <w:r>
          <w:rPr>
            <w:rStyle w:val="Hyperlink"/>
          </w:rPr>
          <w:t xml:space="preserve">Adjusted risks</w:t>
        </w:r>
      </w:hyperlink>
      <w:r>
        <w:t xml:space="preserve">;</w:t>
      </w:r>
      <w:r>
        <w:t xml:space="preserve"> </w:t>
      </w:r>
      <w:hyperlink r:id="rId36">
        <w:r>
          <w:rPr>
            <w:rStyle w:val="Hyperlink"/>
          </w:rPr>
          <w:t xml:space="preserve">Adjusted contrasts</w:t>
        </w:r>
      </w:hyperlink>
      <w:r>
        <w:t xml:space="preserve">;</w:t>
      </w:r>
      <w:r>
        <w:t xml:space="preserve"> </w:t>
      </w:r>
      <w:hyperlink r:id="rId10">
        <w:r>
          <w:rPr>
            <w:rStyle w:val="Hyperlink"/>
          </w:rPr>
          <w:t xml:space="preserve">Primary model</w:t>
        </w:r>
      </w:hyperlink>
      <w:r>
        <w:t xml:space="preserve">;</w:t>
      </w:r>
      <w:r>
        <w:t xml:space="preserve"> </w:t>
      </w:r>
      <w:hyperlink r:id="rId11">
        <w:r>
          <w:rPr>
            <w:rStyle w:val="Hyperlink"/>
          </w:rPr>
          <w:t xml:space="preserve">Conditional model</w:t>
        </w:r>
      </w:hyperlink>
      <w:r>
        <w:t xml:space="preserve">;</w:t>
      </w:r>
      <w:r>
        <w:t xml:space="preserve"> </w:t>
      </w:r>
      <w:hyperlink r:id="rId37">
        <w:r>
          <w:rPr>
            <w:rStyle w:val="Hyperlink"/>
          </w:rPr>
          <w:t xml:space="preserve">Sensitivity analyses</w:t>
        </w:r>
      </w:hyperlink>
      <w:r>
        <w:t xml:space="preserve">;</w:t>
      </w:r>
      <w:r>
        <w:t xml:space="preserve"> </w:t>
      </w:r>
      <w:hyperlink r:id="rId38">
        <w:r>
          <w:rPr>
            <w:rStyle w:val="Hyperlink"/>
          </w:rPr>
          <w:t xml:space="preserve">E-value</w:t>
        </w:r>
      </w:hyperlink>
      <w:r>
        <w:t xml:space="preserve">;</w:t>
      </w:r>
      <w:r>
        <w:t xml:space="preserve"> </w:t>
      </w:r>
      <w:hyperlink r:id="rId39">
        <w:r>
          <w:rPr>
            <w:rStyle w:val="Hyperlink"/>
          </w:rPr>
          <w:t xml:space="preserve">Subgroup estimates</w:t>
        </w:r>
      </w:hyperlink>
      <w:r>
        <w:t xml:space="preserve">;</w:t>
      </w:r>
      <w:r>
        <w:t xml:space="preserve"> </w:t>
      </w:r>
      <w:hyperlink r:id="rId40">
        <w:r>
          <w:rPr>
            <w:rStyle w:val="Hyperlink"/>
          </w:rPr>
          <w:t xml:space="preserve">First-readmission mortality</w:t>
        </w:r>
      </w:hyperlink>
      <w:r>
        <w:t xml:space="preserve">;</w:t>
      </w:r>
      <w:r>
        <w:t xml:space="preserve"> </w:t>
      </w:r>
      <w:hyperlink r:id="rId41">
        <w:r>
          <w:rPr>
            <w:rStyle w:val="Hyperlink"/>
          </w:rPr>
          <w:t xml:space="preserve">Secondary outcomes</w:t>
        </w:r>
      </w:hyperlink>
      <w:r>
        <w:t xml:space="preserve">;</w:t>
      </w:r>
      <w:r>
        <w:t xml:space="preserve"> </w:t>
      </w:r>
      <w:hyperlink r:id="rId42">
        <w:r>
          <w:rPr>
            <w:rStyle w:val="Hyperlink"/>
          </w:rPr>
          <w:t xml:space="preserve">Utilization</w:t>
        </w:r>
      </w:hyperlink>
      <w:r>
        <w:t xml:space="preserve">;</w:t>
      </w:r>
      <w:r>
        <w:t xml:space="preserve"> </w:t>
      </w:r>
      <w:hyperlink r:id="rId43">
        <w:r>
          <w:rPr>
            <w:rStyle w:val="Hyperlink"/>
          </w:rPr>
          <w:t xml:space="preserve">Cost-data availability</w:t>
        </w:r>
      </w:hyperlink>
      <w:r>
        <w:t xml:space="preserve">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3" Target="media/rId23.png" /><Relationship Type="http://schemas.openxmlformats.org/officeDocument/2006/relationships/hyperlink" Id="rId36" Target="../data/adjusted_contrasts.csv" TargetMode="External" /><Relationship Type="http://schemas.openxmlformats.org/officeDocument/2006/relationships/hyperlink" Id="rId35" Target="../data/adjusted_risks.csv" TargetMode="External" /><Relationship Type="http://schemas.openxmlformats.org/officeDocument/2006/relationships/hyperlink" Id="rId29" Target="../data/cohort_flow.csv" TargetMode="External" /><Relationship Type="http://schemas.openxmlformats.org/officeDocument/2006/relationships/hyperlink" Id="rId30" Target="../data/complete_case_flow.csv" TargetMode="External" /><Relationship Type="http://schemas.openxmlformats.org/officeDocument/2006/relationships/hyperlink" Id="rId43" Target="../data/cost_availability.csv" TargetMode="External" /><Relationship Type="http://schemas.openxmlformats.org/officeDocument/2006/relationships/hyperlink" Id="rId34" Target="../data/crude_weighted_risks.csv" TargetMode="External" /><Relationship Type="http://schemas.openxmlformats.org/officeDocument/2006/relationships/hyperlink" Id="rId38" Target="../data/e_value.csv" TargetMode="External" /><Relationship Type="http://schemas.openxmlformats.org/officeDocument/2006/relationships/hyperlink" Id="rId40" Target="../data/first_readmission_mortality.csv" TargetMode="External" /><Relationship Type="http://schemas.openxmlformats.org/officeDocument/2006/relationships/hyperlink" Id="rId32" Target="../data/missingness_flow.csv" TargetMode="External" /><Relationship Type="http://schemas.openxmlformats.org/officeDocument/2006/relationships/hyperlink" Id="rId11" Target="../data/model_conditional.csv" TargetMode="External" /><Relationship Type="http://schemas.openxmlformats.org/officeDocument/2006/relationships/hyperlink" Id="rId10" Target="../data/model_main.csv" TargetMode="External" /><Relationship Type="http://schemas.openxmlformats.org/officeDocument/2006/relationships/hyperlink" Id="rId41" Target="../data/secondary_outcomes.csv" TargetMode="External" /><Relationship Type="http://schemas.openxmlformats.org/officeDocument/2006/relationships/hyperlink" Id="rId37" Target="../data/sensitivity_results.csv" TargetMode="External" /><Relationship Type="http://schemas.openxmlformats.org/officeDocument/2006/relationships/hyperlink" Id="rId39" Target="../data/subgroup_results.csv" TargetMode="External" /><Relationship Type="http://schemas.openxmlformats.org/officeDocument/2006/relationships/hyperlink" Id="rId33" Target="../data/table1.csv" TargetMode="External" /><Relationship Type="http://schemas.openxmlformats.org/officeDocument/2006/relationships/hyperlink" Id="rId31" Target="../data/transfer_exclusions.csv" TargetMode="External" /><Relationship Type="http://schemas.openxmlformats.org/officeDocument/2006/relationships/hyperlink" Id="rId42" Target="../data/utilization.csv" TargetMode="External" /><Relationship Type="http://schemas.openxmlformats.org/officeDocument/2006/relationships/hyperlink" Id="rId14" Target="https://hcup-us.ahrq.gov/db/nation/nrd/NRDIntroduction2022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../data/adjusted_contrasts.csv" TargetMode="External" /><Relationship Type="http://schemas.openxmlformats.org/officeDocument/2006/relationships/hyperlink" Id="rId35" Target="../data/adjusted_risks.csv" TargetMode="External" /><Relationship Type="http://schemas.openxmlformats.org/officeDocument/2006/relationships/hyperlink" Id="rId29" Target="../data/cohort_flow.csv" TargetMode="External" /><Relationship Type="http://schemas.openxmlformats.org/officeDocument/2006/relationships/hyperlink" Id="rId30" Target="../data/complete_case_flow.csv" TargetMode="External" /><Relationship Type="http://schemas.openxmlformats.org/officeDocument/2006/relationships/hyperlink" Id="rId43" Target="../data/cost_availability.csv" TargetMode="External" /><Relationship Type="http://schemas.openxmlformats.org/officeDocument/2006/relationships/hyperlink" Id="rId34" Target="../data/crude_weighted_risks.csv" TargetMode="External" /><Relationship Type="http://schemas.openxmlformats.org/officeDocument/2006/relationships/hyperlink" Id="rId38" Target="../data/e_value.csv" TargetMode="External" /><Relationship Type="http://schemas.openxmlformats.org/officeDocument/2006/relationships/hyperlink" Id="rId40" Target="../data/first_readmission_mortality.csv" TargetMode="External" /><Relationship Type="http://schemas.openxmlformats.org/officeDocument/2006/relationships/hyperlink" Id="rId32" Target="../data/missingness_flow.csv" TargetMode="External" /><Relationship Type="http://schemas.openxmlformats.org/officeDocument/2006/relationships/hyperlink" Id="rId11" Target="../data/model_conditional.csv" TargetMode="External" /><Relationship Type="http://schemas.openxmlformats.org/officeDocument/2006/relationships/hyperlink" Id="rId10" Target="../data/model_main.csv" TargetMode="External" /><Relationship Type="http://schemas.openxmlformats.org/officeDocument/2006/relationships/hyperlink" Id="rId41" Target="../data/secondary_outcomes.csv" TargetMode="External" /><Relationship Type="http://schemas.openxmlformats.org/officeDocument/2006/relationships/hyperlink" Id="rId37" Target="../data/sensitivity_results.csv" TargetMode="External" /><Relationship Type="http://schemas.openxmlformats.org/officeDocument/2006/relationships/hyperlink" Id="rId39" Target="../data/subgroup_results.csv" TargetMode="External" /><Relationship Type="http://schemas.openxmlformats.org/officeDocument/2006/relationships/hyperlink" Id="rId33" Target="../data/table1.csv" TargetMode="External" /><Relationship Type="http://schemas.openxmlformats.org/officeDocument/2006/relationships/hyperlink" Id="rId31" Target="../data/transfer_exclusions.csv" TargetMode="External" /><Relationship Type="http://schemas.openxmlformats.org/officeDocument/2006/relationships/hyperlink" Id="rId42" Target="../data/utilization.csv" TargetMode="External" /><Relationship Type="http://schemas.openxmlformats.org/officeDocument/2006/relationships/hyperlink" Id="rId14" Target="https://hcup-us.ahrq.gov/db/nation/nrd/NRDIntroduction2022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Hospital fragmentation and second readmission after heart failure</dc:title>
  <dc:creator>Muhammad Saad</dc:creator>
  <cp:keywords/>
  <dcterms:created xsi:type="dcterms:W3CDTF">2026-10-23T01:23:49Z</dcterms:created>
  <dcterms:modified xsi:type="dcterms:W3CDTF">2026-10-23T01:23:49Z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23 October 2026</vt:lpwstr>
  </property>
  <property fmtid="{D5CDD505-2E9C-101B-9397-08002B2CF9AE}" pid="6" name="date-format">
    <vt:lpwstr>D MMMM YYYY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A national observational study using the Nationwide Readmissions Database, 2016-2022</vt:lpwstr>
  </property>
  <property fmtid="{D5CDD505-2E9C-101B-9397-08002B2CF9AE}" pid="12" name="toc-title">
    <vt:lpwstr>Table of contents</vt:lpwstr>
  </property>
</Properties>
</file>