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z w:val="20"/>
        </w:rPr>
        <w:t xml:space="preserve">Different-Hospital First Readmission and Subsequent All-Cause Admission After Heart Failure Hospitalization</w:t>
      </w:r>
    </w:p>
    <w:p>
      <w:pPr>
        <w:pStyle w:val="Subtitle"/>
      </w:pPr>
      <w:r>
        <w:rPr>
          <w:sz w:val="20"/>
        </w:rPr>
        <w:t xml:space="preserve">A retrospective cohort study using the 2016–2022 Nationwide Readmissions Database</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abstract"/>
    <w:p>
      <w:pPr>
        <w:pStyle w:val="Heading2"/>
      </w:pPr>
      <w:r>
        <w:rPr>
          <w:sz w:val="20"/>
        </w:rPr>
        <w:t xml:space="preserve">Abstract</w:t>
      </w:r>
    </w:p>
    <w:bookmarkStart w:id="9" w:name="background"/>
    <w:p>
      <w:pPr>
        <w:pStyle w:val="Heading3"/>
      </w:pPr>
      <w:r>
        <w:rPr>
          <w:sz w:val="20"/>
        </w:rPr>
        <w:t xml:space="preserve">Background</w:t>
      </w:r>
    </w:p>
    <w:p>
      <w:pPr>
        <w:pStyle w:val="FirstParagraph"/>
      </w:pPr>
      <w:r>
        <w:rPr>
          <w:sz w:val="20"/>
        </w:rPr>
        <w:t xml:space="preserve">Hospital destination may be associated with outcomes after a heart failure readmission.</w:t>
      </w:r>
    </w:p>
    <w:bookmarkEnd w:id="9"/>
    <w:bookmarkStart w:id="10" w:name="objectives"/>
    <w:p>
      <w:pPr>
        <w:pStyle w:val="Heading3"/>
      </w:pPr>
      <w:r>
        <w:rPr>
          <w:sz w:val="20"/>
        </w:rPr>
        <w:t xml:space="preserve">Objectives</w:t>
      </w:r>
    </w:p>
    <w:p>
      <w:pPr>
        <w:pStyle w:val="FirstParagraph"/>
      </w:pPr>
      <w:r>
        <w:rPr>
          <w:sz w:val="20"/>
        </w:rPr>
        <w:t xml:space="preserve">To evaluate the association between different-hospital first readmission and a composite of death during that readmission or subsequent all-cause inpatient admission after live discharge.</w:t>
      </w:r>
    </w:p>
    <w:bookmarkEnd w:id="10"/>
    <w:bookmarkStart w:id="11" w:name="methods"/>
    <w:p>
      <w:pPr>
        <w:pStyle w:val="Heading3"/>
      </w:pPr>
      <w:r>
        <w:rPr>
          <w:sz w:val="20"/>
        </w:rPr>
        <w:t xml:space="preserve">Methods</w:t>
      </w:r>
    </w:p>
    <w:p>
      <w:pPr>
        <w:pStyle w:val="FirstParagraph"/>
      </w:pPr>
      <w:r>
        <w:rPr>
          <w:sz w:val="20"/>
        </w:rPr>
        <w:t xml:space="preserve">We studied adults with a principal-diagnosis heart failure discharge in January through October and a first all-cause readmission within 30 days in the 2016–2022 Nationwide Readmissions Database. Exposure was readmission at the same versus a different hospital. The primary outcome was death during the first readmission or, among survivors, readmission within 30 days after discharge. Survey-weighted regression and design-based standardization estimated adjusted risks and risk differences.</w:t>
      </w:r>
    </w:p>
    <w:bookmarkEnd w:id="11"/>
    <w:bookmarkStart w:id="12" w:name="results"/>
    <w:p>
      <w:pPr>
        <w:pStyle w:val="Heading3"/>
      </w:pPr>
      <w:r>
        <w:rPr>
          <w:sz w:val="20"/>
        </w:rPr>
        <w:t xml:space="preserve">Results</w:t>
      </w:r>
    </w:p>
    <w:p>
      <w:pPr>
        <w:pStyle w:val="FirstParagraph"/>
      </w:pPr>
      <w:r>
        <w:rPr>
          <w:sz w:val="20"/>
        </w:rPr>
        <w:t xml:space="preserve">Among 518,986 eligible first readmissions (509,293 in the complete-case adjusted analysis), the adjusted composite risk was 35.6% (95% CI, 35.5–35.8) after same-hospital and 37.6% (95% CI, 37.3–38.0) after different-hospital readmission; the risk difference was +2.00 percentage points (95% CI, +1.64 to +2.36) and the risk ratio was 1.06, 95% CI 1.05–1.07. The adjusted risks were 6.1% (95% CI, 6.0–6.2) versus 7.4% (95% CI, 7.2–7.6) for in-hospital death (risk ratio, 1.21, 95% CI 1.17–1.24) and 31.5% (95% CI, 31.3–31.6) versus 32.7% (95% CI, 32.3–33.0) for subsequent readmission among survivors (risk difference, +1.20 percentage points (95% CI, +0.84 to +1.56); risk ratio, 1.04, 95% CI 1.03–1.05). Different-hospital readmission increased from 20.7% in 2016 to 23.2% in 2022.</w:t>
      </w:r>
    </w:p>
    <w:bookmarkEnd w:id="12"/>
    <w:bookmarkStart w:id="13" w:name="conclusions"/>
    <w:p>
      <w:pPr>
        <w:pStyle w:val="Heading3"/>
      </w:pPr>
      <w:r>
        <w:rPr>
          <w:sz w:val="20"/>
        </w:rPr>
        <w:t xml:space="preserve">Conclusions</w:t>
      </w:r>
    </w:p>
    <w:p>
      <w:pPr>
        <w:pStyle w:val="FirstParagraph"/>
      </w:pPr>
      <w:r>
        <w:rPr>
          <w:sz w:val="20"/>
        </w:rPr>
        <w:t xml:space="preserve">Different-hospital first readmission was associated with a modestly higher composite risk, with the largest relative association for death during the first readmission. These findings are associational and do not establish an effect of hospital destination.</w:t>
      </w:r>
    </w:p>
    <w:bookmarkEnd w:id="13"/>
    <w:bookmarkEnd w:id="14"/>
    <w:bookmarkStart w:id="15" w:name="introduction"/>
    <w:p>
      <w:pPr>
        <w:pStyle w:val="Heading2"/>
      </w:pPr>
      <w:r>
        <w:rPr>
          <w:sz w:val="20"/>
        </w:rPr>
        <w:t xml:space="preserve">Introduction</w:t>
      </w:r>
    </w:p>
    <w:p>
      <w:pPr>
        <w:pStyle w:val="FirstParagraph"/>
      </w:pPr>
      <w:r>
        <w:rPr>
          <w:sz w:val="20"/>
        </w:rPr>
        <w:t xml:space="preserve">Heart failure hospitalization is often followed by additional inpatient care. Prior studies have compared outcomes for patients readmitted to the original or a different hospital [1,2], and national studies have described repeated admissions after heart failure hospitalization [4]. Studies of interhospital care fragmentation provide broader context [3,5]. This study extends that literature by examining the first all-cause readmission after a heart failure admission and the subsequent inpatient course. A different hospital is an administrative site distinction in the Nationwide Readmissions Database; it does not establish fragmented clinician care, information exchange, transfer appropriateness, or care quality.</w:t>
      </w:r>
    </w:p>
    <w:bookmarkEnd w:id="15"/>
    <w:bookmarkStart w:id="19" w:name="methods-1"/>
    <w:p>
      <w:pPr>
        <w:pStyle w:val="Heading2"/>
      </w:pPr>
      <w:r>
        <w:rPr>
          <w:sz w:val="20"/>
        </w:rPr>
        <w:t xml:space="preserve">Methods</w:t>
      </w:r>
    </w:p>
    <w:bookmarkStart w:id="16" w:name="data-source-and-cohort"/>
    <w:p>
      <w:pPr>
        <w:pStyle w:val="Heading3"/>
      </w:pPr>
      <w:r>
        <w:rPr>
          <w:sz w:val="20"/>
        </w:rPr>
        <w:t xml:space="preserve">Data source and cohort</w:t>
      </w:r>
    </w:p>
    <w:p>
      <w:pPr>
        <w:pStyle w:val="FirstParagraph"/>
      </w:pPr>
      <w:r>
        <w:rPr>
          <w:sz w:val="20"/>
        </w:rPr>
        <w:t xml:space="preserve">We used the 2016–2022 Healthcare Cost and Utilization Project Nationwide Readmissions Database (NRD), a weighted sample of inpatient stays that supports patient linkage within a state and calendar year. We identified adults aged 18 years or older discharged from January through October after a principal-diagnosis heart failure admission. One eligible index admission was retained per patient-year. Sequential exclusions were age younger than 18 years; index in-hospital death or unknown status; transfer to acute care; discharge against medical advice; non-resident status; missing linkage, hospital identifier, or length of stay; same-day or rehabilitation events; and later ineligible index admissions. We then selected the first all-cause readmission within 30 days; heart failure was not required as the readmission diagnosis. The earliest event was selected by days from index discharge, with ties on the same NRD day resolved by the NRD event key; ties were counted once per year (Table 0). The first linked event defined eligibility: if it was same-day-collapsed, a rehabilitation transfer, or an acute-care transfer, the index admission was excluded, with no search for a later qualifying event. Patients entered the cohort whether or not they survived that readmission. To keep 30-day follow-up within the same calendar year, the first-readmission discharge month had to be November or earlier; this rule applied symmetrically to known-status deaths and live discharges, excluding both after-November survivors and deaths.</w:t>
      </w:r>
    </w:p>
    <w:bookmarkEnd w:id="16"/>
    <w:bookmarkStart w:id="17" w:name="exposure-and-outcome-hierarchy"/>
    <w:p>
      <w:pPr>
        <w:pStyle w:val="Heading3"/>
      </w:pPr>
      <w:r>
        <w:rPr>
          <w:sz w:val="20"/>
        </w:rPr>
        <w:t xml:space="preserve">Exposure and outcome hierarchy</w:t>
      </w:r>
    </w:p>
    <w:p>
      <w:pPr>
        <w:pStyle w:val="FirstParagraph"/>
      </w:pPr>
      <w:r>
        <w:rPr>
          <w:sz w:val="20"/>
        </w:rPr>
        <w:t xml:space="preserve">The exposure was a first all-cause readmission at a different hospital versus the index hospital, determined by the NRD hospital identifier within year. The primary outcome was a composite of in-hospital death during the first readmission or, among patients discharged alive, any inpatient readmission within 30 days of that discharge. The primary denominator included first readmissions with known vital status. Key secondary outcomes were in-hospital death during the first readmission and subsequent readmission among patients discharged alive. Other secondary outcomes were first-readmission length of stay and hospitalization cost, HF-coded subsequent readmission, and non-elective-coded subsequent readmission.</w:t>
      </w:r>
    </w:p>
    <w:bookmarkEnd w:id="17"/>
    <w:bookmarkStart w:id="18" w:name="covariates-and-statistical-analysis"/>
    <w:p>
      <w:pPr>
        <w:pStyle w:val="Heading3"/>
      </w:pPr>
      <w:r>
        <w:rPr>
          <w:sz w:val="20"/>
        </w:rPr>
        <w:t xml:space="preserve">Covariates and statistical analysis</w:t>
      </w:r>
    </w:p>
    <w:p>
      <w:pPr>
        <w:pStyle w:val="FirstParagraph"/>
      </w:pPr>
      <w:r>
        <w:rPr>
          <w:sz w:val="20"/>
        </w:rPr>
        <w:t xml:space="preserve">The congestive heart failure comorbidity indicator was omitted because nearly all patients had it. The primary adjustment set included discharge year; age; sex; expected payer; ZIP-code income quartile; county urban–rural category; index-hospital bed size, location/teaching status, ownership, and annual heart failure volume; index length of stay; index discharge disposition; All Patient Refined Diagnosis Related Groups (APR-DRG) severity; Elixhauser comorbidities; days from index discharge to first readmission (1–7, 8–14, or 15–30); and any earlier hospitalization in the calendar year when derivable. Annual heart-failure volume counted all principal-diagnosis HF discharges across all months and ages within each hospital-year; quartiles were assigned once per unique hospital-year, with tied volumes ordered by hospital identifier when a cutpoint split a tie. Age and log(1+index length of stay) used natural splines with boundary knots at the 5th/95th percentiles and internal knots at the 35th/65th percentiles in the primary complete-case population; numeric knots are listed in Table S4. Adjustment was restricted to information measured before the first-readmission destination; first-readmission length of stay, severity, procedures, and receiving-hospital characteristics were excluded from the primary model.</w:t>
      </w:r>
    </w:p>
    <w:p>
      <w:pPr>
        <w:pStyle w:val="BodyText"/>
      </w:pPr>
      <w:r>
        <w:rPr>
          <w:sz w:val="20"/>
        </w:rPr>
        <w:t xml:space="preserve">We used survey-weighted logistic regression with year-specific strata and primary sampling units, nested design handling, and domain estimation. Survey-design delta-method standardization estimated adjusted risks and 95% confidence intervals. The primary contrast was the risk difference (different hospital minus same hospital), reported in percentage points; the risk ratio was secondary. We used overlap weights from a propensity score based on the primary covariates, multiplied by the survey weight, as a sensitivity analysis and summarized covariate balance before and after weighting. Prespecified subgroup estimates were examined by age, sex, payer, rurality, index-hospital location/teaching category, and first-readmission cause; exposure-by-subgroup Wald tests assessed interaction. These subgroup analyses were exploratory and hypothesis-generating. Annual destination proportions and outcome contrasts were assessed with year as a continuous term for trend tests.</w:t>
      </w:r>
    </w:p>
    <w:p>
      <w:pPr>
        <w:pStyle w:val="BodyText"/>
      </w:pPr>
      <w:r>
        <w:rPr>
          <w:sz w:val="20"/>
        </w:rPr>
        <w:t xml:space="preserve">Hospitalization cost was derived as total charges multiplied by the NRD cost-to-charge ratio, then inflated to 2022 US dollars using the Consumer Price Index for medical care. Missing total charges and invalid cost-to-charge ratios were excluded from cost analyses; charge-missing exclusions are reported in Table 4. Length of stay, including zero-day stays, and cost were modeled with survey-weighted quasi-Poisson regression using a log link; adjusted ratios of means and 95% confidence intervals are reported with weighted means and medians. Missing covariate data were preserved in the primary data and handled by complete-case analysis; the missing-category sensitivity coded categorical missing values as Unknown. Missingness by variable and exposure, and complete-case inclusion by exposure and year, are summarized in the supplement. The elective-readmission sensitivity excluded records coded elective and records with missing elective status; its denominator is reported in Table 6. First-readmission cause in the destination-predictor model is a concurrent correlate measured during that stay, not an antecedent predictor. Cells with counts of 10 or fewer are shown as ≤10; associated percentages and the minimum complementary cells are suppressed. All analyses use deidentified administrative data and report associations in a selected cohort; they do not estimate causal effects.</w:t>
      </w:r>
    </w:p>
    <w:bookmarkEnd w:id="18"/>
    <w:bookmarkEnd w:id="19"/>
    <w:bookmarkStart w:id="23" w:name="results-1"/>
    <w:p>
      <w:pPr>
        <w:pStyle w:val="Heading2"/>
      </w:pPr>
      <w:r>
        <w:rPr>
          <w:sz w:val="20"/>
        </w:rPr>
        <w:t xml:space="preserve">Results</w:t>
      </w:r>
    </w:p>
    <w:bookmarkStart w:id="20" w:name="cohort-and-baseline-characteristics"/>
    <w:p>
      <w:pPr>
        <w:pStyle w:val="Heading3"/>
      </w:pPr>
      <w:r>
        <w:rPr>
          <w:sz w:val="20"/>
        </w:rPr>
        <w:t xml:space="preserve">Cohort and baseline characteristics</w:t>
      </w:r>
    </w:p>
    <w:p>
      <w:pPr>
        <w:pStyle w:val="FirstParagraph"/>
      </w:pPr>
      <w:r>
        <w:rPr>
          <w:sz w:val="20"/>
        </w:rPr>
        <w:t xml:space="preserve">The analytic cohort included 518,986 first readmissions: 407,149 same-hospital and 111,837 different-hospital readmissions. The primary complete-case model included 400,239 same-hospital and 109,054 different-hospital readmissions. Table 0 presents each sequential exclusion, including unknown first-readmission vital status, discharge after November, same-day events, rehabilitation, acute-care transfer, and complete-case loss. Earliest-readmission date ties resolved by the NRD event key occurred 0 times across the seven years.</w:t>
      </w:r>
    </w:p>
    <w:p>
      <w:pPr>
        <w:pStyle w:val="BodyText"/>
      </w:pPr>
      <w:r>
        <w:rPr>
          <w:sz w:val="20"/>
        </w:rPr>
        <w:t xml:space="preserve">Patients with different-hospital readmission were younger, more often covered by Medicaid, more often lived in non-metropolitan counties, and more often had their index HF admission at a small hospital. Table 1 summarizes the analytic cohort using survey-weighted percentages, unweighted counts, and standardized mean differences; no baseline significance tests were performed.</w:t>
      </w:r>
    </w:p>
    <w:bookmarkEnd w:id="20"/>
    <w:bookmarkStart w:id="21" w:name="primary-and-secondary-outcomes"/>
    <w:p>
      <w:pPr>
        <w:pStyle w:val="Heading3"/>
      </w:pPr>
      <w:r>
        <w:rPr>
          <w:sz w:val="20"/>
        </w:rPr>
        <w:t xml:space="preserve">Primary and secondary outcomes</w:t>
      </w:r>
    </w:p>
    <w:p>
      <w:pPr>
        <w:pStyle w:val="FirstParagraph"/>
      </w:pPr>
      <w:r>
        <w:rPr>
          <w:sz w:val="20"/>
        </w:rPr>
        <w:t xml:space="preserve">The adjusted primary composite risks were 35.6% (95% CI, 35.5–35.8) after same-hospital and 37.6% (95% CI, 37.3–38.0) after different-hospital readmission, with a risk difference of +2.00 percentage points (95% CI, +1.64 to +2.36) and risk ratio of 1.06, 95% CI 1.05–1.07. In-hospital death risks were 6.1% (95% CI, 6.0–6.2) versus 7.4% (95% CI, 7.2–7.6); the adjusted risk difference was +1.26 percentage points (95% CI, +1.06 to +1.45) and risk ratio was 1.21, 95% CI 1.17–1.24. Among patients discharged alive, subsequent admission risks were 31.5% (95% CI, 31.3–31.6) versus 32.7% (95% CI, 32.3–33.0), with a risk difference of +1.20 percentage points (95% CI, +0.84 to +1.56) and risk ratio of 1.04, 95% CI 1.03–1.05.</w:t>
      </w:r>
    </w:p>
    <w:p>
      <w:pPr>
        <w:pStyle w:val="BodyText"/>
      </w:pPr>
      <w:r>
        <w:rPr>
          <w:sz w:val="20"/>
        </w:rPr>
        <w:t xml:space="preserve">The adjusted HF-coded subsequent-readmission risk difference was +0.18 percentage points (95% CI, -0.07 to +0.42) (P = 0.157). The adjusted risk difference for non-elective-coded subsequent readmission was +0.94 percentage points (95% CI, +0.59 to +1.29). Unadjusted estimates and denominators are shown in Table 2; adjusted estimates and outcome-specific analysis populations are shown in Table 3.</w:t>
      </w:r>
    </w:p>
    <w:bookmarkEnd w:id="21"/>
    <w:bookmarkStart w:id="22" w:name="X10dcda0ad244facc33eb44bbacbc1e94c0fc457"/>
    <w:p>
      <w:pPr>
        <w:pStyle w:val="Heading3"/>
      </w:pPr>
      <w:r>
        <w:rPr>
          <w:sz w:val="20"/>
        </w:rPr>
        <w:t xml:space="preserve">Resource use, causes, and additional analyses</w:t>
      </w:r>
    </w:p>
    <w:p>
      <w:pPr>
        <w:pStyle w:val="FirstParagraph"/>
      </w:pPr>
      <w:r>
        <w:rPr>
          <w:sz w:val="20"/>
        </w:rPr>
        <w:t xml:space="preserve">Table 4 reports survey-weighted median (IQR) and mean resource use by exposure, the unweighted and weighted denominators, and adjusted ratios of means. Zero-day stays were included in length-of-stay analyses; missing charges and invalid cost-to-charge ratios were excluded from cost analyses. AKI denotes acute kidney injury and GI denotes gastrointestinal. First-readmission causes are assigned once using the ordered, mutually exclusive ICD-10-CM map in Table S8; pneumonia is classified under respiratory disease and R06 under respiratory/chronic obstructive pulmonary disease (COPD).</w:t>
      </w:r>
    </w:p>
    <w:p>
      <w:pPr>
        <w:pStyle w:val="BodyText"/>
      </w:pPr>
      <w:r>
        <w:rPr>
          <w:sz w:val="20"/>
        </w:rPr>
        <w:t xml:space="preserve">Subgroup risk differences and interaction tests are shown in Table 5b; these analyses are exploratory and hypothesis-generating. Sensitivity risk differences ranged from +1.94 to +2.32 percentage points. After overlap weighting, the maximum absolute standardized difference among propensity-model covariates was 0.004; the weighted risk difference is shown in Table 6. Annual weighted different-hospital readmission increased from 20.7% in 2016 to 23.2% in 2022 (P &lt; 0.001); the trend in annual risk differences was P = 0.070. Figure 4 shows annual estimates.</w:t>
      </w:r>
    </w:p>
    <w:bookmarkEnd w:id="22"/>
    <w:bookmarkEnd w:id="23"/>
    <w:bookmarkStart w:id="24" w:name="discussion"/>
    <w:p>
      <w:pPr>
        <w:pStyle w:val="Heading2"/>
      </w:pPr>
      <w:r>
        <w:rPr>
          <w:sz w:val="20"/>
        </w:rPr>
        <w:t xml:space="preserve">Discussion</w:t>
      </w:r>
    </w:p>
    <w:p>
      <w:pPr>
        <w:pStyle w:val="FirstParagraph"/>
      </w:pPr>
      <w:r>
        <w:rPr>
          <w:sz w:val="20"/>
        </w:rPr>
        <w:t xml:space="preserve">In this contemporary national cohort, different-hospital first readmission was associated with a modestly higher adjusted risk of the primary composite. Prior HF studies also reported worse outcomes for patients readmitted to a different hospital, particularly mortality and length of stay during that encounter [1,2]. The strongest relative association in this analysis was with in-hospital death during the first readmission (adjusted risk ratio, 1.21, 95% CI 1.17–1.24); the subsequent-admission difference after live discharge was +1.20 percentage points (95% CI, +0.84 to +1.56). HF-coded subsequent readmission showed an adjusted risk difference of +0.18 percentage points (95% CI, -0.07 to +0.42). Different-hospital readmission increased over the study period, from 20.7% to 23.2%. Subgroup estimates and interaction tests are shown in Table 5b and require confirmation.</w:t>
      </w:r>
    </w:p>
    <w:p>
      <w:pPr>
        <w:pStyle w:val="BodyText"/>
      </w:pPr>
      <w:r>
        <w:rPr>
          <w:sz w:val="20"/>
        </w:rPr>
        <w:t xml:space="preserve">These findings should be interpreted as associations. The cohort was selected on experiencing a first readmission, and the post-discharge outcome additionally conditions on live discharge. Conditioning on these events can introduce selection bias. NRD hospital identifiers capture site, not clinician continuity or information exchange, and the database does not measure distance, referral, ambulance routing, patient preference, or bed capacity. NRD captures inpatient stays within a state and calendar year and does not observe out-of-hospital death. Residual confounding and complete-case selection may also affect estimates. The results do not establish that a different destination causes an adverse outcome or that changing destination would prevent one.</w:t>
      </w:r>
    </w:p>
    <w:bookmarkEnd w:id="24"/>
    <w:bookmarkStart w:id="25" w:name="conclusion"/>
    <w:p>
      <w:pPr>
        <w:pStyle w:val="Heading2"/>
      </w:pPr>
      <w:r>
        <w:rPr>
          <w:sz w:val="20"/>
        </w:rPr>
        <w:t xml:space="preserve">Conclusion</w:t>
      </w:r>
    </w:p>
    <w:p>
      <w:pPr>
        <w:pStyle w:val="FirstParagraph"/>
      </w:pPr>
      <w:r>
        <w:rPr>
          <w:sz w:val="20"/>
        </w:rPr>
        <w:t xml:space="preserve">Among adults with a heart failure index admission followed by a first all-cause readmission, readmission at a different hospital was associated with a modestly higher risk of the primary composite, with the strongest relative association observed for in-hospital death during the first readmission. These selected-cohort estimates describe associations and do not establish a causal effect of hospital destination.</w:t>
      </w:r>
    </w:p>
    <w:bookmarkEnd w:id="25"/>
    <w:bookmarkStart w:id="55" w:name="tables-and-figures"/>
    <w:p>
      <w:pPr>
        <w:pStyle w:val="Heading2"/>
      </w:pPr>
      <w:r>
        <w:rPr>
          <w:sz w:val="20"/>
        </w:rPr>
        <w:t xml:space="preserve">Tables and figures</w:t>
      </w:r>
    </w:p>
    <w:bookmarkStart w:id="26" w:name="table-0.-cohort-selection"/>
    <w:p>
      <w:pPr>
        <w:pStyle w:val="Heading3"/>
      </w:pPr>
      <w:r>
        <w:rPr>
          <w:sz w:val="20"/>
        </w:rPr>
        <w:t xml:space="preserve">Table 0. Cohort selection</w:t>
      </w:r>
    </w:p>
    <w:p>
      <w:pPr>
        <w:pStyle w:val="FirstParagraph"/>
      </w:pPr>
      <w:r>
        <w:rPr>
          <w:sz w:val="20"/>
        </w:rPr>
        <w:t xml:space="preserve">Unweighted remaining and excluded counts and weighted population estimates at each sequential cohort step. Same-hospital and different-hospital complete-case losses are shown separately.</w:t>
      </w:r>
    </w:p>
    <w:tbl>
      <w:tblPr>
        <w:tblStyle w:val="Table"/>
        <w:tblW w:type="pct" w:w="5000"/>
        <w:tblLayout w:type="fixed"/>
        <w:tblLook w:firstRow="1" w:lastRow="0" w:firstColumn="0" w:lastColumn="0" w:noHBand="0" w:noVBand="0" w:val="0020"/>
      </w:tblPr>
      <w:tblGrid>
        <w:gridCol w:w="864"/>
        <w:gridCol w:w="5400"/>
        <w:gridCol w:w="2232"/>
        <w:gridCol w:w="2880"/>
        <w:gridCol w:w="3082"/>
      </w:tblGrid>
      <w:tr>
        <w:trPr>
          <w:tblHeader w:val="on"/>
          <w:cantSplit/>
        </w:trPr>
        <w:tc>
          <w:tcPr>
            <w:tcW w:type="dxa" w:w="864"/>
            <w:tcMar>
              <w:top w:w="35" w:type="dxa"/>
              <w:left w:w="140" w:type="dxa"/>
              <w:bottom w:w="35" w:type="dxa"/>
              <w:right w:w="140" w:type="dxa"/>
            </w:tcMar>
          </w:tcPr>
          <w:p>
            <w:pPr>
              <w:pStyle w:val="Compact"/>
              <w:keepNext/>
              <w:keepLines/>
              <w:spacing w:before="0" w:after="20"/>
              <w:jc w:val="left"/>
            </w:pPr>
            <w:r>
              <w:rPr>
                <w:rFonts w:ascii="Arial" w:hAnsi="Arial"/>
                <w:b/>
                <w:sz w:val="18"/>
              </w:rPr>
              <w:t xml:space="preserve">Step</w:t>
            </w:r>
          </w:p>
        </w:tc>
        <w:tc>
          <w:tcPr>
            <w:tcW w:type="dxa" w:w="5400"/>
            <w:tcMar>
              <w:top w:w="35" w:type="dxa"/>
              <w:left w:w="140" w:type="dxa"/>
              <w:bottom w:w="35" w:type="dxa"/>
              <w:right w:w="140" w:type="dxa"/>
            </w:tcMar>
          </w:tcPr>
          <w:p>
            <w:pPr>
              <w:pStyle w:val="Compact"/>
              <w:keepNext/>
              <w:keepLines/>
              <w:spacing w:before="0" w:after="20"/>
              <w:jc w:val="left"/>
            </w:pPr>
            <w:r>
              <w:rPr>
                <w:rFonts w:ascii="Arial" w:hAnsi="Arial"/>
                <w:b/>
                <w:sz w:val="18"/>
              </w:rPr>
              <w:t xml:space="preserve">Cohort stage</w:t>
            </w:r>
          </w:p>
        </w:tc>
        <w:tc>
          <w:tcPr>
            <w:tcW w:type="dxa" w:w="2232"/>
            <w:tcMar>
              <w:top w:w="35" w:type="dxa"/>
              <w:left w:w="140" w:type="dxa"/>
              <w:bottom w:w="35" w:type="dxa"/>
              <w:right w:w="140" w:type="dxa"/>
            </w:tcMar>
          </w:tcPr>
          <w:p>
            <w:pPr>
              <w:pStyle w:val="Compact"/>
              <w:keepNext/>
              <w:keepLines/>
              <w:spacing w:before="0" w:after="20"/>
              <w:jc w:val="left"/>
            </w:pPr>
            <w:r>
              <w:rPr>
                <w:rFonts w:ascii="Arial" w:hAnsi="Arial"/>
                <w:b/>
                <w:sz w:val="18"/>
              </w:rPr>
              <w:t xml:space="preserve">Excluded, unweighted n</w:t>
            </w:r>
          </w:p>
        </w:tc>
        <w:tc>
          <w:tcPr>
            <w:tcW w:type="dxa" w:w="2880"/>
            <w:tcMar>
              <w:top w:w="35" w:type="dxa"/>
              <w:left w:w="140" w:type="dxa"/>
              <w:bottom w:w="35" w:type="dxa"/>
              <w:right w:w="140" w:type="dxa"/>
            </w:tcMar>
          </w:tcPr>
          <w:p>
            <w:pPr>
              <w:pStyle w:val="Compact"/>
              <w:keepNext/>
              <w:keepLines/>
              <w:spacing w:before="0" w:after="20"/>
              <w:jc w:val="left"/>
            </w:pPr>
            <w:r>
              <w:rPr>
                <w:rFonts w:ascii="Arial" w:hAnsi="Arial"/>
                <w:b/>
                <w:sz w:val="18"/>
              </w:rPr>
              <w:t xml:space="preserve">Remaining, unweighted n</w:t>
            </w:r>
          </w:p>
        </w:tc>
        <w:tc>
          <w:tcPr>
            <w:tcW w:type="dxa" w:w="3082"/>
            <w:tcMar>
              <w:top w:w="35" w:type="dxa"/>
              <w:left w:w="140" w:type="dxa"/>
              <w:bottom w:w="35" w:type="dxa"/>
              <w:right w:w="140" w:type="dxa"/>
            </w:tcMar>
          </w:tcPr>
          <w:p>
            <w:pPr>
              <w:pStyle w:val="Compact"/>
              <w:keepNext/>
              <w:keepLines/>
              <w:spacing w:before="0" w:after="20"/>
              <w:jc w:val="left"/>
            </w:pPr>
            <w:r>
              <w:rPr>
                <w:rFonts w:ascii="Arial" w:hAnsi="Arial"/>
                <w:b/>
                <w:sz w:val="18"/>
              </w:rPr>
              <w:t xml:space="preserve">Remaining, weighted n</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HF principal discharges, January–October</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3,829,973</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7,010,185</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2</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age &lt;18</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2,477</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3,827,496</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7,001,851</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3</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index death or unknown status</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115,485</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3,712,011</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6,793,058</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4</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transfer out to acute care</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36,039</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3,675,972</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6,727,150</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5</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discharge against medical advice</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77,907</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3,598,065</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6,591,823</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6</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nonresident</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134,843</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3,463,222</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6,318,836</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7</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missing linkage, hospital, or length of stay</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75</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3,463,147</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6,318,702</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8</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same-day or rehabilitation event</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69,514</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3,393,633</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6,188,645</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9</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Retained: first eligible index per patient-year</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707,738</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2,685,895</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4,902,849</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Retained: first all-cause readmission within 30 days</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2,139,466</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546,429</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994,797</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11</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unknown first-readmission vital status</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152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546,277</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994,549</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12</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first readmission discharged after November</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1,809</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544,468</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991,304</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13</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same-day-collapsed first event</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20,229</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524,239</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953,828</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14</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first-readmission rehabilitation transfer</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0</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524,239</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953,828</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15</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Excluded: first-readmission transfer to acute care</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5,253</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518,986</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944,290</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16</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Same-hospital first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407,149</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741,058</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17</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Different-hospital first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111,837</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203,232</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18</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Complete-case cohort: same hospital</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6,910</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400,239</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729,635</w:t>
            </w:r>
          </w:p>
        </w:tc>
      </w:tr>
      <w:tr>
        <w:trPr>
          <w:cantSplit/>
        </w:trPr>
        <w:tc>
          <w:tcPr>
            <w:tcW w:type="dxa" w:w="864"/>
            <w:tcMar>
              <w:top w:w="35" w:type="dxa"/>
              <w:left w:w="140" w:type="dxa"/>
              <w:bottom w:w="35" w:type="dxa"/>
              <w:right w:w="140" w:type="dxa"/>
            </w:tcMar>
          </w:tcPr>
          <w:p>
            <w:pPr>
              <w:pStyle w:val="Compact"/>
              <w:keepLines/>
              <w:spacing w:before="0" w:after="20"/>
              <w:jc w:val="left"/>
            </w:pPr>
            <w:r>
              <w:rPr>
                <w:rFonts w:ascii="Arial" w:hAnsi="Arial"/>
                <w:sz w:val="18"/>
              </w:rPr>
              <w:t xml:space="preserve">19</w:t>
            </w:r>
          </w:p>
        </w:tc>
        <w:tc>
          <w:tcPr>
            <w:tcW w:type="dxa" w:w="5400"/>
            <w:tcMar>
              <w:top w:w="35" w:type="dxa"/>
              <w:left w:w="140" w:type="dxa"/>
              <w:bottom w:w="35" w:type="dxa"/>
              <w:right w:w="140" w:type="dxa"/>
            </w:tcMar>
          </w:tcPr>
          <w:p>
            <w:pPr>
              <w:pStyle w:val="Compact"/>
              <w:keepLines/>
              <w:spacing w:before="0" w:after="20"/>
              <w:jc w:val="left"/>
            </w:pPr>
            <w:r>
              <w:rPr>
                <w:rFonts w:ascii="Arial" w:hAnsi="Arial"/>
                <w:sz w:val="18"/>
              </w:rPr>
              <w:t xml:space="preserve">Complete-case cohort: different hospital</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2,783</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109,054</w:t>
            </w:r>
          </w:p>
        </w:tc>
        <w:tc>
          <w:tcPr>
            <w:tcW w:type="dxa" w:w="3082"/>
            <w:tcMar>
              <w:top w:w="35" w:type="dxa"/>
              <w:left w:w="140" w:type="dxa"/>
              <w:bottom w:w="35" w:type="dxa"/>
              <w:right w:w="140" w:type="dxa"/>
            </w:tcMar>
          </w:tcPr>
          <w:p>
            <w:pPr>
              <w:pStyle w:val="Compact"/>
              <w:keepLines/>
              <w:spacing w:before="0" w:after="20"/>
              <w:jc w:val="left"/>
            </w:pPr>
            <w:r>
              <w:rPr>
                <w:rFonts w:ascii="Arial" w:hAnsi="Arial"/>
                <w:sz w:val="18"/>
              </w:rPr>
              <w:t xml:space="preserve">198,803</w:t>
            </w:r>
          </w:p>
        </w:tc>
      </w:tr>
    </w:tbl>
    <w:p>
      <w:pPr>
        <w:pStyle w:val="BodyText"/>
      </w:pPr>
      <w:r>
        <w:rPr>
          <w:i/>
          <w:iCs/>
          <w:sz w:val="20"/>
        </w:rPr>
        <w:t xml:space="preserve">Note.</w:t>
      </w:r>
      <w:r>
        <w:rPr>
          <w:sz w:val="20"/>
        </w:rPr>
        <w:t xml:space="preserve"> </w:t>
      </w:r>
      <w:r>
        <w:rPr>
          <w:sz w:val="20"/>
        </w:rPr>
        <w:t xml:space="preserve">Tied earliest readmission dates, resolved by the NRD event key and counted once per year: 0.</w:t>
      </w:r>
    </w:p>
    <w:bookmarkEnd w:id="26"/>
    <w:bookmarkStart w:id="31" w:name="figure-1.-cohort-flow"/>
    <w:p>
      <w:pPr>
        <w:pStyle w:val="Heading3"/>
      </w:pPr>
      <w:r>
        <w:rPr>
          <w:sz w:val="20"/>
        </w:rPr>
        <w:t xml:space="preserve">Figure 1. Cohort flow</w:t>
      </w:r>
    </w:p>
    <w:p>
      <w:pPr>
        <w:pStyle w:val="FirstParagraph"/>
      </w:pPr>
      <w:r>
        <w:rPr>
          <w:sz w:val="20"/>
        </w:rPr>
        <w:t xml:space="preserve">The first readmission is all-cause. The primary composite includes death during that readmission or, after live discharge, any inpatient admission within 30 days. Table 0 gives the sequential exclusions and counts.</w:t>
      </w:r>
    </w:p>
    <w:tbl>
      <w:tblPr>
        <w:tblStyle w:val="Table"/>
        <w:tblW w:type="pct" w:w="5000"/>
        <w:tblLayout w:type="fixed"/>
        <w:tblLook w:firstRow="0" w:lastRow="0" w:firstColumn="0" w:lastColumn="0" w:noHBand="0" w:noVBand="0" w:val="0000"/>
      </w:tblPr>
      <w:tblGrid>
        <w:gridCol w:w="14458"/>
      </w:tblGrid>
      <w:tr>
        <w:trPr>
          <w:cantSplit/>
          <w:tblHeader w:val="true"/>
        </w:trPr>
        <w:tc>
          <w:tcPr>
            <w:tcW w:type="dxa" w:w="14458"/>
            <w:tcMar>
              <w:top w:w="35" w:type="dxa"/>
              <w:left w:w="140" w:type="dxa"/>
              <w:bottom w:w="35" w:type="dxa"/>
              <w:right w:w="140" w:type="dxa"/>
            </w:tcMar>
          </w:tcPr>
          <w:bookmarkStart w:id="30" w:name="fig-flow"/>
          <w:p>
            <w:pPr>
              <w:pStyle w:val="Compact"/>
              <w:keepNext/>
              <w:keepLines/>
              <w:spacing w:before="0" w:after="20"/>
              <w:jc w:val="center"/>
            </w:pPr>
            <w:r>
              <w:rPr>
                <w:rFonts w:ascii="Arial" w:hAnsi="Arial"/>
                <w:b/>
                <w:sz w:val="18"/>
              </w:rPr>
              <w:drawing>
                <wp:inline>
                  <wp:extent cx="5334000" cy="6096000"/>
                  <wp:effectExtent b="0" l="0" r="0" t="0"/>
                  <wp:docPr descr="" title="" id="28" name="Picture"/>
                  <a:graphic>
                    <a:graphicData uri="http://schemas.openxmlformats.org/drawingml/2006/picture">
                      <pic:pic>
                        <pic:nvPicPr>
                          <pic:cNvPr descr="index_files/figure-docx/fig-flow-1.png" id="29" name="Picture"/>
                          <pic:cNvPicPr>
                            <a:picLocks noChangeArrowheads="1" noChangeAspect="1"/>
                          </pic:cNvPicPr>
                        </pic:nvPicPr>
                        <pic:blipFill>
                          <a:blip r:embed="rId27"/>
                          <a:stretch>
                            <a:fillRect/>
                          </a:stretch>
                        </pic:blipFill>
                        <pic:spPr bwMode="auto">
                          <a:xfrm>
                            <a:off x="0" y="0"/>
                            <a:ext cx="5334000" cy="6096000"/>
                          </a:xfrm>
                          <a:prstGeom prst="rect">
                            <a:avLst/>
                          </a:prstGeom>
                          <a:noFill/>
                          <a:ln w="9525">
                            <a:noFill/>
                            <a:headEnd/>
                            <a:tailEnd/>
                          </a:ln>
                        </pic:spPr>
                      </pic:pic>
                    </a:graphicData>
                  </a:graphic>
                </wp:inline>
              </w:drawing>
            </w:r>
          </w:p>
          <w:p>
            <w:pPr>
              <w:keepNext/>
              <w:keepLines/>
              <w:spacing w:before="0" w:after="20"/>
              <w:jc w:val="center"/>
            </w:pPr>
            <w:pPr>
              <w:jc w:val="left"/>
              <w:spacing w:before="200"/>
              <w:pStyle w:val="ImageCaption"/>
            </w:pPr>
            <w:r>
              <w:rPr>
                <w:rFonts w:ascii="Arial" w:hAnsi="Arial"/>
                <w:b/>
                <w:sz w:val="18"/>
              </w:rPr>
              <w:t xml:space="preserve">Figure 1: CONSORT-style construction of the heart-failure cohort. Side boxes list exclusions and unweighted counts; the final branches show complete-case sample sizes.</w:t>
            </w:r>
          </w:p>
          <w:bookmarkEnd w:id="30"/>
        </w:tc>
      </w:tr>
    </w:tbl>
    <w:bookmarkEnd w:id="31"/>
    <w:bookmarkStart w:id="32" w:name="table-1.-baseline-characteristics"/>
    <w:p>
      <w:pPr>
        <w:pStyle w:val="Heading3"/>
      </w:pPr>
      <w:r>
        <w:rPr>
          <w:sz w:val="20"/>
        </w:rPr>
        <w:t xml:space="preserve">Table 1. Baseline characteristics</w:t>
      </w:r>
    </w:p>
    <w:p>
      <w:pPr>
        <w:pStyle w:val="FirstParagraph"/>
      </w:pPr>
      <w:r>
        <w:rPr>
          <w:sz w:val="20"/>
        </w:rPr>
        <w:t xml:space="preserve">Values are unweighted counts with survey-weighted percentages, except continuous characteristics, which are medians and interquartile ranges. Standardized mean differences describe balance; no P values are reported. Counts of 1–10 are shown as ≤10; * denotes complementary suppression. Percentages use nonmissing survey-weighted denominators.</w:t>
      </w:r>
    </w:p>
    <w:tbl>
      <w:tblPr>
        <w:tblStyle w:val="Table"/>
        <w:tblW w:type="pct" w:w="5000"/>
        <w:tblLayout w:type="fixed"/>
        <w:tblLook w:firstRow="1" w:lastRow="0" w:firstColumn="0" w:lastColumn="0" w:noHBand="0" w:noVBand="0" w:val="0020"/>
      </w:tblPr>
      <w:tblGrid>
        <w:gridCol w:w="3960"/>
        <w:gridCol w:w="2736"/>
        <w:gridCol w:w="1944"/>
        <w:gridCol w:w="1944"/>
        <w:gridCol w:w="1944"/>
        <w:gridCol w:w="1930"/>
      </w:tblGrid>
      <w:tr>
        <w:trPr>
          <w:tblHeader w:val="on"/>
          <w:cantSplit/>
        </w:trPr>
        <w:tc>
          <w:tcPr>
            <w:tcW w:type="dxa" w:w="3960"/>
            <w:tcMar>
              <w:top w:w="35" w:type="dxa"/>
              <w:left w:w="140" w:type="dxa"/>
              <w:bottom w:w="35" w:type="dxa"/>
              <w:right w:w="140" w:type="dxa"/>
            </w:tcMar>
          </w:tcPr>
          <w:p>
            <w:pPr>
              <w:pStyle w:val="Compact"/>
              <w:keepNext/>
              <w:keepLines/>
              <w:spacing w:before="0" w:after="20"/>
              <w:jc w:val="left"/>
            </w:pPr>
            <w:r>
              <w:rPr>
                <w:rFonts w:ascii="Arial" w:hAnsi="Arial"/>
                <w:b/>
                <w:sz w:val="18"/>
              </w:rPr>
              <w:t xml:space="preserve">Characteristic</w:t>
            </w:r>
          </w:p>
        </w:tc>
        <w:tc>
          <w:tcPr>
            <w:tcW w:type="dxa" w:w="2736"/>
            <w:tcMar>
              <w:top w:w="35" w:type="dxa"/>
              <w:left w:w="140" w:type="dxa"/>
              <w:bottom w:w="35" w:type="dxa"/>
              <w:right w:w="140" w:type="dxa"/>
            </w:tcMar>
          </w:tcPr>
          <w:p>
            <w:pPr>
              <w:pStyle w:val="Compact"/>
              <w:keepNext/>
              <w:keepLines/>
              <w:spacing w:before="0" w:after="20"/>
              <w:jc w:val="left"/>
            </w:pPr>
            <w:r>
              <w:rPr>
                <w:rFonts w:ascii="Arial" w:hAnsi="Arial"/>
                <w:b/>
                <w:sz w:val="18"/>
              </w:rPr>
              <w:t xml:space="preserve">Category</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Overall</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 hospital</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 hospital</w:t>
            </w:r>
          </w:p>
        </w:tc>
        <w:tc>
          <w:tcPr>
            <w:tcW w:type="dxa" w:w="1930"/>
            <w:tcMar>
              <w:top w:w="35" w:type="dxa"/>
              <w:left w:w="140" w:type="dxa"/>
              <w:bottom w:w="35" w:type="dxa"/>
              <w:right w:w="140" w:type="dxa"/>
            </w:tcMar>
          </w:tcPr>
          <w:p>
            <w:pPr>
              <w:pStyle w:val="Compact"/>
              <w:keepNext/>
              <w:keepLines/>
              <w:spacing w:before="0" w:after="20"/>
              <w:jc w:val="left"/>
            </w:pPr>
            <w:r>
              <w:rPr>
                <w:rFonts w:ascii="Arial" w:hAnsi="Arial"/>
                <w:b/>
                <w:sz w:val="18"/>
              </w:rPr>
              <w:t xml:space="preserve">Standardized mean difference</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Age, 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Median (IQR)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73 (63-83)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74 (63-83)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72 (61-81)</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-0.159</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Female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249,243 (48.2%)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197,774 (48.7%)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51,469 (46.4%)</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0.046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Male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269,743 (51.8%)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209,375 (51.3%)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60,368 (53.6%)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Medicare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399,008 (77.1%)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316,768 (78.0%)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82,240 (74.0%)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0.102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Medicaid</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58,832 (11.0%)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43,014 (10.3%)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15,818 (13.5%)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41,915 (8.2%)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32,601 (8.1%)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9,314 (8.4%)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18,679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14,353 (3.6%)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4,326 (4.1%)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1 (lowest income)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165,371 (34.1%)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126,422 (33.3%)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38,949 (37.3%)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0.086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138,528 (27.5%)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109,096 (27.6%)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29,432 (27.1%)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118,574 (22.3%)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94,689 (22.8%)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23,885 (20.7%)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4 (highest income)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90,972 (16.0%)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72,627 (16.3%)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18,345 (14.8%)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Metro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447,591 (84.4%)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355,267 (85.5%)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92,324 (80.2%)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0.141</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Non-metro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67,757 (15.6%)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49,673 (14.5%)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18,084 (19.8%)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Small</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94,958 (19.3%)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67,858 (17.5%)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27,100 (25.6%)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0.199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Medium</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149,640 (27.9%)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116,301 (27.7%)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33,339 (28.8%)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Large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274,388 (52.8%)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222,990 (54.8%)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51,398 (45.5%)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Nonteaching urban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119,815 (21.5%)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90,646 (20.7%)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29,169 (24.3%)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0.143</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Teaching urban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357,007 (68.5%)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285,236 (69.9%)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71,771 (63.2%)</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Rural</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42,164 (10.0%)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31,267 (9.4%)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10,897 (12.4%)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Government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56,042 (10.3%)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43,099 (10.1%)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12,943 (11.1%)</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0.108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 nonprofit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385,110 (75.3%)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306,434 (76.3%)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78,676 (71.6%)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 for-profit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77,834 (14.4%)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57,616 (13.6%)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20,218 (17.4%)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4,260 (1.0%)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2,149 (0.7%)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2,111 (2.3%)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0.272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31,311 (6.9%)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19,517 (5.5%)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11,794 (12.0%)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122,662 (23.7%)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91,856 (22.7%)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30,806 (27.3%)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360,753 (68.4%)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293,627 (71.2%)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67,126 (58.3%)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 length of stay, 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Median (IQR)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-0.006</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Routine discharge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195,395 (48.6%)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0.118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Other facility</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105,739 (20.6%)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80,800 (20.1%)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24,939 (22.4%)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Home health</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160,593 (30.1%)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130,954 (31.2%)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29,639 (25.9%)</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Missing/unknown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Minor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24,768 (4.8%)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18,594 (4.5%)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6,174 (5.6%)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0.049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Unknown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Moderate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156,994 (30.3%)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121,645 (29.9%)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35,349 (31.7%)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Major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Extreme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82,924 (15.9%)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65,310 (16.0%)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17,614 (15.5%)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1–7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159,007 (30.6%)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123,257 (30.2%)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35,750 (31.9%)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0.037</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8–14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136,732 (26.3%)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107,829 (26.5%)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28,903 (25.8%)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15–30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223,247 (43.1%)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176,063 (43.3%)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47,184 (42.3%)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316,870 (61.0%)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249,628 (61.2%)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67,242 (60.2%)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202,116 (39.0%)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157,521 (38.8%)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44,595 (39.8%)</w:t>
            </w:r>
          </w:p>
        </w:tc>
        <w:tc>
          <w:tcPr>
            <w:tcW w:type="dxa" w:w="1930"/>
            <w:tcMar>
              <w:top w:w="35" w:type="dxa"/>
              <w:left w:w="140" w:type="dxa"/>
              <w:bottom w:w="35" w:type="dxa"/>
              <w:right w:w="140" w:type="dxa"/>
            </w:tcMar>
          </w:tcPr>
          <w:p>
            <w:pPr>
              <w:pStyle w:val="Compact"/>
              <w:keepLines/>
              <w:spacing w:before="0" w:after="20"/>
            </w:pPr>
          </w:p>
        </w:tc>
      </w:tr>
    </w:tbl>
    <w:bookmarkEnd w:id="32"/>
    <w:bookmarkStart w:id="33" w:name="table-2.-unadjusted-outcomes"/>
    <w:p>
      <w:pPr>
        <w:pStyle w:val="Heading3"/>
      </w:pPr>
      <w:r>
        <w:rPr>
          <w:sz w:val="20"/>
        </w:rPr>
        <w:t xml:space="preserve">Table 2. Unadjusted outcomes</w:t>
      </w:r>
    </w:p>
    <w:p>
      <w:pPr>
        <w:pStyle w:val="FirstParagraph"/>
      </w:pPr>
      <w:r>
        <w:rPr>
          <w:sz w:val="20"/>
        </w:rPr>
        <w:t xml:space="preserve">Event counts are unweighted; risks and 95% confidence intervals are survey-weighted. Denominators differ by outcome and are shown for each row.</w:t>
      </w:r>
    </w:p>
    <w:tbl>
      <w:tblPr>
        <w:tblStyle w:val="Table"/>
        <w:tblW w:type="pct" w:w="5000"/>
        <w:tblLayout w:type="fixed"/>
        <w:tblLook w:firstRow="1" w:lastRow="0" w:firstColumn="0" w:lastColumn="0" w:noHBand="0" w:noVBand="0" w:val="0020"/>
      </w:tblPr>
      <w:tblGrid>
        <w:gridCol w:w="3384"/>
        <w:gridCol w:w="2232"/>
        <w:gridCol w:w="1872"/>
        <w:gridCol w:w="2232"/>
        <w:gridCol w:w="5242"/>
      </w:tblGrid>
      <w:tr>
        <w:trPr>
          <w:tblHeader w:val="on"/>
          <w:cantSplit/>
        </w:trPr>
        <w:tc>
          <w:tcPr>
            <w:tcW w:type="dxa" w:w="3384"/>
            <w:tcMar>
              <w:top w:w="35" w:type="dxa"/>
              <w:left w:w="140" w:type="dxa"/>
              <w:bottom w:w="35" w:type="dxa"/>
              <w:right w:w="140" w:type="dxa"/>
            </w:tcMar>
          </w:tcPr>
          <w:p>
            <w:pPr>
              <w:pStyle w:val="Compact"/>
              <w:keepNext/>
              <w:keepLines/>
              <w:spacing w:before="0" w:after="20"/>
              <w:jc w:val="left"/>
            </w:pPr>
            <w:r>
              <w:rPr>
                <w:rFonts w:ascii="Arial" w:hAnsi="Arial"/>
                <w:b/>
                <w:sz w:val="18"/>
              </w:rPr>
              <w:t xml:space="preserve">Outcome</w:t>
            </w:r>
          </w:p>
        </w:tc>
        <w:tc>
          <w:tcPr>
            <w:tcW w:type="dxa" w:w="2232"/>
            <w:tcMar>
              <w:top w:w="35" w:type="dxa"/>
              <w:left w:w="140" w:type="dxa"/>
              <w:bottom w:w="35" w:type="dxa"/>
              <w:right w:w="140" w:type="dxa"/>
            </w:tcMar>
          </w:tcPr>
          <w:p>
            <w:pPr>
              <w:pStyle w:val="Compact"/>
              <w:keepNext/>
              <w:keepLines/>
              <w:spacing w:before="0" w:after="20"/>
              <w:jc w:val="left"/>
            </w:pPr>
            <w:r>
              <w:rPr>
                <w:rFonts w:ascii="Arial" w:hAnsi="Arial"/>
                <w:b/>
                <w:sz w:val="18"/>
              </w:rPr>
              <w:t xml:space="preserve">First-readmission hospital</w:t>
            </w:r>
          </w:p>
        </w:tc>
        <w:tc>
          <w:tcPr>
            <w:tcW w:type="dxa" w:w="1872"/>
            <w:tcMar>
              <w:top w:w="35" w:type="dxa"/>
              <w:left w:w="140" w:type="dxa"/>
              <w:bottom w:w="35" w:type="dxa"/>
              <w:right w:w="140" w:type="dxa"/>
            </w:tcMar>
          </w:tcPr>
          <w:p>
            <w:pPr>
              <w:pStyle w:val="Compact"/>
              <w:keepNext/>
              <w:keepLines/>
              <w:spacing w:before="0" w:after="20"/>
              <w:jc w:val="left"/>
            </w:pPr>
            <w:r>
              <w:rPr>
                <w:rFonts w:ascii="Arial" w:hAnsi="Arial"/>
                <w:b/>
                <w:sz w:val="18"/>
              </w:rPr>
              <w:t xml:space="preserve">Events, unweighted n</w:t>
            </w:r>
          </w:p>
        </w:tc>
        <w:tc>
          <w:tcPr>
            <w:tcW w:type="dxa" w:w="2232"/>
            <w:tcMar>
              <w:top w:w="35" w:type="dxa"/>
              <w:left w:w="140" w:type="dxa"/>
              <w:bottom w:w="35" w:type="dxa"/>
              <w:right w:w="140" w:type="dxa"/>
            </w:tcMar>
          </w:tcPr>
          <w:p>
            <w:pPr>
              <w:pStyle w:val="Compact"/>
              <w:keepNext/>
              <w:keepLines/>
              <w:spacing w:before="0" w:after="20"/>
              <w:jc w:val="left"/>
            </w:pPr>
            <w:r>
              <w:rPr>
                <w:rFonts w:ascii="Arial" w:hAnsi="Arial"/>
                <w:b/>
                <w:sz w:val="18"/>
              </w:rPr>
              <w:t xml:space="preserve">Denominator, unweighted n</w:t>
            </w:r>
          </w:p>
        </w:tc>
        <w:tc>
          <w:tcPr>
            <w:tcW w:type="dxa" w:w="5242"/>
            <w:tcMar>
              <w:top w:w="35" w:type="dxa"/>
              <w:left w:w="140" w:type="dxa"/>
              <w:bottom w:w="35" w:type="dxa"/>
              <w:right w:w="140" w:type="dxa"/>
            </w:tcMar>
          </w:tcPr>
          <w:p>
            <w:pPr>
              <w:pStyle w:val="Compact"/>
              <w:keepNext/>
              <w:keepLines/>
              <w:spacing w:before="0" w:after="20"/>
              <w:jc w:val="left"/>
            </w:pPr>
            <w:r>
              <w:rPr>
                <w:rFonts w:ascii="Arial" w:hAnsi="Arial"/>
                <w:b/>
                <w:sz w:val="18"/>
              </w:rPr>
              <w:t xml:space="preserve">Weighted risk (95% CI)</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Death during first readmission or subsequent 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145,679</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407,149</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35.7% (95% CI, 35.5–35.8)</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Death during first readmission or subsequent 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42,730</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111,837</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37.9% (95% CI, 37.6–38.2)</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In-hospital death during first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25,364</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407,149</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6.1% (95% CI, 6.0–6.2)</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In-hospital death during first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8,222</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111,837</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7.2% (95% CI, 7.0–7.4)</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30-day readmission after live discharge</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120,315</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381,785</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31.5% (95% CI, 31.3–31.6)</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30-day readmission after live discharge</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34,508</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103,615</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33.1% (95% CI, 32.7–33.4)</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HF-coded subsequent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42,749</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381,785</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11.2% (95% CI, 11.1–11.3)</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HF-coded subsequent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12,093</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103,615</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11.6% (95% CI, 11.3–11.8)</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Non-elective-coded subsequent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115,562</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381,696</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30.1% (95% CI, 29.9–30.3)</w:t>
            </w:r>
          </w:p>
        </w:tc>
      </w:tr>
      <w:tr>
        <w:trPr>
          <w:cantSplit/>
        </w:trPr>
        <w:tc>
          <w:tcPr>
            <w:tcW w:type="dxa" w:w="3384"/>
            <w:tcMar>
              <w:top w:w="35" w:type="dxa"/>
              <w:left w:w="140" w:type="dxa"/>
              <w:bottom w:w="35" w:type="dxa"/>
              <w:right w:w="140" w:type="dxa"/>
            </w:tcMar>
          </w:tcPr>
          <w:p>
            <w:pPr>
              <w:pStyle w:val="Compact"/>
              <w:keepLines/>
              <w:spacing w:before="0" w:after="20"/>
              <w:jc w:val="left"/>
            </w:pPr>
            <w:r>
              <w:rPr>
                <w:rFonts w:ascii="Arial" w:hAnsi="Arial"/>
                <w:sz w:val="18"/>
              </w:rPr>
              <w:t xml:space="preserve">Non-elective-coded subsequent readmission</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32,843</w:t>
            </w:r>
          </w:p>
        </w:tc>
        <w:tc>
          <w:tcPr>
            <w:tcW w:type="dxa" w:w="2232"/>
            <w:tcMar>
              <w:top w:w="35" w:type="dxa"/>
              <w:left w:w="140" w:type="dxa"/>
              <w:bottom w:w="35" w:type="dxa"/>
              <w:right w:w="140" w:type="dxa"/>
            </w:tcMar>
          </w:tcPr>
          <w:p>
            <w:pPr>
              <w:pStyle w:val="Compact"/>
              <w:keepLines/>
              <w:spacing w:before="0" w:after="20"/>
              <w:jc w:val="left"/>
            </w:pPr>
            <w:r>
              <w:rPr>
                <w:rFonts w:ascii="Arial" w:hAnsi="Arial"/>
                <w:sz w:val="18"/>
              </w:rPr>
              <w:t xml:space="preserve">103,592</w:t>
            </w:r>
          </w:p>
        </w:tc>
        <w:tc>
          <w:tcPr>
            <w:tcW w:type="dxa" w:w="5242"/>
            <w:tcMar>
              <w:top w:w="35" w:type="dxa"/>
              <w:left w:w="140" w:type="dxa"/>
              <w:bottom w:w="35" w:type="dxa"/>
              <w:right w:w="140" w:type="dxa"/>
            </w:tcMar>
          </w:tcPr>
          <w:p>
            <w:pPr>
              <w:pStyle w:val="Compact"/>
              <w:keepLines/>
              <w:spacing w:before="0" w:after="20"/>
              <w:jc w:val="left"/>
            </w:pPr>
            <w:r>
              <w:rPr>
                <w:rFonts w:ascii="Arial" w:hAnsi="Arial"/>
                <w:sz w:val="18"/>
              </w:rPr>
              <w:t xml:space="preserve">31.4% (95% CI, 31.1–31.7)</w:t>
            </w:r>
          </w:p>
        </w:tc>
      </w:tr>
    </w:tbl>
    <w:bookmarkEnd w:id="33"/>
    <w:bookmarkStart w:id="34" w:name="table-3.-adjusted-outcomes"/>
    <w:p>
      <w:pPr>
        <w:pStyle w:val="Heading3"/>
      </w:pPr>
      <w:r>
        <w:rPr>
          <w:sz w:val="20"/>
        </w:rPr>
        <w:t xml:space="preserve">Table 3. Adjusted outcomes</w:t>
      </w:r>
    </w:p>
    <w:p>
      <w:pPr>
        <w:pStyle w:val="FirstParagraph"/>
      </w:pPr>
      <w:r>
        <w:rPr>
          <w:sz w:val="20"/>
        </w:rPr>
        <w:t xml:space="preserve">Adjusted risks were standardized over each outcome-specific analysis population. Risk differences are different hospital minus same hospital and are expressed in percentage points. Risk ratios are secondary measures.</w:t>
      </w:r>
    </w:p>
    <w:tbl>
      <w:tblPr>
        <w:tblStyle w:val="Table"/>
        <w:tblW w:type="pct" w:w="5000"/>
        <w:tblLayout w:type="fixed"/>
        <w:tblLook w:firstRow="1" w:lastRow="0" w:firstColumn="0" w:lastColumn="0" w:noHBand="0" w:noVBand="0" w:val="0020"/>
      </w:tblPr>
      <w:tblGrid>
        <w:gridCol w:w="2664"/>
        <w:gridCol w:w="1368"/>
        <w:gridCol w:w="2088"/>
        <w:gridCol w:w="2088"/>
        <w:gridCol w:w="3024"/>
        <w:gridCol w:w="2016"/>
        <w:gridCol w:w="1210"/>
      </w:tblGrid>
      <w:tr>
        <w:trPr>
          <w:tblHeader w:val="on"/>
          <w:cantSplit/>
        </w:trPr>
        <w:tc>
          <w:tcPr>
            <w:tcW w:type="dxa" w:w="2664"/>
            <w:tcMar>
              <w:top w:w="35" w:type="dxa"/>
              <w:left w:w="140" w:type="dxa"/>
              <w:bottom w:w="35" w:type="dxa"/>
              <w:right w:w="140" w:type="dxa"/>
            </w:tcMar>
          </w:tcPr>
          <w:p>
            <w:pPr>
              <w:pStyle w:val="Compact"/>
              <w:keepNext/>
              <w:keepLines/>
              <w:spacing w:before="0" w:after="20"/>
              <w:jc w:val="left"/>
            </w:pPr>
            <w:r>
              <w:rPr>
                <w:rFonts w:ascii="Arial" w:hAnsi="Arial"/>
                <w:b/>
                <w:sz w:val="18"/>
              </w:rPr>
              <w:t xml:space="preserve">Outcome</w:t>
            </w:r>
          </w:p>
        </w:tc>
        <w:tc>
          <w:tcPr>
            <w:tcW w:type="dxa" w:w="1368"/>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 population, unweighted n</w:t>
            </w:r>
          </w:p>
        </w:tc>
        <w:tc>
          <w:tcPr>
            <w:tcW w:type="dxa" w:w="2088"/>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Same-hospital adjusted risk</w:t>
            </w:r>
          </w:p>
        </w:tc>
        <w:tc>
          <w:tcPr>
            <w:tcW w:type="dxa" w:w="2088"/>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Different-hospital adjusted risk</w:t>
            </w:r>
          </w:p>
        </w:tc>
        <w:tc>
          <w:tcPr>
            <w:tcW w:type="dxa" w:w="3024"/>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difference</w:t>
            </w:r>
          </w:p>
        </w:tc>
        <w:tc>
          <w:tcPr>
            <w:tcW w:type="dxa" w:w="2016"/>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ratio</w:t>
            </w:r>
          </w:p>
        </w:tc>
        <w:tc>
          <w:tcPr>
            <w:tcW w:type="dxa" w:w="1210"/>
            <w:tcMar>
              <w:top w:w="35" w:type="dxa"/>
              <w:left w:w="140" w:type="dxa"/>
              <w:bottom w:w="35" w:type="dxa"/>
              <w:right w:w="140" w:type="dxa"/>
            </w:tcMar>
          </w:tcPr>
          <w:p>
            <w:pPr>
              <w:pStyle w:val="Compact"/>
              <w:keepNext/>
              <w:keepLines/>
              <w:spacing w:before="0" w:after="20"/>
              <w:jc w:val="left"/>
            </w:pPr>
            <w:r>
              <w:rPr>
                <w:rFonts w:ascii="Arial" w:hAnsi="Arial"/>
                <w:b/>
                <w:sz w:val="18"/>
              </w:rPr>
              <w:t xml:space="preserve">P value</w:t>
            </w:r>
          </w:p>
        </w:tc>
      </w:tr>
      <w:tr>
        <w:trPr>
          <w:cantSplit/>
        </w:trPr>
        <w:tc>
          <w:tcPr>
            <w:tcW w:type="dxa" w:w="2664"/>
            <w:tcMar>
              <w:top w:w="35" w:type="dxa"/>
              <w:left w:w="140" w:type="dxa"/>
              <w:bottom w:w="35" w:type="dxa"/>
              <w:right w:w="140" w:type="dxa"/>
            </w:tcMar>
          </w:tcPr>
          <w:p>
            <w:pPr>
              <w:pStyle w:val="Compact"/>
              <w:keepLines/>
              <w:spacing w:before="0" w:after="20"/>
              <w:jc w:val="left"/>
            </w:pPr>
            <w:r>
              <w:rPr>
                <w:rFonts w:ascii="Arial" w:hAnsi="Arial"/>
                <w:sz w:val="18"/>
              </w:rPr>
              <w:t xml:space="preserve">Primary: death during first readmission or subsequent admission</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35.6% (95% CI, 35.5–35.8)</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37.6% (95% CI, 37.3–38.0)</w:t>
            </w:r>
          </w:p>
        </w:tc>
        <w:tc>
          <w:tcPr>
            <w:tcW w:type="dxa" w:w="3024"/>
            <w:tcMar>
              <w:top w:w="35" w:type="dxa"/>
              <w:left w:w="140" w:type="dxa"/>
              <w:bottom w:w="35" w:type="dxa"/>
              <w:right w:w="140" w:type="dxa"/>
            </w:tcMar>
          </w:tcPr>
          <w:p>
            <w:pPr>
              <w:pStyle w:val="Compact"/>
              <w:keepLines/>
              <w:spacing w:before="0" w:after="20"/>
              <w:jc w:val="left"/>
            </w:pPr>
            <w:r>
              <w:rPr>
                <w:rFonts w:ascii="Arial" w:hAnsi="Arial"/>
                <w:sz w:val="18"/>
              </w:rPr>
              <w:t xml:space="preserve">+2.00 percentage points (95% CI, +1.64 to +2.36)</w:t>
            </w:r>
          </w:p>
        </w:tc>
        <w:tc>
          <w:tcPr>
            <w:tcW w:type="dxa" w:w="201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c>
          <w:tcPr>
            <w:tcW w:type="dxa" w:w="1210"/>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2664"/>
            <w:tcMar>
              <w:top w:w="35" w:type="dxa"/>
              <w:left w:w="140" w:type="dxa"/>
              <w:bottom w:w="35" w:type="dxa"/>
              <w:right w:w="140" w:type="dxa"/>
            </w:tcMar>
          </w:tcPr>
          <w:p>
            <w:pPr>
              <w:pStyle w:val="Compact"/>
              <w:keepLines/>
              <w:spacing w:before="0" w:after="20"/>
              <w:jc w:val="left"/>
            </w:pPr>
            <w:r>
              <w:rPr>
                <w:rFonts w:ascii="Arial" w:hAnsi="Arial"/>
                <w:sz w:val="18"/>
              </w:rPr>
              <w:t xml:space="preserve">In-hospital death during first readmission</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6.1% (95% CI, 6.0–6.2)</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7.4% (95% CI, 7.2–7.6)</w:t>
            </w:r>
          </w:p>
        </w:tc>
        <w:tc>
          <w:tcPr>
            <w:tcW w:type="dxa" w:w="3024"/>
            <w:tcMar>
              <w:top w:w="35" w:type="dxa"/>
              <w:left w:w="140" w:type="dxa"/>
              <w:bottom w:w="35" w:type="dxa"/>
              <w:right w:w="140" w:type="dxa"/>
            </w:tcMar>
          </w:tcPr>
          <w:p>
            <w:pPr>
              <w:pStyle w:val="Compact"/>
              <w:keepLines/>
              <w:spacing w:before="0" w:after="20"/>
              <w:jc w:val="left"/>
            </w:pPr>
            <w:r>
              <w:rPr>
                <w:rFonts w:ascii="Arial" w:hAnsi="Arial"/>
                <w:sz w:val="18"/>
              </w:rPr>
              <w:t xml:space="preserve">+1.26 percentage points (95% CI, +1.06 to +1.45)</w:t>
            </w:r>
          </w:p>
        </w:tc>
        <w:tc>
          <w:tcPr>
            <w:tcW w:type="dxa" w:w="2016"/>
            <w:tcMar>
              <w:top w:w="35" w:type="dxa"/>
              <w:left w:w="140" w:type="dxa"/>
              <w:bottom w:w="35" w:type="dxa"/>
              <w:right w:w="140" w:type="dxa"/>
            </w:tcMar>
          </w:tcPr>
          <w:p>
            <w:pPr>
              <w:pStyle w:val="Compact"/>
              <w:keepLines/>
              <w:spacing w:before="0" w:after="20"/>
              <w:jc w:val="left"/>
            </w:pPr>
            <w:r>
              <w:rPr>
                <w:rFonts w:ascii="Arial" w:hAnsi="Arial"/>
                <w:sz w:val="18"/>
              </w:rPr>
              <w:t xml:space="preserve">1.21, 95% CI 1.17–1.24</w:t>
            </w:r>
          </w:p>
        </w:tc>
        <w:tc>
          <w:tcPr>
            <w:tcW w:type="dxa" w:w="1210"/>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2664"/>
            <w:tcMar>
              <w:top w:w="35" w:type="dxa"/>
              <w:left w:w="140" w:type="dxa"/>
              <w:bottom w:w="35" w:type="dxa"/>
              <w:right w:w="140" w:type="dxa"/>
            </w:tcMar>
          </w:tcPr>
          <w:p>
            <w:pPr>
              <w:pStyle w:val="Compact"/>
              <w:keepLines/>
              <w:spacing w:before="0" w:after="20"/>
              <w:jc w:val="left"/>
            </w:pPr>
            <w:r>
              <w:rPr>
                <w:rFonts w:ascii="Arial" w:hAnsi="Arial"/>
                <w:sz w:val="18"/>
              </w:rPr>
              <w:t xml:space="preserve">30-day readmission after live discharge</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476,177</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31.5% (95% CI, 31.3–31.6)</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32.7% (95% CI, 32.3–33.0)</w:t>
            </w:r>
          </w:p>
        </w:tc>
        <w:tc>
          <w:tcPr>
            <w:tcW w:type="dxa" w:w="3024"/>
            <w:tcMar>
              <w:top w:w="35" w:type="dxa"/>
              <w:left w:w="140" w:type="dxa"/>
              <w:bottom w:w="35" w:type="dxa"/>
              <w:right w:w="140" w:type="dxa"/>
            </w:tcMar>
          </w:tcPr>
          <w:p>
            <w:pPr>
              <w:pStyle w:val="Compact"/>
              <w:keepLines/>
              <w:spacing w:before="0" w:after="20"/>
              <w:jc w:val="left"/>
            </w:pPr>
            <w:r>
              <w:rPr>
                <w:rFonts w:ascii="Arial" w:hAnsi="Arial"/>
                <w:sz w:val="18"/>
              </w:rPr>
              <w:t xml:space="preserve">+1.20 percentage points (95% CI, +0.84 to +1.56)</w:t>
            </w:r>
          </w:p>
        </w:tc>
        <w:tc>
          <w:tcPr>
            <w:tcW w:type="dxa" w:w="2016"/>
            <w:tcMar>
              <w:top w:w="35" w:type="dxa"/>
              <w:left w:w="140" w:type="dxa"/>
              <w:bottom w:w="35" w:type="dxa"/>
              <w:right w:w="140" w:type="dxa"/>
            </w:tcMar>
          </w:tcPr>
          <w:p>
            <w:pPr>
              <w:pStyle w:val="Compact"/>
              <w:keepLines/>
              <w:spacing w:before="0" w:after="20"/>
              <w:jc w:val="left"/>
            </w:pPr>
            <w:r>
              <w:rPr>
                <w:rFonts w:ascii="Arial" w:hAnsi="Arial"/>
                <w:sz w:val="18"/>
              </w:rPr>
              <w:t xml:space="preserve">1.04, 95% CI 1.03–1.05</w:t>
            </w:r>
          </w:p>
        </w:tc>
        <w:tc>
          <w:tcPr>
            <w:tcW w:type="dxa" w:w="1210"/>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2664"/>
            <w:tcMar>
              <w:top w:w="35" w:type="dxa"/>
              <w:left w:w="140" w:type="dxa"/>
              <w:bottom w:w="35" w:type="dxa"/>
              <w:right w:w="140" w:type="dxa"/>
            </w:tcMar>
          </w:tcPr>
          <w:p>
            <w:pPr>
              <w:pStyle w:val="Compact"/>
              <w:keepLines/>
              <w:spacing w:before="0" w:after="20"/>
              <w:jc w:val="left"/>
            </w:pPr>
            <w:r>
              <w:rPr>
                <w:rFonts w:ascii="Arial" w:hAnsi="Arial"/>
                <w:sz w:val="18"/>
              </w:rPr>
              <w:t xml:space="preserve">HF-coded subsequent readmission</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476,177</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11.1% (95% CI, 11.0–11.3)</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11.3% (95% CI, 11.1–11.5)</w:t>
            </w:r>
          </w:p>
        </w:tc>
        <w:tc>
          <w:tcPr>
            <w:tcW w:type="dxa" w:w="3024"/>
            <w:tcMar>
              <w:top w:w="35" w:type="dxa"/>
              <w:left w:w="140" w:type="dxa"/>
              <w:bottom w:w="35" w:type="dxa"/>
              <w:right w:w="140" w:type="dxa"/>
            </w:tcMar>
          </w:tcPr>
          <w:p>
            <w:pPr>
              <w:pStyle w:val="Compact"/>
              <w:keepLines/>
              <w:spacing w:before="0" w:after="20"/>
              <w:jc w:val="left"/>
            </w:pPr>
            <w:r>
              <w:rPr>
                <w:rFonts w:ascii="Arial" w:hAnsi="Arial"/>
                <w:sz w:val="18"/>
              </w:rPr>
              <w:t xml:space="preserve">+0.18 percentage points (95% CI, -0.07 to +0.42)</w:t>
            </w:r>
          </w:p>
        </w:tc>
        <w:tc>
          <w:tcPr>
            <w:tcW w:type="dxa" w:w="2016"/>
            <w:tcMar>
              <w:top w:w="35" w:type="dxa"/>
              <w:left w:w="140" w:type="dxa"/>
              <w:bottom w:w="35" w:type="dxa"/>
              <w:right w:w="140" w:type="dxa"/>
            </w:tcMar>
          </w:tcPr>
          <w:p>
            <w:pPr>
              <w:pStyle w:val="Compact"/>
              <w:keepLines/>
              <w:spacing w:before="0" w:after="20"/>
              <w:jc w:val="left"/>
            </w:pPr>
            <w:r>
              <w:rPr>
                <w:rFonts w:ascii="Arial" w:hAnsi="Arial"/>
                <w:sz w:val="18"/>
              </w:rPr>
              <w:t xml:space="preserve">1.02, 95% CI 0.99–1.04</w:t>
            </w:r>
          </w:p>
        </w:tc>
        <w:tc>
          <w:tcPr>
            <w:tcW w:type="dxa" w:w="1210"/>
            <w:tcMar>
              <w:top w:w="35" w:type="dxa"/>
              <w:left w:w="140" w:type="dxa"/>
              <w:bottom w:w="35" w:type="dxa"/>
              <w:right w:w="140" w:type="dxa"/>
            </w:tcMar>
          </w:tcPr>
          <w:p>
            <w:pPr>
              <w:pStyle w:val="Compact"/>
              <w:keepLines/>
              <w:spacing w:before="0" w:after="20"/>
              <w:jc w:val="left"/>
            </w:pPr>
            <w:r>
              <w:rPr>
                <w:rFonts w:ascii="Arial" w:hAnsi="Arial"/>
                <w:sz w:val="18"/>
              </w:rPr>
              <w:t xml:space="preserve">P = 0.157</w:t>
            </w:r>
          </w:p>
        </w:tc>
      </w:tr>
      <w:tr>
        <w:trPr>
          <w:cantSplit/>
        </w:trPr>
        <w:tc>
          <w:tcPr>
            <w:tcW w:type="dxa" w:w="2664"/>
            <w:tcMar>
              <w:top w:w="35" w:type="dxa"/>
              <w:left w:w="140" w:type="dxa"/>
              <w:bottom w:w="35" w:type="dxa"/>
              <w:right w:w="140" w:type="dxa"/>
            </w:tcMar>
          </w:tcPr>
          <w:p>
            <w:pPr>
              <w:pStyle w:val="Compact"/>
              <w:keepLines/>
              <w:spacing w:before="0" w:after="20"/>
              <w:jc w:val="left"/>
            </w:pPr>
            <w:r>
              <w:rPr>
                <w:rFonts w:ascii="Arial" w:hAnsi="Arial"/>
                <w:sz w:val="18"/>
              </w:rPr>
              <w:t xml:space="preserve">Non-elective-coded subsequent readmission</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476,068</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30.1% (95% CI, 29.9–30.3)</w:t>
            </w:r>
          </w:p>
        </w:tc>
        <w:tc>
          <w:tcPr>
            <w:tcW w:type="dxa" w:w="2088"/>
            <w:tcMar>
              <w:top w:w="35" w:type="dxa"/>
              <w:left w:w="140" w:type="dxa"/>
              <w:bottom w:w="35" w:type="dxa"/>
              <w:right w:w="140" w:type="dxa"/>
            </w:tcMar>
          </w:tcPr>
          <w:p>
            <w:pPr>
              <w:pStyle w:val="Compact"/>
              <w:keepLines/>
              <w:spacing w:before="0" w:after="20"/>
              <w:jc w:val="left"/>
            </w:pPr>
            <w:r>
              <w:rPr>
                <w:rFonts w:ascii="Arial" w:hAnsi="Arial"/>
                <w:sz w:val="18"/>
              </w:rPr>
              <w:t xml:space="preserve">31.0% (95% CI, 30.7–31.4)</w:t>
            </w:r>
          </w:p>
        </w:tc>
        <w:tc>
          <w:tcPr>
            <w:tcW w:type="dxa" w:w="3024"/>
            <w:tcMar>
              <w:top w:w="35" w:type="dxa"/>
              <w:left w:w="140" w:type="dxa"/>
              <w:bottom w:w="35" w:type="dxa"/>
              <w:right w:w="140" w:type="dxa"/>
            </w:tcMar>
          </w:tcPr>
          <w:p>
            <w:pPr>
              <w:pStyle w:val="Compact"/>
              <w:keepLines/>
              <w:spacing w:before="0" w:after="20"/>
              <w:jc w:val="left"/>
            </w:pPr>
            <w:r>
              <w:rPr>
                <w:rFonts w:ascii="Arial" w:hAnsi="Arial"/>
                <w:sz w:val="18"/>
              </w:rPr>
              <w:t xml:space="preserve">+0.94 percentage points (95% CI, +0.59 to +1.29)</w:t>
            </w:r>
          </w:p>
        </w:tc>
        <w:tc>
          <w:tcPr>
            <w:tcW w:type="dxa" w:w="2016"/>
            <w:tcMar>
              <w:top w:w="35" w:type="dxa"/>
              <w:left w:w="140" w:type="dxa"/>
              <w:bottom w:w="35" w:type="dxa"/>
              <w:right w:w="140" w:type="dxa"/>
            </w:tcMar>
          </w:tcPr>
          <w:p>
            <w:pPr>
              <w:pStyle w:val="Compact"/>
              <w:keepLines/>
              <w:spacing w:before="0" w:after="20"/>
              <w:jc w:val="left"/>
            </w:pPr>
            <w:r>
              <w:rPr>
                <w:rFonts w:ascii="Arial" w:hAnsi="Arial"/>
                <w:sz w:val="18"/>
              </w:rPr>
              <w:t xml:space="preserve">1.03, 95% CI 1.02–1.04</w:t>
            </w:r>
          </w:p>
        </w:tc>
        <w:tc>
          <w:tcPr>
            <w:tcW w:type="dxa" w:w="1210"/>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bl>
    <w:bookmarkEnd w:id="34"/>
    <w:bookmarkStart w:id="39" w:name="figure-2.-adjusted-risk-differences"/>
    <w:p>
      <w:pPr>
        <w:pStyle w:val="Heading3"/>
      </w:pPr>
      <w:r>
        <w:rPr>
          <w:sz w:val="20"/>
        </w:rPr>
        <w:t xml:space="preserve">Figure 2. Adjusted risk differences</w:t>
      </w:r>
    </w:p>
    <w:p>
      <w:pPr>
        <w:pStyle w:val="FirstParagraph"/>
      </w:pPr>
      <w:r>
        <w:rPr>
          <w:sz w:val="20"/>
        </w:rPr>
        <w:t xml:space="preserve">Points show adjusted risk differences (different hospital minus same hospital) in percentage points; horizontal lines show 95% confidence intervals. The vertical reference line marks no difference.</w:t>
      </w:r>
    </w:p>
    <w:tbl>
      <w:tblPr>
        <w:tblStyle w:val="Table"/>
        <w:tblW w:type="pct" w:w="5000"/>
        <w:tblLayout w:type="fixed"/>
        <w:tblLook w:firstRow="0" w:lastRow="0" w:firstColumn="0" w:lastColumn="0" w:noHBand="0" w:noVBand="0" w:val="0000"/>
      </w:tblPr>
      <w:tblGrid>
        <w:gridCol w:w="14458"/>
      </w:tblGrid>
      <w:tr>
        <w:trPr>
          <w:cantSplit/>
          <w:tblHeader w:val="true"/>
        </w:trPr>
        <w:tc>
          <w:tcPr>
            <w:tcW w:type="dxa" w:w="14458"/>
            <w:tcMar>
              <w:top w:w="35" w:type="dxa"/>
              <w:left w:w="140" w:type="dxa"/>
              <w:bottom w:w="35" w:type="dxa"/>
              <w:right w:w="140" w:type="dxa"/>
            </w:tcMar>
          </w:tcPr>
          <w:bookmarkStart w:id="38" w:name="fig-adjusted"/>
          <w:p>
            <w:pPr>
              <w:pStyle w:val="Compact"/>
              <w:keepNext/>
              <w:keepLines/>
              <w:spacing w:before="0" w:after="20"/>
              <w:jc w:val="center"/>
            </w:pPr>
            <w:r>
              <w:rPr>
                <w:rFonts w:ascii="Arial" w:hAnsi="Arial"/>
                <w:b/>
                <w:sz w:val="18"/>
              </w:rPr>
              <w:drawing>
                <wp:inline>
                  <wp:extent cx="5334000" cy="2798960"/>
                  <wp:effectExtent b="0" l="0" r="0" t="0"/>
                  <wp:docPr descr="" title="" id="36" name="Picture"/>
                  <a:graphic>
                    <a:graphicData uri="http://schemas.openxmlformats.org/drawingml/2006/picture">
                      <pic:pic>
                        <pic:nvPicPr>
                          <pic:cNvPr descr="index_files/figure-docx/fig-adjusted-1.png" id="37" name="Picture"/>
                          <pic:cNvPicPr>
                            <a:picLocks noChangeArrowheads="1" noChangeAspect="1"/>
                          </pic:cNvPicPr>
                        </pic:nvPicPr>
                        <pic:blipFill>
                          <a:blip r:embed="rId35"/>
                          <a:stretch>
                            <a:fillRect/>
                          </a:stretch>
                        </pic:blipFill>
                        <pic:spPr bwMode="auto">
                          <a:xfrm>
                            <a:off x="0" y="0"/>
                            <a:ext cx="5334000" cy="2798960"/>
                          </a:xfrm>
                          <a:prstGeom prst="rect">
                            <a:avLst/>
                          </a:prstGeom>
                          <a:noFill/>
                          <a:ln w="9525">
                            <a:noFill/>
                            <a:headEnd/>
                            <a:tailEnd/>
                          </a:ln>
                        </pic:spPr>
                      </pic:pic>
                    </a:graphicData>
                  </a:graphic>
                </wp:inline>
              </w:drawing>
            </w:r>
          </w:p>
          <w:p>
            <w:pPr>
              <w:keepNext/>
              <w:keepLines/>
              <w:spacing w:before="0" w:after="20"/>
              <w:jc w:val="center"/>
            </w:pPr>
            <w:pPr>
              <w:jc w:val="left"/>
              <w:spacing w:before="200"/>
              <w:pStyle w:val="ImageCaption"/>
            </w:pPr>
            <w:r>
              <w:rPr>
                <w:rFonts w:ascii="Arial" w:hAnsi="Arial"/>
                <w:b/>
                <w:sz w:val="18"/>
              </w:rPr>
              <w:t xml:space="preserve">Figure 2: Adjusted risk differences for the primary composite and key secondary outcomes. Estimates are different-hospital minus same-hospital risk, in percentage points; bars show 95% confidence intervals.</w:t>
            </w:r>
          </w:p>
          <w:bookmarkEnd w:id="38"/>
        </w:tc>
      </w:tr>
    </w:tbl>
    <w:bookmarkEnd w:id="39"/>
    <w:bookmarkStart w:id="40" w:name="table-4.-first-readmission-resource-use"/>
    <w:p>
      <w:pPr>
        <w:pStyle w:val="Heading3"/>
      </w:pPr>
      <w:r>
        <w:rPr>
          <w:sz w:val="20"/>
        </w:rPr>
        <w:t xml:space="preserve">Table 4. First-readmission resource use</w:t>
      </w:r>
    </w:p>
    <w:p>
      <w:pPr>
        <w:pStyle w:val="FirstParagraph"/>
      </w:pPr>
      <w:r>
        <w:rPr>
          <w:sz w:val="20"/>
        </w:rPr>
        <w:t xml:space="preserve">Length of stay includes zero-day stays. Cost is total charges multiplied by the NRD cost-to-charge ratio and inflated to 2022 US dollars using CPI-U medical care. Adjusted ratios of means come from survey-weighted quasi-Poisson models with log link; weighted means, medians, and unweighted and weighted denominators are also shown.</w:t>
      </w:r>
    </w:p>
    <w:tbl>
      <w:tblPr>
        <w:tblStyle w:val="Table"/>
        <w:tblW w:type="pct" w:w="5000"/>
        <w:tblLayout w:type="fixed"/>
        <w:tblLook w:firstRow="1" w:lastRow="0" w:firstColumn="0" w:lastColumn="0" w:noHBand="0" w:noVBand="0" w:val="0020"/>
      </w:tblPr>
      <w:tblGrid>
        <w:gridCol w:w="1008"/>
        <w:gridCol w:w="1296"/>
        <w:gridCol w:w="1296"/>
        <w:gridCol w:w="1152"/>
        <w:gridCol w:w="1152"/>
        <w:gridCol w:w="1296"/>
        <w:gridCol w:w="1296"/>
        <w:gridCol w:w="1872"/>
        <w:gridCol w:w="1152"/>
        <w:gridCol w:w="2016"/>
        <w:gridCol w:w="922"/>
      </w:tblGrid>
      <w:tr>
        <w:trPr>
          <w:tblHeader w:val="on"/>
          <w:cantSplit/>
        </w:trPr>
        <w:tc>
          <w:tcPr>
            <w:tcW w:type="dxa" w:w="1008"/>
            <w:tcMar>
              <w:top w:w="35" w:type="dxa"/>
              <w:left w:w="55" w:type="dxa"/>
              <w:bottom w:w="35" w:type="dxa"/>
              <w:right w:w="55" w:type="dxa"/>
            </w:tcMar>
          </w:tcPr>
          <w:p>
            <w:pPr>
              <w:pStyle w:val="Compact"/>
              <w:keepNext/>
              <w:keepLines/>
              <w:spacing w:before="0" w:after="20"/>
              <w:jc w:val="left"/>
            </w:pPr>
            <w:r>
              <w:rPr>
                <w:rFonts w:ascii="Arial" w:hAnsi="Arial"/>
                <w:b/>
                <w:sz w:val="18"/>
              </w:rPr>
              <w:t xml:space="preserve">Measure</w:t>
            </w:r>
          </w:p>
        </w:tc>
        <w:tc>
          <w:tcPr>
            <w:tcW w:type="dxa" w:w="1296"/>
            <w:tcMar>
              <w:top w:w="35" w:type="dxa"/>
              <w:left w:w="55" w:type="dxa"/>
              <w:bottom w:w="35" w:type="dxa"/>
              <w:right w:w="55" w:type="dxa"/>
            </w:tcMar>
          </w:tcPr>
          <w:p>
            <w:pPr>
              <w:pStyle w:val="Compact"/>
              <w:keepNext/>
              <w:keepLines/>
              <w:spacing w:before="0" w:after="20"/>
              <w:jc w:val="left"/>
            </w:pPr>
            <w:r>
              <w:rPr>
                <w:rFonts w:ascii="Arial" w:hAnsi="Arial"/>
                <w:b/>
                <w:sz w:val="18"/>
              </w:rPr>
              <w:t xml:space="preserve">Same median (IQR)</w:t>
            </w:r>
          </w:p>
        </w:tc>
        <w:tc>
          <w:tcPr>
            <w:tcW w:type="dxa" w:w="1296"/>
            <w:tcMar>
              <w:top w:w="35" w:type="dxa"/>
              <w:left w:w="55" w:type="dxa"/>
              <w:bottom w:w="35" w:type="dxa"/>
              <w:right w:w="55" w:type="dxa"/>
            </w:tcMar>
          </w:tcPr>
          <w:p>
            <w:pPr>
              <w:pStyle w:val="Compact"/>
              <w:keepNext/>
              <w:keepLines/>
              <w:spacing w:before="0" w:after="20"/>
              <w:jc w:val="left"/>
            </w:pPr>
            <w:r>
              <w:rPr>
                <w:rFonts w:ascii="Arial" w:hAnsi="Arial"/>
                <w:b/>
                <w:sz w:val="18"/>
              </w:rPr>
              <w:t xml:space="preserve">Different median (IQR)</w:t>
            </w:r>
          </w:p>
        </w:tc>
        <w:tc>
          <w:tcPr>
            <w:tcW w:type="dxa" w:w="1152"/>
            <w:tcMar>
              <w:top w:w="35" w:type="dxa"/>
              <w:left w:w="55" w:type="dxa"/>
              <w:bottom w:w="35" w:type="dxa"/>
              <w:right w:w="55" w:type="dxa"/>
            </w:tcMar>
          </w:tcPr>
          <w:p>
            <w:pPr>
              <w:pStyle w:val="Compact"/>
              <w:keepNext/>
              <w:keepLines/>
              <w:spacing w:before="0" w:after="20"/>
              <w:jc w:val="left"/>
            </w:pPr>
            <w:r>
              <w:rPr>
                <w:rFonts w:ascii="Arial" w:hAnsi="Arial"/>
                <w:b/>
                <w:sz w:val="18"/>
              </w:rPr>
              <w:t xml:space="preserve">Same weighted mean</w:t>
            </w:r>
          </w:p>
        </w:tc>
        <w:tc>
          <w:tcPr>
            <w:tcW w:type="dxa" w:w="1152"/>
            <w:tcMar>
              <w:top w:w="35" w:type="dxa"/>
              <w:left w:w="55" w:type="dxa"/>
              <w:bottom w:w="35" w:type="dxa"/>
              <w:right w:w="55" w:type="dxa"/>
            </w:tcMar>
          </w:tcPr>
          <w:p>
            <w:pPr>
              <w:pStyle w:val="Compact"/>
              <w:keepNext/>
              <w:keepLines/>
              <w:spacing w:before="0" w:after="20"/>
              <w:jc w:val="left"/>
            </w:pPr>
            <w:r>
              <w:rPr>
                <w:rFonts w:ascii="Arial" w:hAnsi="Arial"/>
                <w:b/>
                <w:sz w:val="18"/>
              </w:rPr>
              <w:t xml:space="preserve">Different weighted mean</w:t>
            </w:r>
          </w:p>
        </w:tc>
        <w:tc>
          <w:tcPr>
            <w:tcW w:type="dxa" w:w="1296"/>
            <w:tcMar>
              <w:top w:w="35" w:type="dxa"/>
              <w:left w:w="55" w:type="dxa"/>
              <w:bottom w:w="35" w:type="dxa"/>
              <w:right w:w="55" w:type="dxa"/>
            </w:tcMar>
          </w:tcPr>
          <w:p>
            <w:pPr>
              <w:pStyle w:val="Compact"/>
              <w:keepNext/>
              <w:keepLines/>
              <w:spacing w:before="0" w:after="20"/>
              <w:jc w:val="left"/>
            </w:pPr>
            <w:r>
              <w:rPr>
                <w:rFonts w:ascii="Arial" w:hAnsi="Arial"/>
                <w:b/>
                <w:sz w:val="18"/>
              </w:rPr>
              <w:t xml:space="preserve">Unweighted n</w:t>
            </w:r>
          </w:p>
        </w:tc>
        <w:tc>
          <w:tcPr>
            <w:tcW w:type="dxa" w:w="1296"/>
            <w:tcMar>
              <w:top w:w="35" w:type="dxa"/>
              <w:left w:w="55" w:type="dxa"/>
              <w:bottom w:w="35" w:type="dxa"/>
              <w:right w:w="55" w:type="dxa"/>
            </w:tcMar>
          </w:tcPr>
          <w:p>
            <w:pPr>
              <w:pStyle w:val="Compact"/>
              <w:keepNext/>
              <w:keepLines/>
              <w:spacing w:before="0" w:after="20"/>
              <w:jc w:val="left"/>
            </w:pPr>
            <w:r>
              <w:rPr>
                <w:rFonts w:ascii="Arial" w:hAnsi="Arial"/>
                <w:b/>
                <w:sz w:val="18"/>
              </w:rPr>
              <w:t xml:space="preserve">Weighted n</w:t>
            </w:r>
          </w:p>
        </w:tc>
        <w:tc>
          <w:tcPr>
            <w:tcW w:type="dxa" w:w="1872"/>
            <w:tcMar>
              <w:top w:w="35" w:type="dxa"/>
              <w:left w:w="55" w:type="dxa"/>
              <w:bottom w:w="35" w:type="dxa"/>
              <w:right w:w="55" w:type="dxa"/>
            </w:tcMar>
          </w:tcPr>
          <w:p>
            <w:pPr>
              <w:pStyle w:val="Compact"/>
              <w:keepNext/>
              <w:keepLines/>
              <w:spacing w:before="0" w:after="20"/>
              <w:jc w:val="left"/>
            </w:pPr>
            <w:r>
              <w:rPr>
                <w:rFonts w:ascii="Arial" w:hAnsi="Arial"/>
                <w:b/>
                <w:sz w:val="18"/>
              </w:rPr>
              <w:t xml:space="preserve">Missing total charges in cost-analysis population (same/different)</w:t>
            </w:r>
          </w:p>
        </w:tc>
        <w:tc>
          <w:tcPr>
            <w:tcW w:type="dxa" w:w="1152"/>
            <w:tcMar>
              <w:top w:w="35" w:type="dxa"/>
              <w:left w:w="55" w:type="dxa"/>
              <w:bottom w:w="35" w:type="dxa"/>
              <w:right w:w="55" w:type="dxa"/>
            </w:tcMar>
          </w:tcPr>
          <w:p>
            <w:pPr>
              <w:pStyle w:val="Compact"/>
              <w:keepNext/>
              <w:keepLines/>
              <w:spacing w:before="0" w:after="20"/>
              <w:jc w:val="left"/>
            </w:pPr>
            <w:r>
              <w:rPr>
                <w:rFonts w:ascii="Arial" w:hAnsi="Arial"/>
                <w:b/>
                <w:sz w:val="18"/>
              </w:rPr>
              <w:t xml:space="preserve">Invalid CCR exclusions (same/different)</w:t>
            </w:r>
          </w:p>
        </w:tc>
        <w:tc>
          <w:tcPr>
            <w:tcW w:type="dxa" w:w="2016"/>
            <w:tcMar>
              <w:top w:w="35" w:type="dxa"/>
              <w:left w:w="55" w:type="dxa"/>
              <w:bottom w:w="35" w:type="dxa"/>
              <w:right w:w="55" w:type="dxa"/>
            </w:tcMar>
          </w:tcPr>
          <w:p>
            <w:pPr>
              <w:pStyle w:val="Compact"/>
              <w:keepNext/>
              <w:keepLines/>
              <w:spacing w:before="0" w:after="20"/>
              <w:jc w:val="left"/>
            </w:pPr>
            <w:r>
              <w:rPr>
                <w:rFonts w:ascii="Arial" w:hAnsi="Arial"/>
                <w:b/>
                <w:sz w:val="18"/>
              </w:rPr>
              <w:t xml:space="preserve">Adjusted ratio of means (95% CI)</w:t>
            </w:r>
          </w:p>
        </w:tc>
        <w:tc>
          <w:tcPr>
            <w:tcW w:type="dxa" w:w="922"/>
            <w:tcMar>
              <w:top w:w="35" w:type="dxa"/>
              <w:left w:w="55" w:type="dxa"/>
              <w:bottom w:w="35" w:type="dxa"/>
              <w:right w:w="55" w:type="dxa"/>
            </w:tcMar>
          </w:tcPr>
          <w:p>
            <w:pPr>
              <w:pStyle w:val="Compact"/>
              <w:keepNext/>
              <w:keepLines/>
              <w:spacing w:before="0" w:after="20"/>
              <w:jc w:val="left"/>
            </w:pPr>
            <w:r>
              <w:rPr>
                <w:rFonts w:ascii="Arial" w:hAnsi="Arial"/>
                <w:b/>
                <w:sz w:val="18"/>
              </w:rPr>
              <w:t xml:space="preserve">P value</w:t>
            </w:r>
          </w:p>
        </w:tc>
      </w:tr>
      <w:tr>
        <w:trPr>
          <w:cantSplit/>
        </w:trPr>
        <w:tc>
          <w:tcPr>
            <w:tcW w:type="dxa" w:w="1008"/>
            <w:tcMar>
              <w:top w:w="35" w:type="dxa"/>
              <w:left w:w="55" w:type="dxa"/>
              <w:bottom w:w="35" w:type="dxa"/>
              <w:right w:w="55" w:type="dxa"/>
            </w:tcMar>
          </w:tcPr>
          <w:p>
            <w:pPr>
              <w:pStyle w:val="Compact"/>
              <w:keepLines/>
              <w:spacing w:before="0" w:after="20"/>
              <w:jc w:val="left"/>
            </w:pPr>
            <w:r>
              <w:rPr>
                <w:rFonts w:ascii="Arial" w:hAnsi="Arial"/>
                <w:sz w:val="18"/>
              </w:rPr>
              <w:t xml:space="preserve">Length of stay</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4 (3–7)</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5 (3–8)</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6</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7</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400,239 / 109,054</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729,635 / 198,803</w:t>
            </w:r>
          </w:p>
        </w:tc>
        <w:tc>
          <w:tcPr>
            <w:tcW w:type="dxa" w:w="1872"/>
            <w:tcMar>
              <w:top w:w="35" w:type="dxa"/>
              <w:left w:w="55" w:type="dxa"/>
              <w:bottom w:w="35" w:type="dxa"/>
              <w:right w:w="55" w:type="dxa"/>
            </w:tcMar>
          </w:tcPr>
          <w:p>
            <w:pPr>
              <w:pStyle w:val="Compact"/>
              <w:keepLines/>
              <w:spacing w:before="0" w:after="20"/>
              <w:jc w:val="left"/>
            </w:pPr>
            <w:r>
              <w:rPr>
                <w:rFonts w:ascii="Arial" w:hAnsi="Arial"/>
                <w:sz w:val="18"/>
              </w:rPr>
              <w:t xml:space="preserve">—</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w:t>
            </w:r>
          </w:p>
        </w:tc>
        <w:tc>
          <w:tcPr>
            <w:tcW w:type="dxa" w:w="2016"/>
            <w:tcMar>
              <w:top w:w="35" w:type="dxa"/>
              <w:left w:w="55" w:type="dxa"/>
              <w:bottom w:w="35" w:type="dxa"/>
              <w:right w:w="55" w:type="dxa"/>
            </w:tcMar>
          </w:tcPr>
          <w:p>
            <w:pPr>
              <w:pStyle w:val="Compact"/>
              <w:keepLines/>
              <w:spacing w:before="0" w:after="20"/>
              <w:jc w:val="left"/>
            </w:pPr>
            <w:r>
              <w:rPr>
                <w:rFonts w:ascii="Arial" w:hAnsi="Arial"/>
                <w:sz w:val="18"/>
              </w:rPr>
              <w:t xml:space="preserve">1.12, 95% CI 1.11–1.12</w:t>
            </w:r>
          </w:p>
        </w:tc>
        <w:tc>
          <w:tcPr>
            <w:tcW w:type="dxa" w:w="922"/>
            <w:tcMar>
              <w:top w:w="35" w:type="dxa"/>
              <w:left w:w="55" w:type="dxa"/>
              <w:bottom w:w="35" w:type="dxa"/>
              <w:right w:w="55" w:type="dxa"/>
            </w:tcMar>
          </w:tcPr>
          <w:p>
            <w:pPr>
              <w:pStyle w:val="Compact"/>
              <w:keepLines/>
              <w:spacing w:before="0" w:after="20"/>
              <w:jc w:val="left"/>
            </w:pPr>
            <w:r>
              <w:rPr>
                <w:rFonts w:ascii="Arial" w:hAnsi="Arial"/>
                <w:sz w:val="18"/>
              </w:rPr>
              <w:t xml:space="preserve">P &lt; 0.001</w:t>
            </w:r>
          </w:p>
        </w:tc>
      </w:tr>
      <w:tr>
        <w:trPr>
          <w:cantSplit/>
        </w:trPr>
        <w:tc>
          <w:tcPr>
            <w:tcW w:type="dxa" w:w="1008"/>
            <w:tcMar>
              <w:top w:w="35" w:type="dxa"/>
              <w:left w:w="55" w:type="dxa"/>
              <w:bottom w:w="35" w:type="dxa"/>
              <w:right w:w="55" w:type="dxa"/>
            </w:tcMar>
          </w:tcPr>
          <w:p>
            <w:pPr>
              <w:pStyle w:val="Compact"/>
              <w:keepLines/>
              <w:spacing w:before="0" w:after="20"/>
              <w:jc w:val="left"/>
            </w:pPr>
            <w:r>
              <w:rPr>
                <w:rFonts w:ascii="Arial" w:hAnsi="Arial"/>
                <w:sz w:val="18"/>
              </w:rPr>
              <w:t xml:space="preserve">Cost</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$10,258 ($6,179–$18,618)</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$12,101 ($7,051–$22,770)</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$17,253</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$20,674</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398,492 / 108,629</w:t>
            </w:r>
          </w:p>
        </w:tc>
        <w:tc>
          <w:tcPr>
            <w:tcW w:type="dxa" w:w="1296"/>
            <w:tcMar>
              <w:top w:w="35" w:type="dxa"/>
              <w:left w:w="55" w:type="dxa"/>
              <w:bottom w:w="35" w:type="dxa"/>
              <w:right w:w="55" w:type="dxa"/>
            </w:tcMar>
          </w:tcPr>
          <w:p>
            <w:pPr>
              <w:pStyle w:val="Compact"/>
              <w:keepLines/>
              <w:spacing w:before="0" w:after="20"/>
              <w:jc w:val="left"/>
            </w:pPr>
            <w:r>
              <w:rPr>
                <w:rFonts w:ascii="Arial" w:hAnsi="Arial"/>
                <w:sz w:val="18"/>
              </w:rPr>
              <w:t xml:space="preserve">727,168 / 198,211</w:t>
            </w:r>
          </w:p>
        </w:tc>
        <w:tc>
          <w:tcPr>
            <w:tcW w:type="dxa" w:w="1872"/>
            <w:tcMar>
              <w:top w:w="35" w:type="dxa"/>
              <w:left w:w="55" w:type="dxa"/>
              <w:bottom w:w="35" w:type="dxa"/>
              <w:right w:w="55" w:type="dxa"/>
            </w:tcMar>
          </w:tcPr>
          <w:p>
            <w:pPr>
              <w:pStyle w:val="Compact"/>
              <w:keepLines/>
              <w:spacing w:before="0" w:after="20"/>
              <w:jc w:val="left"/>
            </w:pPr>
            <w:r>
              <w:rPr>
                <w:rFonts w:ascii="Arial" w:hAnsi="Arial"/>
                <w:sz w:val="18"/>
              </w:rPr>
              <w:t xml:space="preserve">1,747 / 425</w:t>
            </w:r>
          </w:p>
        </w:tc>
        <w:tc>
          <w:tcPr>
            <w:tcW w:type="dxa" w:w="1152"/>
            <w:tcMar>
              <w:top w:w="35" w:type="dxa"/>
              <w:left w:w="55" w:type="dxa"/>
              <w:bottom w:w="35" w:type="dxa"/>
              <w:right w:w="55" w:type="dxa"/>
            </w:tcMar>
          </w:tcPr>
          <w:p>
            <w:pPr>
              <w:pStyle w:val="Compact"/>
              <w:keepLines/>
              <w:spacing w:before="0" w:after="20"/>
              <w:jc w:val="left"/>
            </w:pPr>
            <w:r>
              <w:rPr>
                <w:rFonts w:ascii="Arial" w:hAnsi="Arial"/>
                <w:sz w:val="18"/>
              </w:rPr>
              <w:t xml:space="preserve">0 / 0</w:t>
            </w:r>
          </w:p>
        </w:tc>
        <w:tc>
          <w:tcPr>
            <w:tcW w:type="dxa" w:w="2016"/>
            <w:tcMar>
              <w:top w:w="35" w:type="dxa"/>
              <w:left w:w="55" w:type="dxa"/>
              <w:bottom w:w="35" w:type="dxa"/>
              <w:right w:w="55" w:type="dxa"/>
            </w:tcMar>
          </w:tcPr>
          <w:p>
            <w:pPr>
              <w:pStyle w:val="Compact"/>
              <w:keepLines/>
              <w:spacing w:before="0" w:after="20"/>
              <w:jc w:val="left"/>
            </w:pPr>
            <w:r>
              <w:rPr>
                <w:rFonts w:ascii="Arial" w:hAnsi="Arial"/>
                <w:sz w:val="18"/>
              </w:rPr>
              <w:t xml:space="preserve">1.21, 95% CI 1.19–1.23</w:t>
            </w:r>
          </w:p>
        </w:tc>
        <w:tc>
          <w:tcPr>
            <w:tcW w:type="dxa" w:w="922"/>
            <w:tcMar>
              <w:top w:w="35" w:type="dxa"/>
              <w:left w:w="55" w:type="dxa"/>
              <w:bottom w:w="35" w:type="dxa"/>
              <w:right w:w="55" w:type="dxa"/>
            </w:tcMar>
          </w:tcPr>
          <w:p>
            <w:pPr>
              <w:pStyle w:val="Compact"/>
              <w:keepLines/>
              <w:spacing w:before="0" w:after="20"/>
              <w:jc w:val="left"/>
            </w:pPr>
            <w:r>
              <w:rPr>
                <w:rFonts w:ascii="Arial" w:hAnsi="Arial"/>
                <w:sz w:val="18"/>
              </w:rPr>
              <w:t xml:space="preserve">P &lt; 0.001</w:t>
            </w:r>
          </w:p>
        </w:tc>
      </w:tr>
    </w:tbl>
    <w:p>
      <w:pPr>
        <w:pStyle w:val="BodyText"/>
      </w:pPr>
      <w:r>
        <w:rPr>
          <w:i/>
          <w:iCs/>
          <w:sz w:val="20"/>
        </w:rPr>
        <w:t xml:space="preserve">Note.</w:t>
      </w:r>
      <w:r>
        <w:rPr>
          <w:sz w:val="20"/>
        </w:rPr>
        <w:t xml:space="preserve"> </w:t>
      </w:r>
      <w:r>
        <w:rPr>
          <w:sz w:val="20"/>
        </w:rPr>
        <w:t xml:space="preserve">Cost-model denominators include complete-case stays with nonmissing total charges and a valid CCR; missing-charge counts are within the complete-case cohort, and invalid-CCR exclusions are reported separately. Slash-separated unweighted and weighted denominators are listed as same-hospital/different-hospital.</w:t>
      </w:r>
    </w:p>
    <w:bookmarkEnd w:id="40"/>
    <w:bookmarkStart w:id="41" w:name="table-5.-cause-of-first-readmission"/>
    <w:p>
      <w:pPr>
        <w:pStyle w:val="Heading3"/>
      </w:pPr>
      <w:r>
        <w:rPr>
          <w:sz w:val="20"/>
        </w:rPr>
        <w:t xml:space="preserve">Table 5. Cause of first readmission</w:t>
      </w:r>
    </w:p>
    <w:p>
      <w:pPr>
        <w:pStyle w:val="FirstParagraph"/>
      </w:pPr>
      <w:r>
        <w:rPr>
          <w:sz w:val="20"/>
        </w:rPr>
        <w:t xml:space="preserve">Counts are unweighted and percentages are survey-weighted.</w:t>
      </w:r>
    </w:p>
    <w:tbl>
      <w:tblPr>
        <w:tblStyle w:val="Table"/>
        <w:tblW w:type="pct" w:w="5000"/>
        <w:tblLayout w:type="fixed"/>
        <w:tblLook w:firstRow="1" w:lastRow="0" w:firstColumn="0" w:lastColumn="0" w:noHBand="0" w:noVBand="0" w:val="0020"/>
      </w:tblPr>
      <w:tblGrid>
        <w:gridCol w:w="4608"/>
        <w:gridCol w:w="4925"/>
        <w:gridCol w:w="4925"/>
      </w:tblGrid>
      <w:tr>
        <w:trPr>
          <w:tblHeader w:val="on"/>
          <w:cantSplit/>
        </w:trPr>
        <w:tc>
          <w:tcPr>
            <w:tcW w:type="dxa" w:w="4608"/>
            <w:tcMar>
              <w:top w:w="35" w:type="dxa"/>
              <w:left w:w="140" w:type="dxa"/>
              <w:bottom w:w="35" w:type="dxa"/>
              <w:right w:w="140" w:type="dxa"/>
            </w:tcMar>
          </w:tcPr>
          <w:p>
            <w:pPr>
              <w:pStyle w:val="Compact"/>
              <w:keepNext/>
              <w:keepLines/>
              <w:spacing w:before="0" w:after="20"/>
              <w:jc w:val="left"/>
            </w:pPr>
            <w:r>
              <w:rPr>
                <w:rFonts w:ascii="Arial" w:hAnsi="Arial"/>
                <w:b/>
                <w:sz w:val="18"/>
              </w:rPr>
              <w:t xml:space="preserve">Principal-diagnosis group</w:t>
            </w:r>
          </w:p>
        </w:tc>
        <w:tc>
          <w:tcPr>
            <w:tcW w:type="dxa" w:w="4925"/>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Same-hospital readmission</w:t>
            </w:r>
          </w:p>
        </w:tc>
        <w:tc>
          <w:tcPr>
            <w:tcW w:type="dxa" w:w="4925"/>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Different-hospital readmission</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Heart failure</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154,572 (37.9%)</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37,191 (33.3%)</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Other cardiovascular</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54,980 (13.5%)</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19,241 (17.2%)</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Infection/sepsis</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32,802 (7.9%)</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9,468 (8.3%)</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Renal/AKI</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25,808 (6.4%)</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5,980 (5.4%)</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Respiratory/COPD</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43,975 (11.0%)</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11,207 (10.2%)</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GI/bleeding</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25,538 (6.2%)</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6,391 (5.7%)</w:t>
            </w:r>
          </w:p>
        </w:tc>
      </w:tr>
      <w:tr>
        <w:trPr>
          <w:cantSplit/>
        </w:trPr>
        <w:tc>
          <w:tcPr>
            <w:tcW w:type="dxa" w:w="4608"/>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69,474 (17.0%)</w:t>
            </w:r>
          </w:p>
        </w:tc>
        <w:tc>
          <w:tcPr>
            <w:tcW w:type="dxa" w:w="4925"/>
            <w:tcMar>
              <w:top w:w="35" w:type="dxa"/>
              <w:left w:w="140" w:type="dxa"/>
              <w:bottom w:w="35" w:type="dxa"/>
              <w:right w:w="140" w:type="dxa"/>
            </w:tcMar>
          </w:tcPr>
          <w:p>
            <w:pPr>
              <w:pStyle w:val="Compact"/>
              <w:keepLines/>
              <w:spacing w:before="0" w:after="20"/>
              <w:jc w:val="left"/>
            </w:pPr>
            <w:r>
              <w:rPr>
                <w:rFonts w:ascii="Arial" w:hAnsi="Arial"/>
                <w:sz w:val="18"/>
              </w:rPr>
              <w:t xml:space="preserve">22,359 (20.0%)</w:t>
            </w:r>
          </w:p>
        </w:tc>
      </w:tr>
    </w:tbl>
    <w:bookmarkEnd w:id="41"/>
    <w:bookmarkStart w:id="42" w:name="table-5b.-exploratory-subgroup-analyses"/>
    <w:p>
      <w:pPr>
        <w:pStyle w:val="Heading3"/>
      </w:pPr>
      <w:r>
        <w:rPr>
          <w:sz w:val="20"/>
        </w:rPr>
        <w:t xml:space="preserve">Table 5b. Exploratory subgroup analyses</w:t>
      </w:r>
    </w:p>
    <w:p>
      <w:pPr>
        <w:pStyle w:val="FirstParagraph"/>
      </w:pPr>
      <w:r>
        <w:rPr>
          <w:sz w:val="20"/>
        </w:rPr>
        <w:t xml:space="preserve">Subgroup risk differences are adjusted estimates. Interaction tests assess whether the association differed across levels; findings are exploratory and hypothesis-generating. Interaction P values are Wald tests on the log-odds scale; subgroup risk differences are standardized risk differences.</w:t>
      </w:r>
    </w:p>
    <w:tbl>
      <w:tblPr>
        <w:tblStyle w:val="Table"/>
        <w:tblW w:type="pct" w:w="5000"/>
        <w:tblLayout w:type="fixed"/>
        <w:tblLook w:firstRow="1" w:lastRow="0" w:firstColumn="0" w:lastColumn="0" w:noHBand="0" w:noVBand="0" w:val="0020"/>
      </w:tblPr>
      <w:tblGrid>
        <w:gridCol w:w="1944"/>
        <w:gridCol w:w="1368"/>
        <w:gridCol w:w="1872"/>
        <w:gridCol w:w="1656"/>
        <w:gridCol w:w="1656"/>
        <w:gridCol w:w="3168"/>
        <w:gridCol w:w="2794"/>
      </w:tblGrid>
      <w:tr>
        <w:trPr>
          <w:tblHeader w:val="on"/>
          <w:cantSplit/>
        </w:trPr>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Subgroup</w:t>
            </w:r>
          </w:p>
        </w:tc>
        <w:tc>
          <w:tcPr>
            <w:tcW w:type="dxa" w:w="1368"/>
            <w:tcMar>
              <w:top w:w="35" w:type="dxa"/>
              <w:left w:w="140" w:type="dxa"/>
              <w:bottom w:w="35" w:type="dxa"/>
              <w:right w:w="140" w:type="dxa"/>
            </w:tcMar>
          </w:tcPr>
          <w:p>
            <w:pPr>
              <w:pStyle w:val="Compact"/>
              <w:keepNext/>
              <w:keepLines/>
              <w:spacing w:before="0" w:after="20"/>
              <w:jc w:val="left"/>
            </w:pPr>
            <w:r>
              <w:rPr>
                <w:rFonts w:ascii="Arial" w:hAnsi="Arial"/>
                <w:b/>
                <w:sz w:val="18"/>
              </w:rPr>
              <w:t xml:space="preserve">Category</w:t>
            </w:r>
          </w:p>
        </w:tc>
        <w:tc>
          <w:tcPr>
            <w:tcW w:type="dxa" w:w="1872"/>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 population, unweighted n</w:t>
            </w:r>
          </w:p>
        </w:tc>
        <w:tc>
          <w:tcPr>
            <w:tcW w:type="dxa" w:w="1656"/>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Same-hospital risk</w:t>
            </w:r>
          </w:p>
        </w:tc>
        <w:tc>
          <w:tcPr>
            <w:tcW w:type="dxa" w:w="1656"/>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Different-hospital risk</w:t>
            </w:r>
          </w:p>
        </w:tc>
        <w:tc>
          <w:tcPr>
            <w:tcW w:type="dxa" w:w="3168"/>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difference</w:t>
            </w:r>
          </w:p>
        </w:tc>
        <w:tc>
          <w:tcPr>
            <w:tcW w:type="dxa" w:w="2794"/>
            <w:tcMar>
              <w:top w:w="35" w:type="dxa"/>
              <w:left w:w="140" w:type="dxa"/>
              <w:bottom w:w="35" w:type="dxa"/>
              <w:right w:w="140" w:type="dxa"/>
            </w:tcMar>
          </w:tcPr>
          <w:p>
            <w:pPr>
              <w:pStyle w:val="Compact"/>
              <w:keepNext/>
              <w:keepLines/>
              <w:spacing w:before="0" w:after="20"/>
              <w:jc w:val="left"/>
            </w:pPr>
            <w:r>
              <w:rPr>
                <w:rFonts w:ascii="Arial" w:hAnsi="Arial"/>
                <w:b/>
                <w:sz w:val="18"/>
              </w:rPr>
              <w:t xml:space="preserve">Interaction P value (log-odds scale)</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Age</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&gt;=80</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176,311</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32.5%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34.5%</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+1.99 percentage points (95% CI, +1.35 to +2.63)</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0.369</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Age</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&lt;65</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142,151</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40.5%</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+2.32 percentage points (95% CI, +1.69 to +2.96)</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0.369</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Age</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65-79</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190,831</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36.5%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38.2%</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+1.68 percentage points (95% CI, +1.11 to +2.26)</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0.369</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Female</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245,921</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37.0%</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+1.82 percentage points (95% CI, +1.30 to +2.34)</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0.384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Male</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263,372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36.1%</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38.2%</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+2.14 percentage points (95% CI, +1.66 to +2.62)</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0.384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Payer</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Medicare</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393,839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37.5%</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+1.95 percentage points (95% CI, +1.54 to +2.37)</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Payer</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Medicaid</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55,885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39.7%</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42.9%</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+3.27 percentage points (95% CI, +2.25 to +4.28)</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Payer</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Private</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41,329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32.5%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32.9%</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+0.41 percentage points (95% CI, -0.75 to +1.57)</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Payer</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18,240</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33.6%</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35.2%</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+1.65 percentage points (95% CI, -0.10 to +3.41)</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Rurality</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Non-metro</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66,429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34.3%</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35.6%</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+1.28 percentage points (95% CI, +0.40 to +2.15)</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0.046</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Rurality</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Metro</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442,864</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38.1%</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+2.15 percentage points (95% CI, +1.76 to +2.55)</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0.046</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Rural</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41,252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33.6%</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35.0%</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+1.36 percentage points (95% CI, +0.23 to +2.48)</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0.075</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Nonteaching urban</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117,442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35.4%</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36.8%</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+1.35 percentage points (95% CI, +0.63 to +2.08)</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0.075</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Teaching urban</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350,599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36.0%</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38.3%</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+2.30 percentage points (95% CI, +1.86 to +2.75)</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0.075</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cause (HF vs non-HF)</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Non-HF</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321,588</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35.9%</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38.3%</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+2.37 percentage points (95% CI, +1.93 to +2.81)</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cause (HF vs non-HF)</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HF</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187,705</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35.2%</w:t>
            </w:r>
          </w:p>
        </w:tc>
        <w:tc>
          <w:tcPr>
            <w:tcW w:type="dxa" w:w="1656"/>
            <w:tcMar>
              <w:top w:w="35" w:type="dxa"/>
              <w:left w:w="140" w:type="dxa"/>
              <w:bottom w:w="35" w:type="dxa"/>
              <w:right w:w="140" w:type="dxa"/>
            </w:tcMar>
          </w:tcPr>
          <w:p>
            <w:pPr>
              <w:pStyle w:val="Compact"/>
              <w:keepLines/>
              <w:spacing w:before="0" w:after="20"/>
              <w:jc w:val="left"/>
            </w:pPr>
            <w:r>
              <w:rPr>
                <w:rFonts w:ascii="Arial" w:hAnsi="Arial"/>
                <w:sz w:val="18"/>
              </w:rPr>
              <w:t xml:space="preserve">36.4%</w:t>
            </w:r>
          </w:p>
        </w:tc>
        <w:tc>
          <w:tcPr>
            <w:tcW w:type="dxa" w:w="3168"/>
            <w:tcMar>
              <w:top w:w="35" w:type="dxa"/>
              <w:left w:w="140" w:type="dxa"/>
              <w:bottom w:w="35" w:type="dxa"/>
              <w:right w:w="140" w:type="dxa"/>
            </w:tcMar>
          </w:tcPr>
          <w:p>
            <w:pPr>
              <w:pStyle w:val="Compact"/>
              <w:keepLines/>
              <w:spacing w:before="0" w:after="20"/>
              <w:jc w:val="left"/>
            </w:pPr>
            <w:r>
              <w:rPr>
                <w:rFonts w:ascii="Arial" w:hAnsi="Arial"/>
                <w:sz w:val="18"/>
              </w:rPr>
              <w:t xml:space="preserve">+1.19 percentage points (95% CI, +0.58 to +1.81)</w:t>
            </w:r>
          </w:p>
        </w:tc>
        <w:tc>
          <w:tcPr>
            <w:tcW w:type="dxa" w:w="2794"/>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bl>
    <w:p>
      <w:pPr>
        <w:pStyle w:val="BodyText"/>
      </w:pPr>
      <w:r>
        <w:rPr>
          <w:i/>
          <w:iCs/>
          <w:sz w:val="20"/>
        </w:rPr>
        <w:t xml:space="preserve">Note.</w:t>
      </w:r>
      <w:r>
        <w:rPr>
          <w:sz w:val="20"/>
        </w:rPr>
        <w:t xml:space="preserve"> </w:t>
      </w:r>
      <w:r>
        <w:rPr>
          <w:sz w:val="20"/>
        </w:rPr>
        <w:t xml:space="preserve">Hospital location/teaching status includes nonteaching urban, teaching urban, and rural hospitals; all three levels are shown.</w:t>
      </w:r>
    </w:p>
    <w:bookmarkEnd w:id="42"/>
    <w:bookmarkStart w:id="47" w:name="subgroup-risk-differences"/>
    <w:p>
      <w:pPr>
        <w:pStyle w:val="Heading3"/>
      </w:pPr>
      <w:r>
        <w:rPr>
          <w:sz w:val="20"/>
        </w:rPr>
        <w:t xml:space="preserve">Subgroup risk differences</w:t>
      </w:r>
    </w:p>
    <w:p>
      <w:pPr>
        <w:pStyle w:val="FirstParagraph"/>
      </w:pPr>
      <w:r>
        <w:rPr>
          <w:sz w:val="20"/>
        </w:rPr>
        <w:t xml:space="preserve">Bars show 95% confidence intervals for adjusted risk differences; zero indicates no difference.</w:t>
      </w:r>
    </w:p>
    <w:tbl>
      <w:tblPr>
        <w:tblStyle w:val="Table"/>
        <w:tblW w:type="pct" w:w="5000"/>
        <w:tblLayout w:type="fixed"/>
        <w:tblLook w:firstRow="0" w:lastRow="0" w:firstColumn="0" w:lastColumn="0" w:noHBand="0" w:noVBand="0" w:val="0000"/>
      </w:tblPr>
      <w:tblGrid>
        <w:gridCol w:w="14458"/>
      </w:tblGrid>
      <w:tr>
        <w:trPr>
          <w:cantSplit/>
          <w:tblHeader w:val="true"/>
        </w:trPr>
        <w:tc>
          <w:tcPr>
            <w:tcW w:type="dxa" w:w="14458"/>
            <w:tcMar>
              <w:top w:w="35" w:type="dxa"/>
              <w:left w:w="140" w:type="dxa"/>
              <w:bottom w:w="35" w:type="dxa"/>
              <w:right w:w="140" w:type="dxa"/>
            </w:tcMar>
          </w:tcPr>
          <w:bookmarkStart w:id="46" w:name="fig-subgroups"/>
          <w:p>
            <w:pPr>
              <w:pStyle w:val="Compact"/>
              <w:keepNext/>
              <w:keepLines/>
              <w:spacing w:before="0" w:after="20"/>
              <w:jc w:val="center"/>
            </w:pPr>
            <w:r>
              <w:rPr>
                <w:rFonts w:ascii="Arial" w:hAnsi="Arial"/>
                <w:b/>
                <w:sz w:val="18"/>
              </w:rPr>
              <w:drawing>
                <wp:inline>
                  <wp:extent cx="5334000" cy="5000625"/>
                  <wp:effectExtent b="0" l="0" r="0" t="0"/>
                  <wp:docPr descr="" title="" id="44" name="Picture"/>
                  <a:graphic>
                    <a:graphicData uri="http://schemas.openxmlformats.org/drawingml/2006/picture">
                      <pic:pic>
                        <pic:nvPicPr>
                          <pic:cNvPr descr="index_files/figure-docx/fig-subgroups-1.png" id="45" name="Picture"/>
                          <pic:cNvPicPr>
                            <a:picLocks noChangeArrowheads="1" noChangeAspect="1"/>
                          </pic:cNvPicPr>
                        </pic:nvPicPr>
                        <pic:blipFill>
                          <a:blip r:embed="rId43"/>
                          <a:stretch>
                            <a:fillRect/>
                          </a:stretch>
                        </pic:blipFill>
                        <pic:spPr bwMode="auto">
                          <a:xfrm>
                            <a:off x="0" y="0"/>
                            <a:ext cx="5334000" cy="5000625"/>
                          </a:xfrm>
                          <a:prstGeom prst="rect">
                            <a:avLst/>
                          </a:prstGeom>
                          <a:noFill/>
                          <a:ln w="9525">
                            <a:noFill/>
                            <a:headEnd/>
                            <a:tailEnd/>
                          </a:ln>
                        </pic:spPr>
                      </pic:pic>
                    </a:graphicData>
                  </a:graphic>
                </wp:inline>
              </w:drawing>
            </w:r>
          </w:p>
          <w:p>
            <w:pPr>
              <w:keepNext/>
              <w:keepLines/>
              <w:spacing w:before="0" w:after="20"/>
              <w:jc w:val="center"/>
            </w:pPr>
            <w:pPr>
              <w:jc w:val="left"/>
              <w:spacing w:before="200"/>
              <w:pStyle w:val="ImageCaption"/>
            </w:pPr>
            <w:r>
              <w:rPr>
                <w:rFonts w:ascii="Arial" w:hAnsi="Arial"/>
                <w:b/>
                <w:sz w:val="18"/>
              </w:rPr>
              <w:t xml:space="preserve">Figure 3: Adjusted risk differences across exploratory subgroups.</w:t>
            </w:r>
          </w:p>
          <w:bookmarkEnd w:id="46"/>
        </w:tc>
      </w:tr>
    </w:tbl>
    <w:bookmarkEnd w:id="47"/>
    <w:bookmarkStart w:id="48" w:name="table-6.-sensitivity-analyses"/>
    <w:p>
      <w:pPr>
        <w:pStyle w:val="Heading3"/>
      </w:pPr>
      <w:r>
        <w:rPr>
          <w:sz w:val="20"/>
        </w:rPr>
        <w:t xml:space="preserve">Table 6. Sensitivity analyses</w:t>
      </w:r>
    </w:p>
    <w:p>
      <w:pPr>
        <w:pStyle w:val="FirstParagraph"/>
      </w:pPr>
      <w:r>
        <w:rPr>
          <w:sz w:val="20"/>
        </w:rPr>
        <w:t xml:space="preserve">Risk differences are expressed in percentage points. These sensitivity analyses do not remove potential residual confounding or selection bias.</w:t>
      </w:r>
    </w:p>
    <w:tbl>
      <w:tblPr>
        <w:tblStyle w:val="Table"/>
        <w:tblW w:type="pct" w:w="5000"/>
        <w:tblLayout w:type="fixed"/>
        <w:tblLook w:firstRow="1" w:lastRow="0" w:firstColumn="0" w:lastColumn="0" w:noHBand="0" w:noVBand="0" w:val="0020"/>
      </w:tblPr>
      <w:tblGrid>
        <w:gridCol w:w="6048"/>
        <w:gridCol w:w="1872"/>
        <w:gridCol w:w="3672"/>
        <w:gridCol w:w="2866"/>
      </w:tblGrid>
      <w:tr>
        <w:trPr>
          <w:tblHeader w:val="on"/>
          <w:cantSplit/>
        </w:trPr>
        <w:tc>
          <w:tcPr>
            <w:tcW w:type="dxa" w:w="6048"/>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w:t>
            </w:r>
          </w:p>
        </w:tc>
        <w:tc>
          <w:tcPr>
            <w:tcW w:type="dxa" w:w="1872"/>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 population, unweighted n</w:t>
            </w:r>
          </w:p>
        </w:tc>
        <w:tc>
          <w:tcPr>
            <w:tcW w:type="dxa" w:w="3672"/>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difference</w:t>
            </w:r>
          </w:p>
        </w:tc>
        <w:tc>
          <w:tcPr>
            <w:tcW w:type="dxa" w:w="2866"/>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ratio</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January-September index</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468,246</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+2.07 percentage points (95% CI, +1.69 to +2.44)</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Exclude 2020</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440,296</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+1.94 percentage points (95% CI, +1.55 to +2.33)</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1.05, 95% CI 1.04–1.07</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Index principal diagnosis I50-only</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97,222</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+2.32 percentage points (95% CI, +1.48 to +3.16)</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1.07, 95% CI 1.04–1.09</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Exclude elective-coded first readmissions</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482,105</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+2.21 percentage points (95% CI, +1.83 to +2.58)</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Add first-readmission diagnosis category (possibly post-exposure)</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+2.10 percentage points (95% CI, +1.74 to +2.46)</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Missing-category model; median imputation and missing indicators for age and index LOS</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518,986</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+1.99 percentage points (95% CI, +1.64 to +2.35)</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r>
      <w:tr>
        <w:trPr>
          <w:cantSplit/>
        </w:trPr>
        <w:tc>
          <w:tcPr>
            <w:tcW w:type="dxa" w:w="6048"/>
            <w:tcMar>
              <w:top w:w="35" w:type="dxa"/>
              <w:left w:w="140" w:type="dxa"/>
              <w:bottom w:w="35" w:type="dxa"/>
              <w:right w:w="140" w:type="dxa"/>
            </w:tcMar>
          </w:tcPr>
          <w:p>
            <w:pPr>
              <w:pStyle w:val="Compact"/>
              <w:keepLines/>
              <w:spacing w:before="0" w:after="20"/>
              <w:jc w:val="left"/>
            </w:pPr>
            <w:r>
              <w:rPr>
                <w:rFonts w:ascii="Arial" w:hAnsi="Arial"/>
                <w:sz w:val="18"/>
              </w:rPr>
              <w:t xml:space="preserve">Propensity-score overlap weights multiplied by NRD survey weights</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3672"/>
            <w:tcMar>
              <w:top w:w="35" w:type="dxa"/>
              <w:left w:w="140" w:type="dxa"/>
              <w:bottom w:w="35" w:type="dxa"/>
              <w:right w:w="140" w:type="dxa"/>
            </w:tcMar>
          </w:tcPr>
          <w:p>
            <w:pPr>
              <w:pStyle w:val="Compact"/>
              <w:keepLines/>
              <w:spacing w:before="0" w:after="20"/>
              <w:jc w:val="left"/>
            </w:pPr>
            <w:r>
              <w:rPr>
                <w:rFonts w:ascii="Arial" w:hAnsi="Arial"/>
                <w:sz w:val="18"/>
              </w:rPr>
              <w:t xml:space="preserve">+2.01 percentage points (95% CI, +1.65 to +2.38)</w:t>
            </w:r>
          </w:p>
        </w:tc>
        <w:tc>
          <w:tcPr>
            <w:tcW w:type="dxa" w:w="2866"/>
            <w:tcMar>
              <w:top w:w="35" w:type="dxa"/>
              <w:left w:w="140" w:type="dxa"/>
              <w:bottom w:w="35" w:type="dxa"/>
              <w:right w:w="140" w:type="dxa"/>
            </w:tcMar>
          </w:tcPr>
          <w:p>
            <w:pPr>
              <w:pStyle w:val="Compact"/>
              <w:keepLines/>
              <w:spacing w:before="0" w:after="20"/>
              <w:jc w:val="left"/>
            </w:pPr>
            <w:r>
              <w:rPr>
                <w:rFonts w:ascii="Arial" w:hAnsi="Arial"/>
                <w:sz w:val="18"/>
              </w:rPr>
              <w:t xml:space="preserve">1.06, 95% CI 1.05–1.07</w:t>
            </w:r>
          </w:p>
        </w:tc>
      </w:tr>
    </w:tbl>
    <w:bookmarkEnd w:id="48"/>
    <w:bookmarkStart w:id="49" w:name="Xc520c88cb9f2dfbb9360980594ddad59b6c076a"/>
    <w:p>
      <w:pPr>
        <w:pStyle w:val="Heading3"/>
      </w:pPr>
      <w:r>
        <w:rPr>
          <w:sz w:val="20"/>
        </w:rPr>
        <w:t xml:space="preserve">Table 7. Characteristics associated with different-hospital first readmission</w:t>
      </w:r>
    </w:p>
    <w:p>
      <w:pPr>
        <w:pStyle w:val="FirstParagraph"/>
      </w:pPr>
      <w:r>
        <w:rPr>
          <w:sz w:val="20"/>
        </w:rPr>
        <w:t xml:space="preserve">Odds ratios are associational and describe measured characteristics associated with hospital destination.</w:t>
      </w:r>
      <w:r>
        <w:rPr>
          <w:sz w:val="20"/>
        </w:rPr>
        <w:t xml:space="preserve"> </w:t>
      </w:r>
      <w:r>
        <w:rPr>
          <w:sz w:val="20"/>
        </w:rPr>
        <w:t xml:space="preserve">Estimates are suppressed for unknown index discharge disposition and unknown APR-DRG severity; the congestive-heart-failure indicator was excluded from this model because it was structurally constant. First-readmission cause is measured during the destination stay; cause-stratified analyses describe concurrent associations and do not establish antecedent prediction or causal effect modification.</w:t>
      </w:r>
    </w:p>
    <w:tbl>
      <w:tblPr>
        <w:tblStyle w:val="Table"/>
        <w:tblW w:type="pct" w:w="5000"/>
        <w:tblLayout w:type="fixed"/>
        <w:tblLook w:firstRow="1" w:lastRow="0" w:firstColumn="0" w:lastColumn="0" w:noHBand="0" w:noVBand="0" w:val="0020"/>
      </w:tblPr>
      <w:tblGrid>
        <w:gridCol w:w="3744"/>
        <w:gridCol w:w="3744"/>
        <w:gridCol w:w="4752"/>
        <w:gridCol w:w="2218"/>
      </w:tblGrid>
      <w:tr>
        <w:trPr>
          <w:tblHeader w:val="on"/>
          <w:cantSplit/>
        </w:trPr>
        <w:tc>
          <w:tcPr>
            <w:tcW w:type="dxa" w:w="3744"/>
            <w:tcMar>
              <w:top w:w="35" w:type="dxa"/>
              <w:left w:w="140" w:type="dxa"/>
              <w:bottom w:w="35" w:type="dxa"/>
              <w:right w:w="140" w:type="dxa"/>
            </w:tcMar>
          </w:tcPr>
          <w:p>
            <w:pPr>
              <w:pStyle w:val="Compact"/>
              <w:keepNext/>
              <w:keepLines/>
              <w:spacing w:before="0" w:after="20"/>
              <w:jc w:val="left"/>
            </w:pPr>
            <w:r>
              <w:rPr>
                <w:rFonts w:ascii="Arial" w:hAnsi="Arial"/>
                <w:b/>
                <w:sz w:val="18"/>
              </w:rPr>
              <w:t xml:space="preserve">Characteristic</w:t>
            </w:r>
          </w:p>
        </w:tc>
        <w:tc>
          <w:tcPr>
            <w:tcW w:type="dxa" w:w="3744"/>
            <w:tcMar>
              <w:top w:w="35" w:type="dxa"/>
              <w:left w:w="140" w:type="dxa"/>
              <w:bottom w:w="35" w:type="dxa"/>
              <w:right w:w="140" w:type="dxa"/>
            </w:tcMar>
          </w:tcPr>
          <w:p>
            <w:pPr>
              <w:pStyle w:val="Compact"/>
              <w:keepNext/>
              <w:keepLines/>
              <w:spacing w:before="0" w:after="20"/>
              <w:jc w:val="left"/>
            </w:pPr>
            <w:r>
              <w:rPr>
                <w:rFonts w:ascii="Arial" w:hAnsi="Arial"/>
                <w:b/>
                <w:sz w:val="18"/>
              </w:rPr>
              <w:t xml:space="preserve">Category</w:t>
            </w:r>
          </w:p>
        </w:tc>
        <w:tc>
          <w:tcPr>
            <w:tcW w:type="dxa" w:w="4752"/>
            <w:tcMar>
              <w:top w:w="35" w:type="dxa"/>
              <w:left w:w="140" w:type="dxa"/>
              <w:bottom w:w="35" w:type="dxa"/>
              <w:right w:w="140" w:type="dxa"/>
            </w:tcMar>
          </w:tcPr>
          <w:p>
            <w:pPr>
              <w:pStyle w:val="Compact"/>
              <w:keepNext/>
              <w:keepLines/>
              <w:spacing w:before="0" w:after="20"/>
              <w:jc w:val="left"/>
            </w:pPr>
            <w:r>
              <w:rPr>
                <w:rFonts w:ascii="Arial" w:hAnsi="Arial"/>
                <w:b/>
                <w:sz w:val="18"/>
              </w:rPr>
              <w:t xml:space="preserve">Odds ratio (95% CI)</w:t>
            </w:r>
          </w:p>
        </w:tc>
        <w:tc>
          <w:tcPr>
            <w:tcW w:type="dxa" w:w="2218"/>
            <w:tcMar>
              <w:top w:w="35" w:type="dxa"/>
              <w:left w:w="140" w:type="dxa"/>
              <w:bottom w:w="35" w:type="dxa"/>
              <w:right w:w="140" w:type="dxa"/>
            </w:tcMar>
          </w:tcPr>
          <w:p>
            <w:pPr>
              <w:pStyle w:val="Compact"/>
              <w:keepNext/>
              <w:keepLines/>
              <w:spacing w:before="0" w:after="20"/>
              <w:jc w:val="left"/>
            </w:pPr>
            <w:r>
              <w:rPr>
                <w:rFonts w:ascii="Arial" w:hAnsi="Arial"/>
                <w:b/>
                <w:sz w:val="18"/>
              </w:rPr>
              <w:t xml:space="preserve">P value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2016</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Female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Medicare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Quartile 1 (lowest income)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Metro</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Small</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Nonteaching urban</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Government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Q1</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Routine discharge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Minor</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1–7</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No</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Heart failure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Cardiac arrhythmias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Valvular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Pulmonary circulation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Peripheral vascular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uncomplicated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Paralysis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Other neurologic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Chronic pulmonary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uncomplicated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Hypothyroidism</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Renal failure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Liver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Peptic ulcer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AIDS/HIV</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Lymphoma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Metastatic cancer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Solid tumor without metastasis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Rheumatoid arthritis/collagen vascular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Coagulopathy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Obesity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Weight loss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Fluid and electrolyte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Blood loss anemia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Deficiency anemia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Alcohol abuse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Drug abuse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Psychoses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Depression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2017</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1.04, 95% CI 0.99–1.09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0.081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2018</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1.03, 95% CI 0.98–1.08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0.289</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2019</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1.01, 95% CI 0.97–1.06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0.585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2020</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1.04, 95% CI 0.99–1.09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0.102</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2021</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1.17, 95% CI 1.11–1.22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2022</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1.19, 95% CI 1.13–1.24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Age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1</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0.82, 95% CI 0.79–0.85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Age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2</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0.57, 95% CI 0.55–0.60</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Age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3</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0.64, 95% CI 0.62–0.66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Male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1.04, 95% CI 1.03–1.06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Medicaid</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1.11, 95% CI 1.08–1.14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Private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0.96, 95% CI 0.93–0.99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0.008</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0.99, 95% CI 0.95–1.03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0.502</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Quartile 2</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0.90, 95% CI 0.88–0.92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Quartile 3</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0.90, 95% CI 0.87–0.92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Quartile 4 (highest income)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0.95, 95% CI 0.93–0.98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0.003</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Non-metro</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1.47, 95% CI 1.41–1.53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Medium</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0.85, 95% CI 0.83–0.89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Large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0.74, 95% CI 0.71–0.77</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Teaching urban</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0.90, 95% CI 0.87–0.93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Rural</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0.58, 95% CI 0.54–0.61</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Private nonprofit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0.98, 95% CI 0.94–1.03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0.479</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Private for-profit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1.19, 95% CI 1.13–1.25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Q2</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0.61, 95% CI 0.57–0.66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Q3</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0.33, 95% CI 0.30–0.36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Q4</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0.24, 95% CI 0.22–0.26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1</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0.90, 95% CI 0.88–0.93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2</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0.82, 95% CI 0.78–0.86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Basis 3</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1.01, 95% CI 0.98–1.04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0.450</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Other facility</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1.25, 95% CI 1.22–1.28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Home health</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0.92, 95% CI 0.91–0.94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Missing/unknown (sparse; estimate suppressed)</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Unknown (sparse; estimate suppressed)</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Moderate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0.93, 95% CI 0.90–0.97</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Major</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0.88, 95% CI 0.85–0.91</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Extreme</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0.87, 95% CI 0.84–0.91</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Cardiac arrhythmias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0.97, 95% CI 0.96–0.99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Valvular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1.06, 95% CI 1.04–1.08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Pulmonary circulation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1.00, 95% CI 0.98–1.02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0.986</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Peripheral vascular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1.01, 95% CI 0.99–1.03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0.339</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uncomplicated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0.99, 95% CI 0.95–1.03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0.598</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Paralysis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1.06, 95% CI 0.96–1.17</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0.259</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Other neurologic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1.05, 95% CI 1.02–1.08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Chronic pulmonary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0.94, 95% CI 0.93–0.96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uncomplicated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1.03, 95% CI 1.01–1.06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0.015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0.98, 95% CI 0.96–1.00</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0.019</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Hypothyroidism</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0.95, 95% CI 0.93–0.97</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Renal failure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0.98, 95% CI 0.97–1.00</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0.052</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Liver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1.05, 95% CI 1.02–1.08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0.003</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Peptic ulcer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0.96, 95% CI 0.87–1.05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0.345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AIDS/HIV</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1.19, 95% CI 1.06–1.34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0.004</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Lymphoma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0.91, 95% CI 0.85–0.98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0.010</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Metastatic cancer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0.96, 95% CI 0.89–1.03</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0.262</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Solid tumor without metastasis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0.96, 95% CI 0.92–1.01</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0.081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Rheumatoid arthritis/collagen vascular disease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0.95, 95% CI 0.91–0.99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0.008</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Coagulopathy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1.03, 95% CI 1.00–1.06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0.024</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Obesity</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1.00, 95% CI 0.98–1.02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0.793</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Weight loss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1.04, 95% CI 1.01–1.08</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0.013</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Fluid and electrolyte disorders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1.02, 95% CI 1.01–1.04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Blood loss anemia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0.96, 95% CI 0.90–1.04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0.326</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Deficiency anemia</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1.03, 95% CI 1.00–1.05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0.066</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Alcohol abuse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0.98, 95% CI 0.95–1.02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0.415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Drug abuse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1.22, 95% CI 1.18–1.26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Psychoses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1.23, 95% CI 1.16–1.30</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Depression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0.94, 95% CI 0.92–0.96</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complicated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0.99, 95% CI 0.96–1.02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0.474</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8–14</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0.93, 95% CI 0.91–0.95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15–30</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0.93, 95% CI 0.91–0.95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1.03, 95% CI 1.01–1.04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Other cardiovascular</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1.50, 95% CI 1.47–1.54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Infection/sepsis</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1.21, 95% CI 1.17–1.24</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Renal/AKI</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1.01, 95% CI 0.98–1.05</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0.537</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Respiratory/COPD</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1.04, 95% CI 1.01–1.07</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 0.005</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GI/bleeding</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1.08, 95% CI 1.04–1.12</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4752"/>
            <w:tcMar>
              <w:top w:w="35" w:type="dxa"/>
              <w:left w:w="140" w:type="dxa"/>
              <w:bottom w:w="35" w:type="dxa"/>
              <w:right w:w="140" w:type="dxa"/>
            </w:tcMar>
          </w:tcPr>
          <w:p>
            <w:pPr>
              <w:pStyle w:val="Compact"/>
              <w:keepLines/>
              <w:spacing w:before="0" w:after="20"/>
              <w:jc w:val="left"/>
            </w:pPr>
            <w:r>
              <w:rPr>
                <w:rFonts w:ascii="Arial" w:hAnsi="Arial"/>
                <w:sz w:val="18"/>
              </w:rPr>
              <w:t xml:space="preserve">1.36, 95% CI 1.33–1.39</w:t>
            </w:r>
          </w:p>
        </w:tc>
        <w:tc>
          <w:tcPr>
            <w:tcW w:type="dxa" w:w="2218"/>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bl>
    <w:bookmarkEnd w:id="49"/>
    <w:bookmarkStart w:id="54" w:name="annual-trends"/>
    <w:p>
      <w:pPr>
        <w:pStyle w:val="Heading3"/>
      </w:pPr>
      <w:r>
        <w:rPr>
          <w:sz w:val="20"/>
        </w:rPr>
        <w:t xml:space="preserve">Annual trends</w:t>
      </w:r>
    </w:p>
    <w:p>
      <w:pPr>
        <w:pStyle w:val="FirstParagraph"/>
      </w:pPr>
      <w:r>
        <w:rPr>
          <w:sz w:val="20"/>
        </w:rPr>
        <w:t xml:space="preserve">Annual weighted proportions and risks are shown by year. The vertical line marks 2020; trend tests use year as a continuous term.</w:t>
      </w:r>
    </w:p>
    <w:tbl>
      <w:tblPr>
        <w:tblStyle w:val="Table"/>
        <w:tblW w:type="pct" w:w="5000"/>
        <w:tblLayout w:type="fixed"/>
        <w:tblLook w:firstRow="0" w:lastRow="0" w:firstColumn="0" w:lastColumn="0" w:noHBand="0" w:noVBand="0" w:val="0000"/>
      </w:tblPr>
      <w:tblGrid>
        <w:gridCol w:w="14458"/>
      </w:tblGrid>
      <w:tr>
        <w:trPr>
          <w:cantSplit/>
          <w:tblHeader w:val="true"/>
        </w:trPr>
        <w:tc>
          <w:tcPr>
            <w:tcW w:type="dxa" w:w="14458"/>
            <w:tcMar>
              <w:top w:w="35" w:type="dxa"/>
              <w:left w:w="140" w:type="dxa"/>
              <w:bottom w:w="35" w:type="dxa"/>
              <w:right w:w="140" w:type="dxa"/>
            </w:tcMar>
          </w:tcPr>
          <w:bookmarkStart w:id="53" w:name="fig-trends"/>
          <w:p>
            <w:pPr>
              <w:pStyle w:val="Compact"/>
              <w:keepNext/>
              <w:keepLines/>
              <w:spacing w:before="0" w:after="20"/>
              <w:jc w:val="center"/>
            </w:pPr>
            <w:r>
              <w:rPr>
                <w:rFonts w:ascii="Arial" w:hAnsi="Arial"/>
                <w:b/>
                <w:sz w:val="18"/>
              </w:rPr>
              <w:drawing>
                <wp:inline>
                  <wp:extent cx="5334000" cy="3333750"/>
                  <wp:effectExtent b="0" l="0" r="0" t="0"/>
                  <wp:docPr descr="" title="" id="51" name="Picture"/>
                  <a:graphic>
                    <a:graphicData uri="http://schemas.openxmlformats.org/drawingml/2006/picture">
                      <pic:pic>
                        <pic:nvPicPr>
                          <pic:cNvPr descr="index_files/figure-docx/fig-trends-1.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keepNext/>
              <w:keepLines/>
              <w:spacing w:before="0" w:after="20"/>
              <w:jc w:val="center"/>
            </w:pPr>
            <w:pPr>
              <w:jc w:val="left"/>
              <w:spacing w:before="200"/>
              <w:pStyle w:val="ImageCaption"/>
            </w:pPr>
            <w:r>
              <w:rPr>
                <w:rFonts w:ascii="Arial" w:hAnsi="Arial"/>
                <w:b/>
                <w:sz w:val="18"/>
              </w:rPr>
              <w:t xml:space="preserve">Figure 4: Annual hospital destination and outcome estimates, 2016–2022.</w:t>
            </w:r>
          </w:p>
          <w:bookmarkEnd w:id="53"/>
        </w:tc>
      </w:tr>
    </w:tbl>
    <w:bookmarkEnd w:id="54"/>
    <w:bookmarkEnd w:id="55"/>
    <w:bookmarkStart w:id="66" w:name="supplementary-tables"/>
    <w:p>
      <w:pPr>
        <w:pStyle w:val="Heading2"/>
      </w:pPr>
      <w:r>
        <w:rPr>
          <w:sz w:val="20"/>
        </w:rPr>
        <w:t xml:space="preserve">Supplementary tables</w:t>
      </w:r>
    </w:p>
    <w:bookmarkStart w:id="56" w:name="table-s1.-survey-design-by-year"/>
    <w:p>
      <w:pPr>
        <w:pStyle w:val="Heading3"/>
      </w:pPr>
      <w:r>
        <w:rPr>
          <w:sz w:val="20"/>
        </w:rPr>
        <w:t xml:space="preserve">Table S1. Survey design by year</w:t>
      </w:r>
    </w:p>
    <w:tbl>
      <w:tblPr>
        <w:tblStyle w:val="Table"/>
        <w:tblW w:type="pct" w:w="5000"/>
        <w:tblLayout w:type="fixed"/>
        <w:tblLook w:firstRow="1" w:lastRow="0" w:firstColumn="0" w:lastColumn="0" w:noHBand="0" w:noVBand="0" w:val="0020"/>
      </w:tblPr>
      <w:tblGrid>
        <w:gridCol w:w="2880"/>
        <w:gridCol w:w="2880"/>
        <w:gridCol w:w="2880"/>
        <w:gridCol w:w="2880"/>
        <w:gridCol w:w="2938"/>
      </w:tblGrid>
      <w:tr>
        <w:trPr>
          <w:tblHeader w:val="on"/>
          <w:cantSplit/>
        </w:trPr>
        <w:tc>
          <w:tcPr>
            <w:tcW w:type="dxa" w:w="2880"/>
            <w:tcMar>
              <w:top w:w="35" w:type="dxa"/>
              <w:left w:w="140" w:type="dxa"/>
              <w:bottom w:w="35" w:type="dxa"/>
              <w:right w:w="140" w:type="dxa"/>
            </w:tcMar>
          </w:tcPr>
          <w:p>
            <w:pPr>
              <w:pStyle w:val="Compact"/>
              <w:keepNext/>
              <w:keepLines/>
              <w:spacing w:before="0" w:after="20"/>
              <w:jc w:val="left"/>
            </w:pPr>
            <w:r>
              <w:rPr>
                <w:rFonts w:ascii="Arial" w:hAnsi="Arial"/>
                <w:b/>
                <w:sz w:val="18"/>
              </w:rPr>
              <w:t xml:space="preserve">Year</w:t>
            </w:r>
          </w:p>
        </w:tc>
        <w:tc>
          <w:tcPr>
            <w:tcW w:type="dxa" w:w="2880"/>
            <w:tcMar>
              <w:top w:w="35" w:type="dxa"/>
              <w:left w:w="140" w:type="dxa"/>
              <w:bottom w:w="35" w:type="dxa"/>
              <w:right w:w="140" w:type="dxa"/>
            </w:tcMar>
          </w:tcPr>
          <w:p>
            <w:pPr>
              <w:pStyle w:val="Compact"/>
              <w:keepNext/>
              <w:keepLines/>
              <w:spacing w:before="0" w:after="20"/>
              <w:jc w:val="left"/>
            </w:pPr>
            <w:r>
              <w:rPr>
                <w:rFonts w:ascii="Arial" w:hAnsi="Arial"/>
                <w:b/>
                <w:sz w:val="18"/>
              </w:rPr>
              <w:t xml:space="preserve">Unweighted n</w:t>
            </w:r>
          </w:p>
        </w:tc>
        <w:tc>
          <w:tcPr>
            <w:tcW w:type="dxa" w:w="2880"/>
            <w:tcMar>
              <w:top w:w="35" w:type="dxa"/>
              <w:left w:w="140" w:type="dxa"/>
              <w:bottom w:w="35" w:type="dxa"/>
              <w:right w:w="140" w:type="dxa"/>
            </w:tcMar>
          </w:tcPr>
          <w:p>
            <w:pPr>
              <w:pStyle w:val="Compact"/>
              <w:keepNext/>
              <w:keepLines/>
              <w:spacing w:before="0" w:after="20"/>
              <w:jc w:val="left"/>
            </w:pPr>
            <w:r>
              <w:rPr>
                <w:rFonts w:ascii="Arial" w:hAnsi="Arial"/>
                <w:b/>
                <w:sz w:val="18"/>
              </w:rPr>
              <w:t xml:space="preserve">Weighted estimate</w:t>
            </w:r>
          </w:p>
        </w:tc>
        <w:tc>
          <w:tcPr>
            <w:tcW w:type="dxa" w:w="2880"/>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Sampling strata</w:t>
            </w:r>
          </w:p>
        </w:tc>
        <w:tc>
          <w:tcPr>
            <w:tcW w:type="dxa" w:w="2938"/>
            <w:tcMar>
              <w:top w:w="35" w:type="dxa"/>
              <w:left w:w="140" w:type="dxa"/>
              <w:bottom w:w="35" w:type="dxa"/>
              <w:right w:w="140" w:type="dxa"/>
            </w:tcMar>
          </w:tcPr>
          <w:p>
            <w:pPr>
              <w:pStyle w:val="Compact"/>
              <w:keepNext/>
              <w:keepLines/>
              <w:spacing w:before="0" w:after="20"/>
              <w:jc w:val="left"/>
            </w:pPr>
            <w:r>
              <w:rPr>
                <w:rFonts w:ascii="Arial" w:hAnsi="Arial"/>
                <w:b/>
                <w:sz w:val="18"/>
              </w:rPr>
              <w:t xml:space="preserve">Primary sampling units</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2016</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65,372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123,068</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97</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2,355</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2017</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75,901</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137,397</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97</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2,454</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2018</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78,364</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142,562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89</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2,430</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2019</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82,010</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146,524</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93</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2,507</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2020</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70,472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126,052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100</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2,539</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2021</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73,085</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134,161</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96</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2,505</w:t>
            </w:r>
          </w:p>
        </w:tc>
      </w:tr>
      <w:tr>
        <w:trPr>
          <w:cantSplit/>
        </w:trPr>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2022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73,782</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134,526</w:t>
            </w:r>
          </w:p>
        </w:tc>
        <w:tc>
          <w:tcPr>
            <w:tcW w:type="dxa" w:w="2880"/>
            <w:tcMar>
              <w:top w:w="35" w:type="dxa"/>
              <w:left w:w="140" w:type="dxa"/>
              <w:bottom w:w="35" w:type="dxa"/>
              <w:right w:w="140" w:type="dxa"/>
            </w:tcMar>
          </w:tcPr>
          <w:p>
            <w:pPr>
              <w:pStyle w:val="Compact"/>
              <w:keepLines/>
              <w:spacing w:before="0" w:after="20"/>
              <w:jc w:val="left"/>
            </w:pPr>
            <w:r>
              <w:rPr>
                <w:rFonts w:ascii="Arial" w:hAnsi="Arial"/>
                <w:sz w:val="18"/>
              </w:rPr>
              <w:t xml:space="preserve">98</w:t>
            </w:r>
          </w:p>
        </w:tc>
        <w:tc>
          <w:tcPr>
            <w:tcW w:type="dxa" w:w="2938"/>
            <w:tcMar>
              <w:top w:w="35" w:type="dxa"/>
              <w:left w:w="140" w:type="dxa"/>
              <w:bottom w:w="35" w:type="dxa"/>
              <w:right w:w="140" w:type="dxa"/>
            </w:tcMar>
          </w:tcPr>
          <w:p>
            <w:pPr>
              <w:pStyle w:val="Compact"/>
              <w:keepLines/>
              <w:spacing w:before="0" w:after="20"/>
              <w:jc w:val="left"/>
            </w:pPr>
            <w:r>
              <w:rPr>
                <w:rFonts w:ascii="Arial" w:hAnsi="Arial"/>
                <w:sz w:val="18"/>
              </w:rPr>
              <w:t xml:space="preserve">2,505</w:t>
            </w:r>
          </w:p>
        </w:tc>
      </w:tr>
    </w:tbl>
    <w:bookmarkEnd w:id="56"/>
    <w:bookmarkStart w:id="57" w:name="table-s2.-full-baseline-characteristics"/>
    <w:p>
      <w:pPr>
        <w:pStyle w:val="Heading3"/>
      </w:pPr>
      <w:r>
        <w:rPr>
          <w:sz w:val="20"/>
        </w:rPr>
        <w:t xml:space="preserve">Table S2. Full baseline characteristics</w:t>
      </w:r>
    </w:p>
    <w:p>
      <w:pPr>
        <w:pStyle w:val="FirstParagraph"/>
      </w:pPr>
      <w:r>
        <w:rPr>
          <w:sz w:val="20"/>
        </w:rPr>
        <w:t xml:space="preserve">Counts of 1–10 are shown as ≤10; * denotes complementary suppression. Percentages use nonmissing survey-weighted denominators.</w:t>
      </w:r>
    </w:p>
    <w:tbl>
      <w:tblPr>
        <w:tblStyle w:val="Table"/>
        <w:tblW w:type="pct" w:w="5000"/>
        <w:tblLayout w:type="fixed"/>
        <w:tblLook w:firstRow="1" w:lastRow="0" w:firstColumn="0" w:lastColumn="0" w:noHBand="0" w:noVBand="0" w:val="0020"/>
      </w:tblPr>
      <w:tblGrid>
        <w:gridCol w:w="3960"/>
        <w:gridCol w:w="2736"/>
        <w:gridCol w:w="1944"/>
        <w:gridCol w:w="1944"/>
        <w:gridCol w:w="1944"/>
        <w:gridCol w:w="1930"/>
      </w:tblGrid>
      <w:tr>
        <w:trPr>
          <w:tblHeader w:val="on"/>
          <w:cantSplit/>
        </w:trPr>
        <w:tc>
          <w:tcPr>
            <w:tcW w:type="dxa" w:w="3960"/>
            <w:tcMar>
              <w:top w:w="35" w:type="dxa"/>
              <w:left w:w="140" w:type="dxa"/>
              <w:bottom w:w="35" w:type="dxa"/>
              <w:right w:w="140" w:type="dxa"/>
            </w:tcMar>
          </w:tcPr>
          <w:p>
            <w:pPr>
              <w:pStyle w:val="Compact"/>
              <w:keepNext/>
              <w:keepLines/>
              <w:spacing w:before="0" w:after="20"/>
              <w:jc w:val="left"/>
            </w:pPr>
            <w:r>
              <w:rPr>
                <w:rFonts w:ascii="Arial" w:hAnsi="Arial"/>
                <w:b/>
                <w:sz w:val="18"/>
              </w:rPr>
              <w:t xml:space="preserve">Characteristic</w:t>
            </w:r>
          </w:p>
        </w:tc>
        <w:tc>
          <w:tcPr>
            <w:tcW w:type="dxa" w:w="2736"/>
            <w:tcMar>
              <w:top w:w="35" w:type="dxa"/>
              <w:left w:w="140" w:type="dxa"/>
              <w:bottom w:w="35" w:type="dxa"/>
              <w:right w:w="140" w:type="dxa"/>
            </w:tcMar>
          </w:tcPr>
          <w:p>
            <w:pPr>
              <w:pStyle w:val="Compact"/>
              <w:keepNext/>
              <w:keepLines/>
              <w:spacing w:before="0" w:after="20"/>
              <w:jc w:val="left"/>
            </w:pPr>
            <w:r>
              <w:rPr>
                <w:rFonts w:ascii="Arial" w:hAnsi="Arial"/>
                <w:b/>
                <w:sz w:val="18"/>
              </w:rPr>
              <w:t xml:space="preserve">Category</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Overall</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 hospital</w:t>
            </w:r>
          </w:p>
        </w:tc>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 hospital</w:t>
            </w:r>
          </w:p>
        </w:tc>
        <w:tc>
          <w:tcPr>
            <w:tcW w:type="dxa" w:w="1930"/>
            <w:tcMar>
              <w:top w:w="35" w:type="dxa"/>
              <w:left w:w="140" w:type="dxa"/>
              <w:bottom w:w="35" w:type="dxa"/>
              <w:right w:w="140" w:type="dxa"/>
            </w:tcMar>
          </w:tcPr>
          <w:p>
            <w:pPr>
              <w:pStyle w:val="Compact"/>
              <w:keepNext/>
              <w:keepLines/>
              <w:spacing w:before="0" w:after="20"/>
              <w:jc w:val="left"/>
            </w:pPr>
            <w:r>
              <w:rPr>
                <w:rFonts w:ascii="Arial" w:hAnsi="Arial"/>
                <w:b/>
                <w:sz w:val="18"/>
              </w:rPr>
              <w:t xml:space="preserve">Standardized mean difference</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Age, 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Median (IQR)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73 (63-83)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74 (63-83)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72 (61-81)</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-0.159</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Female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249,243 (48.2%)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197,774 (48.7%)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51,469 (46.4%)</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0.046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Male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269,743 (51.8%)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209,375 (51.3%)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60,368 (53.6%)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Medicare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399,008 (77.1%)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316,768 (78.0%)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82,240 (74.0%)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0.102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Medicaid</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58,832 (11.0%)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43,014 (10.3%)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15,818 (13.5%)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41,915 (8.2%)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32,601 (8.1%)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9,314 (8.4%)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18,679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14,353 (3.6%)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4,326 (4.1%)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1 (lowest income)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165,371 (34.1%)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126,422 (33.3%)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38,949 (37.3%)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0.086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138,528 (27.5%)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109,096 (27.6%)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29,432 (27.1%)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118,574 (22.3%)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94,689 (22.8%)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23,885 (20.7%)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Quartile 4 (highest income)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90,972 (16.0%)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72,627 (16.3%)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18,345 (14.8%)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Metro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447,591 (84.4%)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355,267 (85.5%)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92,324 (80.2%)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0.141</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Non-metro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67,757 (15.6%)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49,673 (14.5%)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18,084 (19.8%)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Small</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94,958 (19.3%)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67,858 (17.5%)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27,100 (25.6%)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0.199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Medium</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149,640 (27.9%)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116,301 (27.7%)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33,339 (28.8%)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Large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274,388 (52.8%)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222,990 (54.8%)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51,398 (45.5%)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Nonteaching urban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119,815 (21.5%)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90,646 (20.7%)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29,169 (24.3%)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0.143</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Teaching urban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357,007 (68.5%)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285,236 (69.9%)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71,771 (63.2%)</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Rural</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42,164 (10.0%)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31,267 (9.4%)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10,897 (12.4%)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Government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56,042 (10.3%)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43,099 (10.1%)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12,943 (11.1%)</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0.108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 nonprofit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385,110 (75.3%)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306,434 (76.3%)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78,676 (71.6%)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Private for-profit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77,834 (14.4%)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57,616 (13.6%)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20,218 (17.4%)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4,260 (1.0%)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2,149 (0.7%)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2,111 (2.3%)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0.272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31,311 (6.9%)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19,517 (5.5%)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11,794 (12.0%)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122,662 (23.7%)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91,856 (22.7%)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30,806 (27.3%)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Q4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360,753 (68.4%)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293,627 (71.2%)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67,126 (58.3%)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 length of stay, 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Median (IQR)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 (3-7)</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-0.006</w:t>
            </w: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Routine discharge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195,395 (48.6%)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0.118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Other facility</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105,739 (20.6%)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80,800 (20.1%)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24,939 (22.4%)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Home health</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160,593 (30.1%)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130,954 (31.2%)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29,639 (25.9%)</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Missing/unknown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Minor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24,768 (4.8%)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18,594 (4.5%)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6,174 (5.6%)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0.049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Unknown</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Moderate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156,994 (30.3%)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121,645 (29.9%)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35,349 (31.7%)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Major</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Extreme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82,924 (15.9%)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65,310 (16.0%)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17,614 (15.5%)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1–7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159,007 (30.6%)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123,257 (30.2%)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35,750 (31.9%)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0.037</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8–14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136,732 (26.3%)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107,829 (26.5%)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28,903 (25.8%)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15–30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223,247 (43.1%)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176,063 (43.3%)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47,184 (42.3%)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No</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316,870 (61.0%)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249,628 (61.2%)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67,242 (60.2%)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202,116 (39.0%)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157,521 (38.8%)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44,595 (39.8%)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Congestive heart failure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Cardiac arrhythmias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220,380 (42.7%)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169,897 (42.0%)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50,483 (45.2%)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0.066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298,606 (57.3%)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237,252 (58.0%)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61,354 (54.8%)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Valvular disease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362,604 (70.0%)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283,509 (69.8%)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79,095 (70.9%)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0.025</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156,382 (30.0%)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123,640 (30.2%)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32,742 (29.1%)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Pulmonary circulation disorders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396,675 (76.2%)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310,083 (75.9%)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86,592 (77.3%)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0.033</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122,311 (23.8%)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97,066 (24.1%)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25,245 (22.7%)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Peripheral vascular disorders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418,114 (80.6%)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327,155 (80.4%)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90,959 (81.3%)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0.023</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100,872 (19.4%)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79,994 (19.6%)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20,878 (18.7%)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uncomplicated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490,772 (94.4%)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385,253 (94.4%)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105,519 (94.2%)</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28,214 (5.6%)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21,896 (5.6%)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6,318 (5.8%)</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Paralysis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516,448 (99.5%)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405,212 (99.5%)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111,236 (99.5%)</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2,538 (0.5%)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1,937 (0.5%)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601 (0.5%)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Other neurologic disorders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472,505 (91.0%)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371,203 (91.1%)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101,302 (90.6%)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46,481 (9.0%)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35,946 (8.9%)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10,535 (9.4%)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Chronic pulmonary disease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298,058 (56.9%)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232,554 (56.6%)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65,504 (58.0%)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220,928 (43.1%)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174,595 (43.4%)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46,333 (42.0%)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uncomplicated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456,528 (88.0%)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358,951 (88.2%)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97,577 (87.3%)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62,458 (12.0%)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48,198 (11.8%)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14,260 (12.7%)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complicated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309,428 (59.5%)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241,820 (59.3%)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67,608 (60.3%)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0.021</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209,558 (40.5%)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165,329 (40.7%)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44,229 (39.7%)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Hypothyroidism</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420,502 (80.9%)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328,218 (80.5%)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92,284 (82.3%)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0.048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98,484 (19.1%)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78,931 (19.5%)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19,553 (17.7%)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Renal failure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220,323 (42.3%)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170,588 (41.8%)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49,735 (44.3%)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0.051</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298,663 (57.7%)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236,561 (58.2%)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62,102 (55.7%)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Liver disease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486,966 (94.0%)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382,602 (94.1%)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104,364 (93.5%)</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0.027</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32,020 (6.0%)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24,547 (5.9%)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7,473 (6.5%)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Peptic ulcer disease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515,666 (99.4%)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404,530 (99.4%)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111,136 (99.4%)</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0.003</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3,320 (0.6%)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2,619 (0.6%)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701 (0.6%)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AIDS/HIV</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517,437 (99.7%)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406,032 (99.7%)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111,405 (99.6%)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1,549 (0.3%)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1,117 (0.3%)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432 (0.4%)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Lymphoma</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512,539 (98.8%)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401,917 (98.7%)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110,622 (98.9%)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6,447 (1.2%)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5,232 (1.3%)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1,215 (1.1%)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Metastatic cancer</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511,392 (98.5%)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401,083 (98.5%)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110,309 (98.7%)</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7,594 (1.5%)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6,066 (1.5%)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1,528 (1.3%)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Solid tumor without metastasis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501,151 (96.6%)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392,899 (96.5%)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108,252 (96.8%)</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0.018</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17,835 (3.4%)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14,250 (3.5%)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3,585 (3.2%)</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Rheumatoid arthritis/collagen vascular disease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498,669 (96.0%)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390,862 (95.9%)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107,807 (96.3%)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0.020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20,317 (4.0%)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16,287 (4.1%)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4,030 (3.7%)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Coagulopathy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476,574 (92.0%)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373,837 (92.0%)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102,737 (92.1%)</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42,412 (8.0%)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33,312 (8.0%)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9,100 (7.9%)</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Obesity</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386,478 (74.0%)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303,843 (74.1%)</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82,635 (73.5%)</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0.014</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132,508 (26.0%)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103,306 (25.9%)</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29,202 (26.5%)</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Weight loss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483,651 (93.3%)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379,500 (93.3%)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104,151 (93.3%)</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35,335 (6.7%)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27,649 (6.7%)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7,686 (6.7%)</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Fluid and electrolyte disorders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303,931 (58.5%)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238,601 (58.5%)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65,330 (58.4%)</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0.002</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215,055 (41.5%)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168,548 (41.5%)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46,507 (41.6%)</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Blood loss anemia</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513,684 (99.0%)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402,916 (99.0%)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110,768 (99.0%)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0.007</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5,302 (1.0%)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4,233 (1.0%)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1,069 (1.0%)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Deficiency anemia</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471,572 (90.8%)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369,876 (90.7%)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101,696 (90.9%)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0.006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47,414 (9.2%)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37,273 (9.3%)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10,141 (9.1%)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Alcohol abuse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498,862 (96.2%)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392,022 (96.3%)</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106,840 (95.6%)</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0.035</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20,124 (3.8%)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15,127 (3.7%)</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4,997 (4.4%)</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Drug abuse</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488,956 (94.5%)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385,856 (95.0%)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103,100 (92.7%)</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0.095</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30,030 (5.5%)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21,293 (5.0%)</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8,737 (7.3%)</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Psychoses</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510,729 (98.4%)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401,287 (98.6%)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109,442 (97.9%)</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0.050</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8,257 (1.6%)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5,862 (1.4%)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2,395 (2.1%)</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Depression</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450,882 (86.5%)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353,251 (86.4%)</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97,631 (87.0%)</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0.016</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68,104 (13.5%)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53,898 (13.6%)</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14,206 (13.0%)</w:t>
            </w:r>
          </w:p>
        </w:tc>
        <w:tc>
          <w:tcPr>
            <w:tcW w:type="dxa" w:w="1930"/>
            <w:tcMar>
              <w:top w:w="35" w:type="dxa"/>
              <w:left w:w="140" w:type="dxa"/>
              <w:bottom w:w="35" w:type="dxa"/>
              <w:right w:w="140" w:type="dxa"/>
            </w:tcMar>
          </w:tcPr>
          <w:p>
            <w:pPr>
              <w:pStyle w:val="Compact"/>
              <w:keepLines/>
              <w:spacing w:before="0" w:after="20"/>
            </w:pPr>
          </w:p>
        </w:tc>
      </w:tr>
      <w:tr>
        <w:trPr>
          <w:cantSplit/>
        </w:trPr>
        <w:tc>
          <w:tcPr>
            <w:tcW w:type="dxa" w:w="3960"/>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complicated</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Absent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63,904 (12.5%)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48,935 (12.2%)</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14,969 (13.5%)</w:t>
            </w:r>
          </w:p>
        </w:tc>
        <w:tc>
          <w:tcPr>
            <w:tcW w:type="dxa" w:w="1930"/>
            <w:tcMar>
              <w:top w:w="35" w:type="dxa"/>
              <w:left w:w="140" w:type="dxa"/>
              <w:bottom w:w="35" w:type="dxa"/>
              <w:right w:w="140" w:type="dxa"/>
            </w:tcMar>
          </w:tcPr>
          <w:p>
            <w:pPr>
              <w:pStyle w:val="Compact"/>
              <w:keepLines/>
              <w:spacing w:before="0" w:after="20"/>
              <w:jc w:val="left"/>
            </w:pPr>
            <w:r>
              <w:rPr>
                <w:rFonts w:ascii="Arial" w:hAnsi="Arial"/>
                <w:sz w:val="18"/>
              </w:rPr>
              <w:t xml:space="preserve">0.039</w:t>
            </w:r>
          </w:p>
        </w:tc>
      </w:tr>
      <w:tr>
        <w:trPr>
          <w:cantSplit/>
        </w:trPr>
        <w:tc>
          <w:tcPr>
            <w:tcW w:type="dxa" w:w="3960"/>
            <w:tcMar>
              <w:top w:w="35" w:type="dxa"/>
              <w:left w:w="140" w:type="dxa"/>
              <w:bottom w:w="35" w:type="dxa"/>
              <w:right w:w="140" w:type="dxa"/>
            </w:tcMar>
          </w:tcPr>
          <w:p>
            <w:pPr>
              <w:pStyle w:val="Compact"/>
              <w:keepLines/>
              <w:spacing w:before="0" w:after="20"/>
            </w:pP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Present</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455,082 (87.5%)</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358,214 (87.8%)</w:t>
            </w:r>
          </w:p>
        </w:tc>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96,868 (86.5%)</w:t>
            </w:r>
          </w:p>
        </w:tc>
        <w:tc>
          <w:tcPr>
            <w:tcW w:type="dxa" w:w="1930"/>
            <w:tcMar>
              <w:top w:w="35" w:type="dxa"/>
              <w:left w:w="140" w:type="dxa"/>
              <w:bottom w:w="35" w:type="dxa"/>
              <w:right w:w="140" w:type="dxa"/>
            </w:tcMar>
          </w:tcPr>
          <w:p>
            <w:pPr>
              <w:pStyle w:val="Compact"/>
              <w:keepLines/>
              <w:spacing w:before="0" w:after="20"/>
            </w:pPr>
          </w:p>
        </w:tc>
      </w:tr>
    </w:tbl>
    <w:bookmarkEnd w:id="57"/>
    <w:bookmarkStart w:id="58" w:name="table-s3.-missing-data-by-exposure"/>
    <w:p>
      <w:pPr>
        <w:pStyle w:val="Heading3"/>
      </w:pPr>
      <w:r>
        <w:rPr>
          <w:sz w:val="20"/>
        </w:rPr>
        <w:t xml:space="preserve">Table S3. Missing data by exposure</w:t>
      </w:r>
    </w:p>
    <w:p>
      <w:pPr>
        <w:pStyle w:val="FirstParagraph"/>
      </w:pPr>
      <w:r>
        <w:rPr>
          <w:sz w:val="20"/>
        </w:rPr>
        <w:t xml:space="preserve">Missing values and percentages are shown separately by exposure group. The primary model used complete cases. Readmission after live discharge is not applicable for patients who died during the first readmission; these cells do not represent missing outcome data.</w:t>
      </w:r>
    </w:p>
    <w:tbl>
      <w:tblPr>
        <w:tblStyle w:val="Table"/>
        <w:tblW w:type="pct" w:w="5000"/>
        <w:tblLayout w:type="fixed"/>
        <w:tblLook w:firstRow="1" w:lastRow="0" w:firstColumn="0" w:lastColumn="0" w:noHBand="0" w:noVBand="0" w:val="0020"/>
      </w:tblPr>
      <w:tblGrid>
        <w:gridCol w:w="6336"/>
        <w:gridCol w:w="4061"/>
        <w:gridCol w:w="4061"/>
      </w:tblGrid>
      <w:tr>
        <w:trPr>
          <w:tblHeader w:val="on"/>
          <w:cantSplit/>
        </w:trPr>
        <w:tc>
          <w:tcPr>
            <w:tcW w:type="dxa" w:w="6336"/>
            <w:tcMar>
              <w:top w:w="35" w:type="dxa"/>
              <w:left w:w="140" w:type="dxa"/>
              <w:bottom w:w="35" w:type="dxa"/>
              <w:right w:w="140" w:type="dxa"/>
            </w:tcMar>
          </w:tcPr>
          <w:p>
            <w:pPr>
              <w:pStyle w:val="Compact"/>
              <w:keepNext/>
              <w:keepLines/>
              <w:spacing w:before="0" w:after="20"/>
              <w:jc w:val="left"/>
            </w:pPr>
            <w:r>
              <w:rPr>
                <w:rFonts w:ascii="Arial" w:hAnsi="Arial"/>
                <w:b/>
                <w:sz w:val="18"/>
              </w:rPr>
              <w:t xml:space="preserve">Variable</w:t>
            </w:r>
          </w:p>
        </w:tc>
        <w:tc>
          <w:tcPr>
            <w:tcW w:type="dxa" w:w="4061"/>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 hospital</w:t>
            </w:r>
          </w:p>
        </w:tc>
        <w:tc>
          <w:tcPr>
            <w:tcW w:type="dxa" w:w="4061"/>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 hospital</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hospital</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Primary composite outcome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Death during first readmission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Readmission after live discharge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25,364 (6.2%)</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8,222 (7.4%)</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Survey weight</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Age, 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413 (0.1%)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139 (0.1%)</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4,315 (1.1%)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1,226 (1.1%)</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2,209 (0.5%)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1,429 (1.3%)</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length of stay, 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First-readmission principal diagnosis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Congestive heart failure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Cardiac arrhythmias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Valvular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Pulmonary circulation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Peripheral vascular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uncomplicated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Paralysis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Other neurologic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Chronic pulmonary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uncomplicated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Hypothyroidism</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Renal failure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Liver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Peptic ulcer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AIDS/HIV</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Lymphoma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Metastatic cancer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Solid tumor without metastasis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Rheumatoid arthritis/collagen vascular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Coagulopathy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Obesity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Weight loss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Fluid and electrolyte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Blood loss anemia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Deficiency anemia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Alcohol abuse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Drug abuse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Psychoses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Depression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 (0.0%)</w:t>
            </w:r>
          </w:p>
        </w:tc>
      </w:tr>
    </w:tbl>
    <w:bookmarkEnd w:id="58"/>
    <w:bookmarkStart w:id="59" w:name="Xdb55295566a60fc3003136d2ef048ac0fa88a15"/>
    <w:p>
      <w:pPr>
        <w:pStyle w:val="Heading3"/>
      </w:pPr>
      <w:r>
        <w:rPr>
          <w:sz w:val="20"/>
        </w:rPr>
        <w:t xml:space="preserve">Table S3b. Complete-case inclusion by year and exposure</w:t>
      </w:r>
    </w:p>
    <w:p>
      <w:pPr>
        <w:pStyle w:val="FirstParagraph"/>
      </w:pPr>
      <w:r>
        <w:rPr>
          <w:sz w:val="20"/>
        </w:rPr>
        <w:t xml:space="preserve">Counts show eligible first readmissions, complete-case inclusion, and loss from the primary model by year and exposure group.</w:t>
      </w:r>
    </w:p>
    <w:tbl>
      <w:tblPr>
        <w:tblStyle w:val="Table"/>
        <w:tblW w:type="pct" w:w="5000"/>
        <w:tblLayout w:type="fixed"/>
        <w:tblLook w:firstRow="1" w:lastRow="0" w:firstColumn="0" w:lastColumn="0" w:noHBand="0" w:noVBand="0" w:val="0020"/>
      </w:tblPr>
      <w:tblGrid>
        <w:gridCol w:w="1008"/>
        <w:gridCol w:w="1872"/>
        <w:gridCol w:w="1800"/>
        <w:gridCol w:w="2592"/>
        <w:gridCol w:w="2592"/>
        <w:gridCol w:w="1714"/>
      </w:tblGrid>
      <w:tr>
        <w:trPr>
          <w:tblHeader w:val="on"/>
          <w:cantSplit/>
        </w:trPr>
        <w:tc>
          <w:tcPr>
            <w:tcW w:type="dxa" w:w="1008"/>
            <w:tcMar>
              <w:top w:w="35" w:type="dxa"/>
              <w:left w:w="140" w:type="dxa"/>
              <w:bottom w:w="35" w:type="dxa"/>
              <w:right w:w="140" w:type="dxa"/>
            </w:tcMar>
          </w:tcPr>
          <w:p>
            <w:pPr>
              <w:pStyle w:val="Compact"/>
              <w:keepNext/>
              <w:keepLines/>
              <w:spacing w:before="0" w:after="20"/>
              <w:jc w:val="left"/>
            </w:pPr>
            <w:r>
              <w:rPr>
                <w:rFonts w:ascii="Arial" w:hAnsi="Arial"/>
                <w:b/>
                <w:sz w:val="18"/>
              </w:rPr>
              <w:t xml:space="preserve">Year</w:t>
            </w:r>
          </w:p>
        </w:tc>
        <w:tc>
          <w:tcPr>
            <w:tcW w:type="dxa" w:w="1872"/>
            <w:tcMar>
              <w:top w:w="35" w:type="dxa"/>
              <w:left w:w="140" w:type="dxa"/>
              <w:bottom w:w="35" w:type="dxa"/>
              <w:right w:w="140" w:type="dxa"/>
            </w:tcMar>
          </w:tcPr>
          <w:p>
            <w:pPr>
              <w:pStyle w:val="Compact"/>
              <w:keepNext/>
              <w:keepLines/>
              <w:spacing w:before="0" w:after="20"/>
              <w:jc w:val="left"/>
            </w:pPr>
            <w:r>
              <w:rPr>
                <w:rFonts w:ascii="Arial" w:hAnsi="Arial"/>
                <w:b/>
                <w:sz w:val="18"/>
              </w:rPr>
              <w:t xml:space="preserve">First-readmission hospital</w:t>
            </w:r>
          </w:p>
        </w:tc>
        <w:tc>
          <w:tcPr>
            <w:tcW w:type="dxa" w:w="1800"/>
            <w:tcMar>
              <w:top w:w="35" w:type="dxa"/>
              <w:left w:w="140" w:type="dxa"/>
              <w:bottom w:w="35" w:type="dxa"/>
              <w:right w:w="140" w:type="dxa"/>
            </w:tcMar>
          </w:tcPr>
          <w:p>
            <w:pPr>
              <w:pStyle w:val="Compact"/>
              <w:keepNext/>
              <w:keepLines/>
              <w:spacing w:before="0" w:after="20"/>
              <w:jc w:val="left"/>
            </w:pPr>
            <w:r>
              <w:rPr>
                <w:rFonts w:ascii="Arial" w:hAnsi="Arial"/>
                <w:b/>
                <w:sz w:val="18"/>
              </w:rPr>
              <w:t xml:space="preserve">Eligible cohort, unweighted n</w:t>
            </w:r>
          </w:p>
        </w:tc>
        <w:tc>
          <w:tcPr>
            <w:tcW w:type="dxa" w:w="2592"/>
            <w:tcMar>
              <w:top w:w="35" w:type="dxa"/>
              <w:left w:w="140" w:type="dxa"/>
              <w:bottom w:w="35" w:type="dxa"/>
              <w:right w:w="140" w:type="dxa"/>
            </w:tcMar>
          </w:tcPr>
          <w:p>
            <w:pPr>
              <w:pStyle w:val="Compact"/>
              <w:keepNext/>
              <w:keepLines/>
              <w:spacing w:before="0" w:after="20"/>
              <w:jc w:val="left"/>
            </w:pPr>
            <w:r>
              <w:rPr>
                <w:rFonts w:ascii="Arial" w:hAnsi="Arial"/>
                <w:b/>
                <w:sz w:val="18"/>
              </w:rPr>
              <w:t xml:space="preserve">Included in complete-case model, unweighted n</w:t>
            </w:r>
          </w:p>
        </w:tc>
        <w:tc>
          <w:tcPr>
            <w:tcW w:type="dxa" w:w="2592"/>
            <w:tcMar>
              <w:top w:w="35" w:type="dxa"/>
              <w:left w:w="140" w:type="dxa"/>
              <w:bottom w:w="35" w:type="dxa"/>
              <w:right w:w="140" w:type="dxa"/>
            </w:tcMar>
          </w:tcPr>
          <w:p>
            <w:pPr>
              <w:pStyle w:val="Compact"/>
              <w:keepNext/>
              <w:keepLines/>
              <w:spacing w:before="0" w:after="20"/>
              <w:jc w:val="left"/>
            </w:pPr>
            <w:r>
              <w:rPr>
                <w:rFonts w:ascii="Arial" w:hAnsi="Arial"/>
                <w:b/>
                <w:sz w:val="18"/>
              </w:rPr>
              <w:t xml:space="preserve">Excluded for missing covariates, unweighted n</w:t>
            </w:r>
          </w:p>
        </w:tc>
        <w:tc>
          <w:tcPr>
            <w:tcW w:type="dxa" w:w="1714"/>
            <w:tcMar>
              <w:top w:w="35" w:type="dxa"/>
              <w:left w:w="140" w:type="dxa"/>
              <w:bottom w:w="35" w:type="dxa"/>
              <w:right w:w="140" w:type="dxa"/>
            </w:tcMar>
          </w:tcPr>
          <w:p>
            <w:pPr>
              <w:pStyle w:val="Compact"/>
              <w:keepNext/>
              <w:keepLines/>
              <w:spacing w:before="0" w:after="20"/>
              <w:jc w:val="left"/>
            </w:pPr>
            <w:r>
              <w:rPr>
                <w:rFonts w:ascii="Arial" w:hAnsi="Arial"/>
                <w:b/>
                <w:sz w:val="18"/>
              </w:rPr>
              <w:t xml:space="preserve">Included, weighted estimate</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2016</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51,617</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50,854</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763</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96,167</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2016</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13,755</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13,516</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239</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25,110</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2017</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59,784</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58,867</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917</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106,742</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2017</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16,117</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15,758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359</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28,533</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2018</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62,128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61,053</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1,075</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111,185</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2018</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16,236</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15,855</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381</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28,913</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2019</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64,991</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63,819</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1,172</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114,339</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2019</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17,019</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16,552</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467</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29,636</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2020</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55,572</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54,528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1,044</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97,729</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2020</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14,900</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14,469</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431</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26,004</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2021</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56,346</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55,298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1,048</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101,661</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2021</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16,739</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16,274</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465</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30,024</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2022</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Same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56,711</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55,820</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891</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101,812</w:t>
            </w:r>
          </w:p>
        </w:tc>
      </w:tr>
      <w:tr>
        <w:trPr>
          <w:cantSplit/>
        </w:trPr>
        <w:tc>
          <w:tcPr>
            <w:tcW w:type="dxa" w:w="1008"/>
            <w:tcMar>
              <w:top w:w="35" w:type="dxa"/>
              <w:left w:w="140" w:type="dxa"/>
              <w:bottom w:w="35" w:type="dxa"/>
              <w:right w:w="140" w:type="dxa"/>
            </w:tcMar>
          </w:tcPr>
          <w:p>
            <w:pPr>
              <w:pStyle w:val="Compact"/>
              <w:keepLines/>
              <w:spacing w:before="0" w:after="20"/>
              <w:jc w:val="left"/>
            </w:pPr>
            <w:r>
              <w:rPr>
                <w:rFonts w:ascii="Arial" w:hAnsi="Arial"/>
                <w:sz w:val="18"/>
              </w:rPr>
              <w:t xml:space="preserve">2022</w:t>
            </w:r>
          </w:p>
        </w:tc>
        <w:tc>
          <w:tcPr>
            <w:tcW w:type="dxa" w:w="1872"/>
            <w:tcMar>
              <w:top w:w="35" w:type="dxa"/>
              <w:left w:w="140" w:type="dxa"/>
              <w:bottom w:w="35" w:type="dxa"/>
              <w:right w:w="140" w:type="dxa"/>
            </w:tcMar>
          </w:tcPr>
          <w:p>
            <w:pPr>
              <w:pStyle w:val="Compact"/>
              <w:keepLines/>
              <w:spacing w:before="0" w:after="20"/>
              <w:jc w:val="left"/>
            </w:pPr>
            <w:r>
              <w:rPr>
                <w:rFonts w:ascii="Arial" w:hAnsi="Arial"/>
                <w:sz w:val="18"/>
              </w:rPr>
              <w:t xml:space="preserve">Different hospital</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17,071</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16,630</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441</w:t>
            </w:r>
          </w:p>
        </w:tc>
        <w:tc>
          <w:tcPr>
            <w:tcW w:type="dxa" w:w="1714"/>
            <w:tcMar>
              <w:top w:w="35" w:type="dxa"/>
              <w:left w:w="140" w:type="dxa"/>
              <w:bottom w:w="35" w:type="dxa"/>
              <w:right w:w="140" w:type="dxa"/>
            </w:tcMar>
          </w:tcPr>
          <w:p>
            <w:pPr>
              <w:pStyle w:val="Compact"/>
              <w:keepLines/>
              <w:spacing w:before="0" w:after="20"/>
              <w:jc w:val="left"/>
            </w:pPr>
            <w:r>
              <w:rPr>
                <w:rFonts w:ascii="Arial" w:hAnsi="Arial"/>
                <w:sz w:val="18"/>
              </w:rPr>
              <w:t xml:space="preserve">30,583</w:t>
            </w:r>
          </w:p>
        </w:tc>
      </w:tr>
    </w:tbl>
    <w:bookmarkEnd w:id="59"/>
    <w:bookmarkStart w:id="60" w:name="X41526a744c5bf69d91756ef597a0d866a934937"/>
    <w:p>
      <w:pPr>
        <w:pStyle w:val="Heading3"/>
      </w:pPr>
      <w:r>
        <w:rPr>
          <w:sz w:val="20"/>
        </w:rPr>
        <w:t xml:space="preserve">Table S4. Model populations and specification</w:t>
      </w:r>
    </w:p>
    <w:tbl>
      <w:tblPr>
        <w:tblStyle w:val="Table"/>
        <w:tblW w:type="pct" w:w="5000"/>
        <w:tblLayout w:type="fixed"/>
        <w:tblLook w:firstRow="1" w:lastRow="0" w:firstColumn="0" w:lastColumn="0" w:noHBand="0" w:noVBand="0" w:val="0020"/>
      </w:tblPr>
      <w:tblGrid>
        <w:gridCol w:w="1944"/>
        <w:gridCol w:w="2952"/>
        <w:gridCol w:w="1440"/>
        <w:gridCol w:w="1800"/>
        <w:gridCol w:w="1728"/>
        <w:gridCol w:w="1368"/>
        <w:gridCol w:w="2074"/>
      </w:tblGrid>
      <w:tr>
        <w:trPr>
          <w:tblHeader w:val="on"/>
          <w:cantSplit/>
        </w:trPr>
        <w:tc>
          <w:tcPr>
            <w:tcW w:type="dxa" w:w="1944"/>
            <w:tcMar>
              <w:top w:w="35" w:type="dxa"/>
              <w:left w:w="140" w:type="dxa"/>
              <w:bottom w:w="35" w:type="dxa"/>
              <w:right w:w="140" w:type="dxa"/>
            </w:tcMar>
          </w:tcPr>
          <w:p>
            <w:pPr>
              <w:pStyle w:val="Compact"/>
              <w:keepNext/>
              <w:keepLines/>
              <w:spacing w:before="0" w:after="20"/>
              <w:jc w:val="left"/>
            </w:pPr>
            <w:r>
              <w:rPr>
                <w:rFonts w:ascii="Arial" w:hAnsi="Arial"/>
                <w:b/>
                <w:sz w:val="18"/>
              </w:rPr>
              <w:t xml:space="preserve">Model</w:t>
            </w:r>
          </w:p>
        </w:tc>
        <w:tc>
          <w:tcPr>
            <w:tcW w:type="dxa" w:w="2952"/>
            <w:tcMar>
              <w:top w:w="35" w:type="dxa"/>
              <w:left w:w="140" w:type="dxa"/>
              <w:bottom w:w="35" w:type="dxa"/>
              <w:right w:w="140" w:type="dxa"/>
            </w:tcMar>
          </w:tcPr>
          <w:p>
            <w:pPr>
              <w:pStyle w:val="Compact"/>
              <w:keepNext/>
              <w:keepLines/>
              <w:spacing w:before="0" w:after="20"/>
              <w:jc w:val="left"/>
            </w:pPr>
            <w:r>
              <w:rPr>
                <w:rFonts w:ascii="Arial" w:hAnsi="Arial"/>
                <w:b/>
                <w:sz w:val="18"/>
              </w:rPr>
              <w:t xml:space="preserve">Outcome</w:t>
            </w:r>
          </w:p>
        </w:tc>
        <w:tc>
          <w:tcPr>
            <w:tcW w:type="dxa" w:w="1440"/>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 population, unweighted n</w:t>
            </w:r>
          </w:p>
        </w:tc>
        <w:tc>
          <w:tcPr>
            <w:tcW w:type="dxa" w:w="1800"/>
            <w:tcMar>
              <w:top w:w="35" w:type="dxa"/>
              <w:left w:w="140" w:type="dxa"/>
              <w:bottom w:w="35" w:type="dxa"/>
              <w:right w:w="140" w:type="dxa"/>
            </w:tcMar>
          </w:tcPr>
          <w:p>
            <w:pPr>
              <w:pStyle w:val="Compact"/>
              <w:keepNext/>
              <w:keepLines/>
              <w:spacing w:before="0" w:after="20"/>
              <w:jc w:val="left"/>
            </w:pPr>
            <w:r>
              <w:rPr>
                <w:rFonts w:ascii="Arial" w:hAnsi="Arial"/>
                <w:b/>
                <w:sz w:val="18"/>
              </w:rPr>
              <w:t xml:space="preserve">Analysis population, weighted estimate</w:t>
            </w:r>
          </w:p>
        </w:tc>
        <w:tc>
          <w:tcPr>
            <w:tcW w:type="dxa" w:w="1728"/>
            <w:tcMar>
              <w:top w:w="35" w:type="dxa"/>
              <w:left w:w="140" w:type="dxa"/>
              <w:bottom w:w="35" w:type="dxa"/>
              <w:right w:w="140" w:type="dxa"/>
            </w:tcMar>
          </w:tcPr>
          <w:p>
            <w:pPr>
              <w:pStyle w:val="Compact"/>
              <w:keepNext/>
              <w:keepLines/>
              <w:spacing w:before="0" w:after="20"/>
              <w:jc w:val="left"/>
            </w:pPr>
            <w:r>
              <w:rPr>
                <w:rFonts w:ascii="Arial" w:hAnsi="Arial"/>
                <w:b/>
                <w:sz w:val="18"/>
              </w:rPr>
              <w:t xml:space="preserve">Design degrees of freedom</w:t>
            </w:r>
          </w:p>
        </w:tc>
        <w:tc>
          <w:tcPr>
            <w:tcW w:type="dxa" w:w="1368"/>
            <w:tcMar>
              <w:top w:w="35" w:type="dxa"/>
              <w:left w:w="140" w:type="dxa"/>
              <w:bottom w:w="35" w:type="dxa"/>
              <w:right w:w="140" w:type="dxa"/>
            </w:tcMar>
          </w:tcPr>
          <w:p>
            <w:pPr>
              <w:pStyle w:val="Compact"/>
              <w:keepNext/>
              <w:keepLines/>
              <w:spacing w:before="0" w:after="20"/>
              <w:jc w:val="left"/>
            </w:pPr>
            <w:r>
              <w:rPr>
                <w:rFonts w:ascii="Arial" w:hAnsi="Arial"/>
                <w:b/>
                <w:sz w:val="18"/>
              </w:rPr>
              <w:t xml:space="preserve">Model converged</w:t>
            </w:r>
          </w:p>
        </w:tc>
        <w:tc>
          <w:tcPr>
            <w:tcW w:type="dxa" w:w="2074"/>
            <w:tcMar>
              <w:top w:w="35" w:type="dxa"/>
              <w:left w:w="140" w:type="dxa"/>
              <w:bottom w:w="35" w:type="dxa"/>
              <w:right w:w="140" w:type="dxa"/>
            </w:tcMar>
          </w:tcPr>
          <w:p>
            <w:pPr>
              <w:pStyle w:val="Compact"/>
              <w:keepNext/>
              <w:keepLines/>
              <w:spacing w:before="0" w:after="20"/>
              <w:jc w:val="left"/>
            </w:pPr>
            <w:r>
              <w:rPr>
                <w:rFonts w:ascii="Arial" w:hAnsi="Arial"/>
                <w:b/>
                <w:sz w:val="18"/>
              </w:rPr>
              <w:t xml:space="preserve">Continuous covariate specification</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Primary survey-weighted logistic regression</w:t>
            </w:r>
          </w:p>
        </w:tc>
        <w:tc>
          <w:tcPr>
            <w:tcW w:type="dxa" w:w="2952"/>
            <w:tcMar>
              <w:top w:w="35" w:type="dxa"/>
              <w:left w:w="140" w:type="dxa"/>
              <w:bottom w:w="35" w:type="dxa"/>
              <w:right w:w="140" w:type="dxa"/>
            </w:tcMar>
          </w:tcPr>
          <w:p>
            <w:pPr>
              <w:pStyle w:val="Compact"/>
              <w:keepLines/>
              <w:spacing w:before="0" w:after="20"/>
              <w:jc w:val="left"/>
            </w:pPr>
            <w:r>
              <w:rPr>
                <w:rFonts w:ascii="Arial" w:hAnsi="Arial"/>
                <w:sz w:val="18"/>
              </w:rPr>
              <w:t xml:space="preserve">Primary composite</w:t>
            </w:r>
          </w:p>
        </w:tc>
        <w:tc>
          <w:tcPr>
            <w:tcW w:type="dxa" w:w="1440"/>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928,438</w:t>
            </w:r>
          </w:p>
        </w:tc>
        <w:tc>
          <w:tcPr>
            <w:tcW w:type="dxa" w:w="1728"/>
            <w:tcMar>
              <w:top w:w="35" w:type="dxa"/>
              <w:left w:w="140" w:type="dxa"/>
              <w:bottom w:w="35" w:type="dxa"/>
              <w:right w:w="140" w:type="dxa"/>
            </w:tcMar>
          </w:tcPr>
          <w:p>
            <w:pPr>
              <w:pStyle w:val="Compact"/>
              <w:keepLines/>
              <w:spacing w:before="0" w:after="20"/>
              <w:jc w:val="left"/>
            </w:pPr>
            <w:r>
              <w:rPr>
                <w:rFonts w:ascii="Arial" w:hAnsi="Arial"/>
                <w:sz w:val="18"/>
              </w:rPr>
              <w:t xml:space="preserve">14,107</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2074"/>
            <w:tcMar>
              <w:top w:w="35" w:type="dxa"/>
              <w:left w:w="140" w:type="dxa"/>
              <w:bottom w:w="35" w:type="dxa"/>
              <w:right w:w="140" w:type="dxa"/>
            </w:tcMar>
          </w:tcPr>
          <w:p>
            <w:pPr>
              <w:pStyle w:val="Compact"/>
              <w:keepLines/>
              <w:spacing w:before="0" w:after="20"/>
              <w:jc w:val="left"/>
            </w:pPr>
            <w:r>
              <w:rPr>
                <w:rFonts w:ascii="Arial" w:hAnsi="Arial"/>
                <w:sz w:val="18"/>
              </w:rPr>
              <w:t xml:space="preserve">Age: 47/68/79/90; log1p(index LOS): 0.6931472/1.386294/1.94591/2.772589 (5th/35th/65th/95th percentiles)</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Primary survey-weighted logistic regression</w:t>
            </w:r>
          </w:p>
        </w:tc>
        <w:tc>
          <w:tcPr>
            <w:tcW w:type="dxa" w:w="2952"/>
            <w:tcMar>
              <w:top w:w="35" w:type="dxa"/>
              <w:left w:w="140" w:type="dxa"/>
              <w:bottom w:w="35" w:type="dxa"/>
              <w:right w:w="140" w:type="dxa"/>
            </w:tcMar>
          </w:tcPr>
          <w:p>
            <w:pPr>
              <w:pStyle w:val="Compact"/>
              <w:keepLines/>
              <w:spacing w:before="0" w:after="20"/>
              <w:jc w:val="left"/>
            </w:pPr>
            <w:r>
              <w:rPr>
                <w:rFonts w:ascii="Arial" w:hAnsi="Arial"/>
                <w:sz w:val="18"/>
              </w:rPr>
              <w:t xml:space="preserve">In-hospital death</w:t>
            </w:r>
          </w:p>
        </w:tc>
        <w:tc>
          <w:tcPr>
            <w:tcW w:type="dxa" w:w="1440"/>
            <w:tcMar>
              <w:top w:w="35" w:type="dxa"/>
              <w:left w:w="140" w:type="dxa"/>
              <w:bottom w:w="35" w:type="dxa"/>
              <w:right w:w="140" w:type="dxa"/>
            </w:tcMar>
          </w:tcPr>
          <w:p>
            <w:pPr>
              <w:pStyle w:val="Compact"/>
              <w:keepLines/>
              <w:spacing w:before="0" w:after="20"/>
              <w:jc w:val="left"/>
            </w:pPr>
            <w:r>
              <w:rPr>
                <w:rFonts w:ascii="Arial" w:hAnsi="Arial"/>
                <w:sz w:val="18"/>
              </w:rPr>
              <w:t xml:space="preserve">509,293</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928,438</w:t>
            </w:r>
          </w:p>
        </w:tc>
        <w:tc>
          <w:tcPr>
            <w:tcW w:type="dxa" w:w="1728"/>
            <w:tcMar>
              <w:top w:w="35" w:type="dxa"/>
              <w:left w:w="140" w:type="dxa"/>
              <w:bottom w:w="35" w:type="dxa"/>
              <w:right w:w="140" w:type="dxa"/>
            </w:tcMar>
          </w:tcPr>
          <w:p>
            <w:pPr>
              <w:pStyle w:val="Compact"/>
              <w:keepLines/>
              <w:spacing w:before="0" w:after="20"/>
              <w:jc w:val="left"/>
            </w:pPr>
            <w:r>
              <w:rPr>
                <w:rFonts w:ascii="Arial" w:hAnsi="Arial"/>
                <w:sz w:val="18"/>
              </w:rPr>
              <w:t xml:space="preserve">14,107</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2074"/>
            <w:tcMar>
              <w:top w:w="35" w:type="dxa"/>
              <w:left w:w="140" w:type="dxa"/>
              <w:bottom w:w="35" w:type="dxa"/>
              <w:right w:w="140" w:type="dxa"/>
            </w:tcMar>
          </w:tcPr>
          <w:p>
            <w:pPr>
              <w:pStyle w:val="Compact"/>
              <w:keepLines/>
              <w:spacing w:before="0" w:after="20"/>
              <w:jc w:val="left"/>
            </w:pPr>
            <w:r>
              <w:rPr>
                <w:rFonts w:ascii="Arial" w:hAnsi="Arial"/>
                <w:sz w:val="18"/>
              </w:rPr>
              <w:t xml:space="preserve">Age: 47/68/79/90; log1p(index LOS): 0.6931472/1.386294/1.94591/2.772589 (5th/35th/65th/95th percentiles)</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Primary survey-weighted logistic regression</w:t>
            </w:r>
          </w:p>
        </w:tc>
        <w:tc>
          <w:tcPr>
            <w:tcW w:type="dxa" w:w="2952"/>
            <w:tcMar>
              <w:top w:w="35" w:type="dxa"/>
              <w:left w:w="140" w:type="dxa"/>
              <w:bottom w:w="35" w:type="dxa"/>
              <w:right w:w="140" w:type="dxa"/>
            </w:tcMar>
          </w:tcPr>
          <w:p>
            <w:pPr>
              <w:pStyle w:val="Compact"/>
              <w:keepLines/>
              <w:spacing w:before="0" w:after="20"/>
              <w:jc w:val="left"/>
            </w:pPr>
            <w:r>
              <w:rPr>
                <w:rFonts w:ascii="Arial" w:hAnsi="Arial"/>
                <w:sz w:val="18"/>
              </w:rPr>
              <w:t xml:space="preserve">Readmission after live discharge</w:t>
            </w:r>
          </w:p>
        </w:tc>
        <w:tc>
          <w:tcPr>
            <w:tcW w:type="dxa" w:w="1440"/>
            <w:tcMar>
              <w:top w:w="35" w:type="dxa"/>
              <w:left w:w="140" w:type="dxa"/>
              <w:bottom w:w="35" w:type="dxa"/>
              <w:right w:w="140" w:type="dxa"/>
            </w:tcMar>
          </w:tcPr>
          <w:p>
            <w:pPr>
              <w:pStyle w:val="Compact"/>
              <w:keepLines/>
              <w:spacing w:before="0" w:after="20"/>
              <w:jc w:val="left"/>
            </w:pPr>
            <w:r>
              <w:rPr>
                <w:rFonts w:ascii="Arial" w:hAnsi="Arial"/>
                <w:sz w:val="18"/>
              </w:rPr>
              <w:t xml:space="preserve">476,177</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869,135</w:t>
            </w:r>
          </w:p>
        </w:tc>
        <w:tc>
          <w:tcPr>
            <w:tcW w:type="dxa" w:w="1728"/>
            <w:tcMar>
              <w:top w:w="35" w:type="dxa"/>
              <w:left w:w="140" w:type="dxa"/>
              <w:bottom w:w="35" w:type="dxa"/>
              <w:right w:w="140" w:type="dxa"/>
            </w:tcMar>
          </w:tcPr>
          <w:p>
            <w:pPr>
              <w:pStyle w:val="Compact"/>
              <w:keepLines/>
              <w:spacing w:before="0" w:after="20"/>
              <w:jc w:val="left"/>
            </w:pPr>
            <w:r>
              <w:rPr>
                <w:rFonts w:ascii="Arial" w:hAnsi="Arial"/>
                <w:sz w:val="18"/>
              </w:rPr>
              <w:t xml:space="preserve">13,992</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2074"/>
            <w:tcMar>
              <w:top w:w="35" w:type="dxa"/>
              <w:left w:w="140" w:type="dxa"/>
              <w:bottom w:w="35" w:type="dxa"/>
              <w:right w:w="140" w:type="dxa"/>
            </w:tcMar>
          </w:tcPr>
          <w:p>
            <w:pPr>
              <w:pStyle w:val="Compact"/>
              <w:keepLines/>
              <w:spacing w:before="0" w:after="20"/>
              <w:jc w:val="left"/>
            </w:pPr>
            <w:r>
              <w:rPr>
                <w:rFonts w:ascii="Arial" w:hAnsi="Arial"/>
                <w:sz w:val="18"/>
              </w:rPr>
              <w:t xml:space="preserve">Age: 47/68/79/90; log1p(index LOS): 0.6931472/1.386294/1.94591/2.772589 (5th/35th/65th/95th percentiles)</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Primary survey-weighted logistic regression</w:t>
            </w:r>
          </w:p>
        </w:tc>
        <w:tc>
          <w:tcPr>
            <w:tcW w:type="dxa" w:w="2952"/>
            <w:tcMar>
              <w:top w:w="35" w:type="dxa"/>
              <w:left w:w="140" w:type="dxa"/>
              <w:bottom w:w="35" w:type="dxa"/>
              <w:right w:w="140" w:type="dxa"/>
            </w:tcMar>
          </w:tcPr>
          <w:p>
            <w:pPr>
              <w:pStyle w:val="Compact"/>
              <w:keepLines/>
              <w:spacing w:before="0" w:after="20"/>
              <w:jc w:val="left"/>
            </w:pPr>
            <w:r>
              <w:rPr>
                <w:rFonts w:ascii="Arial" w:hAnsi="Arial"/>
                <w:sz w:val="18"/>
              </w:rPr>
              <w:t xml:space="preserve">HF-coded subsequent readmission</w:t>
            </w:r>
          </w:p>
        </w:tc>
        <w:tc>
          <w:tcPr>
            <w:tcW w:type="dxa" w:w="1440"/>
            <w:tcMar>
              <w:top w:w="35" w:type="dxa"/>
              <w:left w:w="140" w:type="dxa"/>
              <w:bottom w:w="35" w:type="dxa"/>
              <w:right w:w="140" w:type="dxa"/>
            </w:tcMar>
          </w:tcPr>
          <w:p>
            <w:pPr>
              <w:pStyle w:val="Compact"/>
              <w:keepLines/>
              <w:spacing w:before="0" w:after="20"/>
              <w:jc w:val="left"/>
            </w:pPr>
            <w:r>
              <w:rPr>
                <w:rFonts w:ascii="Arial" w:hAnsi="Arial"/>
                <w:sz w:val="18"/>
              </w:rPr>
              <w:t xml:space="preserve">476,177</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869,135</w:t>
            </w:r>
          </w:p>
        </w:tc>
        <w:tc>
          <w:tcPr>
            <w:tcW w:type="dxa" w:w="1728"/>
            <w:tcMar>
              <w:top w:w="35" w:type="dxa"/>
              <w:left w:w="140" w:type="dxa"/>
              <w:bottom w:w="35" w:type="dxa"/>
              <w:right w:w="140" w:type="dxa"/>
            </w:tcMar>
          </w:tcPr>
          <w:p>
            <w:pPr>
              <w:pStyle w:val="Compact"/>
              <w:keepLines/>
              <w:spacing w:before="0" w:after="20"/>
              <w:jc w:val="left"/>
            </w:pPr>
            <w:r>
              <w:rPr>
                <w:rFonts w:ascii="Arial" w:hAnsi="Arial"/>
                <w:sz w:val="18"/>
              </w:rPr>
              <w:t xml:space="preserve">13,992</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2074"/>
            <w:tcMar>
              <w:top w:w="35" w:type="dxa"/>
              <w:left w:w="140" w:type="dxa"/>
              <w:bottom w:w="35" w:type="dxa"/>
              <w:right w:w="140" w:type="dxa"/>
            </w:tcMar>
          </w:tcPr>
          <w:p>
            <w:pPr>
              <w:pStyle w:val="Compact"/>
              <w:keepLines/>
              <w:spacing w:before="0" w:after="20"/>
              <w:jc w:val="left"/>
            </w:pPr>
            <w:r>
              <w:rPr>
                <w:rFonts w:ascii="Arial" w:hAnsi="Arial"/>
                <w:sz w:val="18"/>
              </w:rPr>
              <w:t xml:space="preserve">Age: 47/68/79/90; log1p(index LOS): 0.6931472/1.386294/1.94591/2.772589 (5th/35th/65th/95th percentiles)</w:t>
            </w:r>
          </w:p>
        </w:tc>
      </w:tr>
      <w:tr>
        <w:trPr>
          <w:cantSplit/>
        </w:trPr>
        <w:tc>
          <w:tcPr>
            <w:tcW w:type="dxa" w:w="1944"/>
            <w:tcMar>
              <w:top w:w="35" w:type="dxa"/>
              <w:left w:w="140" w:type="dxa"/>
              <w:bottom w:w="35" w:type="dxa"/>
              <w:right w:w="140" w:type="dxa"/>
            </w:tcMar>
          </w:tcPr>
          <w:p>
            <w:pPr>
              <w:pStyle w:val="Compact"/>
              <w:keepLines/>
              <w:spacing w:before="0" w:after="20"/>
              <w:jc w:val="left"/>
            </w:pPr>
            <w:r>
              <w:rPr>
                <w:rFonts w:ascii="Arial" w:hAnsi="Arial"/>
                <w:sz w:val="18"/>
              </w:rPr>
              <w:t xml:space="preserve">Primary survey-weighted logistic regression</w:t>
            </w:r>
          </w:p>
        </w:tc>
        <w:tc>
          <w:tcPr>
            <w:tcW w:type="dxa" w:w="2952"/>
            <w:tcMar>
              <w:top w:w="35" w:type="dxa"/>
              <w:left w:w="140" w:type="dxa"/>
              <w:bottom w:w="35" w:type="dxa"/>
              <w:right w:w="140" w:type="dxa"/>
            </w:tcMar>
          </w:tcPr>
          <w:p>
            <w:pPr>
              <w:pStyle w:val="Compact"/>
              <w:keepLines/>
              <w:spacing w:before="0" w:after="20"/>
              <w:jc w:val="left"/>
            </w:pPr>
            <w:r>
              <w:rPr>
                <w:rFonts w:ascii="Arial" w:hAnsi="Arial"/>
                <w:sz w:val="18"/>
              </w:rPr>
              <w:t xml:space="preserve">Non-elective-coded subsequent readmission</w:t>
            </w:r>
          </w:p>
        </w:tc>
        <w:tc>
          <w:tcPr>
            <w:tcW w:type="dxa" w:w="1440"/>
            <w:tcMar>
              <w:top w:w="35" w:type="dxa"/>
              <w:left w:w="140" w:type="dxa"/>
              <w:bottom w:w="35" w:type="dxa"/>
              <w:right w:w="140" w:type="dxa"/>
            </w:tcMar>
          </w:tcPr>
          <w:p>
            <w:pPr>
              <w:pStyle w:val="Compact"/>
              <w:keepLines/>
              <w:spacing w:before="0" w:after="20"/>
              <w:jc w:val="left"/>
            </w:pPr>
            <w:r>
              <w:rPr>
                <w:rFonts w:ascii="Arial" w:hAnsi="Arial"/>
                <w:sz w:val="18"/>
              </w:rPr>
              <w:t xml:space="preserve">476,068</w:t>
            </w:r>
          </w:p>
        </w:tc>
        <w:tc>
          <w:tcPr>
            <w:tcW w:type="dxa" w:w="1800"/>
            <w:tcMar>
              <w:top w:w="35" w:type="dxa"/>
              <w:left w:w="140" w:type="dxa"/>
              <w:bottom w:w="35" w:type="dxa"/>
              <w:right w:w="140" w:type="dxa"/>
            </w:tcMar>
          </w:tcPr>
          <w:p>
            <w:pPr>
              <w:pStyle w:val="Compact"/>
              <w:keepLines/>
              <w:spacing w:before="0" w:after="20"/>
              <w:jc w:val="left"/>
            </w:pPr>
            <w:r>
              <w:rPr>
                <w:rFonts w:ascii="Arial" w:hAnsi="Arial"/>
                <w:sz w:val="18"/>
              </w:rPr>
              <w:t xml:space="preserve">868,886</w:t>
            </w:r>
          </w:p>
        </w:tc>
        <w:tc>
          <w:tcPr>
            <w:tcW w:type="dxa" w:w="1728"/>
            <w:tcMar>
              <w:top w:w="35" w:type="dxa"/>
              <w:left w:w="140" w:type="dxa"/>
              <w:bottom w:w="35" w:type="dxa"/>
              <w:right w:w="140" w:type="dxa"/>
            </w:tcMar>
          </w:tcPr>
          <w:p>
            <w:pPr>
              <w:pStyle w:val="Compact"/>
              <w:keepLines/>
              <w:spacing w:before="0" w:after="20"/>
              <w:jc w:val="left"/>
            </w:pPr>
            <w:r>
              <w:rPr>
                <w:rFonts w:ascii="Arial" w:hAnsi="Arial"/>
                <w:sz w:val="18"/>
              </w:rPr>
              <w:t xml:space="preserve">13,991</w:t>
            </w:r>
          </w:p>
        </w:tc>
        <w:tc>
          <w:tcPr>
            <w:tcW w:type="dxa" w:w="1368"/>
            <w:tcMar>
              <w:top w:w="35" w:type="dxa"/>
              <w:left w:w="140" w:type="dxa"/>
              <w:bottom w:w="35" w:type="dxa"/>
              <w:right w:w="140" w:type="dxa"/>
            </w:tcMar>
          </w:tcPr>
          <w:p>
            <w:pPr>
              <w:pStyle w:val="Compact"/>
              <w:keepLines/>
              <w:spacing w:before="0" w:after="20"/>
              <w:jc w:val="left"/>
            </w:pPr>
            <w:r>
              <w:rPr>
                <w:rFonts w:ascii="Arial" w:hAnsi="Arial"/>
                <w:sz w:val="18"/>
              </w:rPr>
              <w:t xml:space="preserve">Yes</w:t>
            </w:r>
          </w:p>
        </w:tc>
        <w:tc>
          <w:tcPr>
            <w:tcW w:type="dxa" w:w="2074"/>
            <w:tcMar>
              <w:top w:w="35" w:type="dxa"/>
              <w:left w:w="140" w:type="dxa"/>
              <w:bottom w:w="35" w:type="dxa"/>
              <w:right w:w="140" w:type="dxa"/>
            </w:tcMar>
          </w:tcPr>
          <w:p>
            <w:pPr>
              <w:pStyle w:val="Compact"/>
              <w:keepLines/>
              <w:spacing w:before="0" w:after="20"/>
              <w:jc w:val="left"/>
            </w:pPr>
            <w:r>
              <w:rPr>
                <w:rFonts w:ascii="Arial" w:hAnsi="Arial"/>
                <w:sz w:val="18"/>
              </w:rPr>
              <w:t xml:space="preserve">Age: 47/68/79/90; log1p(index LOS): 0.6931472/1.386294/1.94591/2.772589 (5th/35th/65th/95th percentiles)</w:t>
            </w:r>
          </w:p>
        </w:tc>
      </w:tr>
    </w:tbl>
    <w:bookmarkEnd w:id="60"/>
    <w:bookmarkStart w:id="61" w:name="table-s5.-exposure-coefficients"/>
    <w:p>
      <w:pPr>
        <w:pStyle w:val="Heading3"/>
      </w:pPr>
      <w:r>
        <w:rPr>
          <w:sz w:val="20"/>
        </w:rPr>
        <w:t xml:space="preserve">Table S5. Exposure coefficients</w:t>
      </w:r>
    </w:p>
    <w:p>
      <w:pPr>
        <w:pStyle w:val="FirstParagraph"/>
      </w:pPr>
      <w:r>
        <w:rPr>
          <w:sz w:val="20"/>
        </w:rPr>
        <w:t xml:space="preserve">Exposure odds ratios from the five adjusted outcome models are shown with 95% confidence intervals.</w:t>
      </w:r>
    </w:p>
    <w:tbl>
      <w:tblPr>
        <w:tblStyle w:val="Table"/>
        <w:tblW w:type="pct" w:w="5000"/>
        <w:tblLayout w:type="fixed"/>
        <w:tblLook w:firstRow="1" w:lastRow="0" w:firstColumn="0" w:lastColumn="0" w:noHBand="0" w:noVBand="0" w:val="0020"/>
      </w:tblPr>
      <w:tblGrid>
        <w:gridCol w:w="5184"/>
        <w:gridCol w:w="5760"/>
        <w:gridCol w:w="3514"/>
      </w:tblGrid>
      <w:tr>
        <w:trPr>
          <w:tblHeader w:val="on"/>
          <w:cantSplit/>
        </w:trPr>
        <w:tc>
          <w:tcPr>
            <w:tcW w:type="dxa" w:w="5184"/>
            <w:tcMar>
              <w:top w:w="35" w:type="dxa"/>
              <w:left w:w="140" w:type="dxa"/>
              <w:bottom w:w="35" w:type="dxa"/>
              <w:right w:w="140" w:type="dxa"/>
            </w:tcMar>
          </w:tcPr>
          <w:p>
            <w:pPr>
              <w:pStyle w:val="Compact"/>
              <w:keepNext/>
              <w:keepLines/>
              <w:spacing w:before="0" w:after="20"/>
              <w:jc w:val="left"/>
            </w:pPr>
            <w:r>
              <w:rPr>
                <w:rFonts w:ascii="Arial" w:hAnsi="Arial"/>
                <w:b/>
                <w:sz w:val="18"/>
              </w:rPr>
              <w:t xml:space="preserve">Outcome</w:t>
            </w:r>
          </w:p>
        </w:tc>
        <w:tc>
          <w:tcPr>
            <w:tcW w:type="dxa" w:w="5760"/>
            <w:tcMar>
              <w:top w:w="35" w:type="dxa"/>
              <w:left w:w="140" w:type="dxa"/>
              <w:bottom w:w="35" w:type="dxa"/>
              <w:right w:w="140" w:type="dxa"/>
            </w:tcMar>
          </w:tcPr>
          <w:p>
            <w:pPr>
              <w:pStyle w:val="Compact"/>
              <w:keepNext/>
              <w:keepLines/>
              <w:spacing w:before="0" w:after="20"/>
              <w:jc w:val="left"/>
            </w:pPr>
            <w:r>
              <w:rPr>
                <w:rFonts w:ascii="Arial" w:hAnsi="Arial"/>
                <w:b/>
                <w:sz w:val="18"/>
              </w:rPr>
              <w:t xml:space="preserve">Exposure odds ratio (95% CI)</w:t>
            </w:r>
          </w:p>
        </w:tc>
        <w:tc>
          <w:tcPr>
            <w:tcW w:type="dxa" w:w="3514"/>
            <w:tcMar>
              <w:top w:w="35" w:type="dxa"/>
              <w:left w:w="140" w:type="dxa"/>
              <w:bottom w:w="35" w:type="dxa"/>
              <w:right w:w="140" w:type="dxa"/>
            </w:tcMar>
          </w:tcPr>
          <w:p>
            <w:pPr>
              <w:pStyle w:val="Compact"/>
              <w:keepNext/>
              <w:keepLines/>
              <w:spacing w:before="0" w:after="20"/>
              <w:jc w:val="left"/>
            </w:pPr>
            <w:r>
              <w:rPr>
                <w:rFonts w:ascii="Arial" w:hAnsi="Arial"/>
                <w:b/>
                <w:sz w:val="18"/>
              </w:rPr>
              <w:t xml:space="preserve">P value</w:t>
            </w:r>
          </w:p>
        </w:tc>
      </w:tr>
      <w:tr>
        <w:trPr>
          <w:cantSplit/>
        </w:trPr>
        <w:tc>
          <w:tcPr>
            <w:tcW w:type="dxa" w:w="5184"/>
            <w:tcMar>
              <w:top w:w="35" w:type="dxa"/>
              <w:left w:w="140" w:type="dxa"/>
              <w:bottom w:w="35" w:type="dxa"/>
              <w:right w:w="140" w:type="dxa"/>
            </w:tcMar>
          </w:tcPr>
          <w:p>
            <w:pPr>
              <w:pStyle w:val="Compact"/>
              <w:keepLines/>
              <w:spacing w:before="0" w:after="20"/>
              <w:jc w:val="left"/>
            </w:pPr>
            <w:r>
              <w:rPr>
                <w:rFonts w:ascii="Arial" w:hAnsi="Arial"/>
                <w:sz w:val="18"/>
              </w:rPr>
              <w:t xml:space="preserve">Primary composite</w:t>
            </w:r>
          </w:p>
        </w:tc>
        <w:tc>
          <w:tcPr>
            <w:tcW w:type="dxa" w:w="5760"/>
            <w:tcMar>
              <w:top w:w="35" w:type="dxa"/>
              <w:left w:w="140" w:type="dxa"/>
              <w:bottom w:w="35" w:type="dxa"/>
              <w:right w:w="140" w:type="dxa"/>
            </w:tcMar>
          </w:tcPr>
          <w:p>
            <w:pPr>
              <w:pStyle w:val="Compact"/>
              <w:keepLines/>
              <w:spacing w:before="0" w:after="20"/>
              <w:jc w:val="left"/>
            </w:pPr>
            <w:r>
              <w:rPr>
                <w:rFonts w:ascii="Arial" w:hAnsi="Arial"/>
                <w:sz w:val="18"/>
              </w:rPr>
              <w:t xml:space="preserve">1.09, 95% CI 1.08–1.11</w:t>
            </w:r>
          </w:p>
        </w:tc>
        <w:tc>
          <w:tcPr>
            <w:tcW w:type="dxa" w:w="3514"/>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5184"/>
            <w:tcMar>
              <w:top w:w="35" w:type="dxa"/>
              <w:left w:w="140" w:type="dxa"/>
              <w:bottom w:w="35" w:type="dxa"/>
              <w:right w:w="140" w:type="dxa"/>
            </w:tcMar>
          </w:tcPr>
          <w:p>
            <w:pPr>
              <w:pStyle w:val="Compact"/>
              <w:keepLines/>
              <w:spacing w:before="0" w:after="20"/>
              <w:jc w:val="left"/>
            </w:pPr>
            <w:r>
              <w:rPr>
                <w:rFonts w:ascii="Arial" w:hAnsi="Arial"/>
                <w:sz w:val="18"/>
              </w:rPr>
              <w:t xml:space="preserve">In-hospital death</w:t>
            </w:r>
          </w:p>
        </w:tc>
        <w:tc>
          <w:tcPr>
            <w:tcW w:type="dxa" w:w="5760"/>
            <w:tcMar>
              <w:top w:w="35" w:type="dxa"/>
              <w:left w:w="140" w:type="dxa"/>
              <w:bottom w:w="35" w:type="dxa"/>
              <w:right w:w="140" w:type="dxa"/>
            </w:tcMar>
          </w:tcPr>
          <w:p>
            <w:pPr>
              <w:pStyle w:val="Compact"/>
              <w:keepLines/>
              <w:spacing w:before="0" w:after="20"/>
              <w:jc w:val="left"/>
            </w:pPr>
            <w:r>
              <w:rPr>
                <w:rFonts w:ascii="Arial" w:hAnsi="Arial"/>
                <w:sz w:val="18"/>
              </w:rPr>
              <w:t xml:space="preserve">1.23, 95% CI 1.19–1.27</w:t>
            </w:r>
          </w:p>
        </w:tc>
        <w:tc>
          <w:tcPr>
            <w:tcW w:type="dxa" w:w="3514"/>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5184"/>
            <w:tcMar>
              <w:top w:w="35" w:type="dxa"/>
              <w:left w:w="140" w:type="dxa"/>
              <w:bottom w:w="35" w:type="dxa"/>
              <w:right w:w="140" w:type="dxa"/>
            </w:tcMar>
          </w:tcPr>
          <w:p>
            <w:pPr>
              <w:pStyle w:val="Compact"/>
              <w:keepLines/>
              <w:spacing w:before="0" w:after="20"/>
              <w:jc w:val="left"/>
            </w:pPr>
            <w:r>
              <w:rPr>
                <w:rFonts w:ascii="Arial" w:hAnsi="Arial"/>
                <w:sz w:val="18"/>
              </w:rPr>
              <w:t xml:space="preserve">Readmission after live discharge</w:t>
            </w:r>
          </w:p>
        </w:tc>
        <w:tc>
          <w:tcPr>
            <w:tcW w:type="dxa" w:w="5760"/>
            <w:tcMar>
              <w:top w:w="35" w:type="dxa"/>
              <w:left w:w="140" w:type="dxa"/>
              <w:bottom w:w="35" w:type="dxa"/>
              <w:right w:w="140" w:type="dxa"/>
            </w:tcMar>
          </w:tcPr>
          <w:p>
            <w:pPr>
              <w:pStyle w:val="Compact"/>
              <w:keepLines/>
              <w:spacing w:before="0" w:after="20"/>
              <w:jc w:val="left"/>
            </w:pPr>
            <w:r>
              <w:rPr>
                <w:rFonts w:ascii="Arial" w:hAnsi="Arial"/>
                <w:sz w:val="18"/>
              </w:rPr>
              <w:t xml:space="preserve">1.06, 95% CI 1.04–1.08</w:t>
            </w:r>
          </w:p>
        </w:tc>
        <w:tc>
          <w:tcPr>
            <w:tcW w:type="dxa" w:w="3514"/>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r>
        <w:trPr>
          <w:cantSplit/>
        </w:trPr>
        <w:tc>
          <w:tcPr>
            <w:tcW w:type="dxa" w:w="5184"/>
            <w:tcMar>
              <w:top w:w="35" w:type="dxa"/>
              <w:left w:w="140" w:type="dxa"/>
              <w:bottom w:w="35" w:type="dxa"/>
              <w:right w:w="140" w:type="dxa"/>
            </w:tcMar>
          </w:tcPr>
          <w:p>
            <w:pPr>
              <w:pStyle w:val="Compact"/>
              <w:keepLines/>
              <w:spacing w:before="0" w:after="20"/>
              <w:jc w:val="left"/>
            </w:pPr>
            <w:r>
              <w:rPr>
                <w:rFonts w:ascii="Arial" w:hAnsi="Arial"/>
                <w:sz w:val="18"/>
              </w:rPr>
              <w:t xml:space="preserve">HF-coded subsequent readmission</w:t>
            </w:r>
          </w:p>
        </w:tc>
        <w:tc>
          <w:tcPr>
            <w:tcW w:type="dxa" w:w="5760"/>
            <w:tcMar>
              <w:top w:w="35" w:type="dxa"/>
              <w:left w:w="140" w:type="dxa"/>
              <w:bottom w:w="35" w:type="dxa"/>
              <w:right w:w="140" w:type="dxa"/>
            </w:tcMar>
          </w:tcPr>
          <w:p>
            <w:pPr>
              <w:pStyle w:val="Compact"/>
              <w:keepLines/>
              <w:spacing w:before="0" w:after="20"/>
              <w:jc w:val="left"/>
            </w:pPr>
            <w:r>
              <w:rPr>
                <w:rFonts w:ascii="Arial" w:hAnsi="Arial"/>
                <w:sz w:val="18"/>
              </w:rPr>
              <w:t xml:space="preserve">1.02, 95% CI 0.99–1.04</w:t>
            </w:r>
          </w:p>
        </w:tc>
        <w:tc>
          <w:tcPr>
            <w:tcW w:type="dxa" w:w="3514"/>
            <w:tcMar>
              <w:top w:w="35" w:type="dxa"/>
              <w:left w:w="140" w:type="dxa"/>
              <w:bottom w:w="35" w:type="dxa"/>
              <w:right w:w="140" w:type="dxa"/>
            </w:tcMar>
          </w:tcPr>
          <w:p>
            <w:pPr>
              <w:pStyle w:val="Compact"/>
              <w:keepLines/>
              <w:spacing w:before="0" w:after="20"/>
              <w:jc w:val="left"/>
            </w:pPr>
            <w:r>
              <w:rPr>
                <w:rFonts w:ascii="Arial" w:hAnsi="Arial"/>
                <w:sz w:val="18"/>
              </w:rPr>
              <w:t xml:space="preserve">P = 0.155</w:t>
            </w:r>
          </w:p>
        </w:tc>
      </w:tr>
      <w:tr>
        <w:trPr>
          <w:cantSplit/>
        </w:trPr>
        <w:tc>
          <w:tcPr>
            <w:tcW w:type="dxa" w:w="5184"/>
            <w:tcMar>
              <w:top w:w="35" w:type="dxa"/>
              <w:left w:w="140" w:type="dxa"/>
              <w:bottom w:w="35" w:type="dxa"/>
              <w:right w:w="140" w:type="dxa"/>
            </w:tcMar>
          </w:tcPr>
          <w:p>
            <w:pPr>
              <w:pStyle w:val="Compact"/>
              <w:keepLines/>
              <w:spacing w:before="0" w:after="20"/>
              <w:jc w:val="left"/>
            </w:pPr>
            <w:r>
              <w:rPr>
                <w:rFonts w:ascii="Arial" w:hAnsi="Arial"/>
                <w:sz w:val="18"/>
              </w:rPr>
              <w:t xml:space="preserve">Non-elective-coded subsequent readmission</w:t>
            </w:r>
          </w:p>
        </w:tc>
        <w:tc>
          <w:tcPr>
            <w:tcW w:type="dxa" w:w="5760"/>
            <w:tcMar>
              <w:top w:w="35" w:type="dxa"/>
              <w:left w:w="140" w:type="dxa"/>
              <w:bottom w:w="35" w:type="dxa"/>
              <w:right w:w="140" w:type="dxa"/>
            </w:tcMar>
          </w:tcPr>
          <w:p>
            <w:pPr>
              <w:pStyle w:val="Compact"/>
              <w:keepLines/>
              <w:spacing w:before="0" w:after="20"/>
              <w:jc w:val="left"/>
            </w:pPr>
            <w:r>
              <w:rPr>
                <w:rFonts w:ascii="Arial" w:hAnsi="Arial"/>
                <w:sz w:val="18"/>
              </w:rPr>
              <w:t xml:space="preserve">1.05, 95% CI 1.03–1.06</w:t>
            </w:r>
          </w:p>
        </w:tc>
        <w:tc>
          <w:tcPr>
            <w:tcW w:type="dxa" w:w="3514"/>
            <w:tcMar>
              <w:top w:w="35" w:type="dxa"/>
              <w:left w:w="140" w:type="dxa"/>
              <w:bottom w:w="35" w:type="dxa"/>
              <w:right w:w="140" w:type="dxa"/>
            </w:tcMar>
          </w:tcPr>
          <w:p>
            <w:pPr>
              <w:pStyle w:val="Compact"/>
              <w:keepLines/>
              <w:spacing w:before="0" w:after="20"/>
              <w:jc w:val="left"/>
            </w:pPr>
            <w:r>
              <w:rPr>
                <w:rFonts w:ascii="Arial" w:hAnsi="Arial"/>
                <w:sz w:val="18"/>
              </w:rPr>
              <w:t xml:space="preserve">P &lt; 0.001</w:t>
            </w:r>
          </w:p>
        </w:tc>
      </w:tr>
    </w:tbl>
    <w:bookmarkEnd w:id="61"/>
    <w:bookmarkStart w:id="62" w:name="Xbd703fdca36ffab084d5972755eaf65a12eea87"/>
    <w:p>
      <w:pPr>
        <w:pStyle w:val="Heading3"/>
      </w:pPr>
      <w:r>
        <w:rPr>
          <w:sz w:val="20"/>
        </w:rPr>
        <w:t xml:space="preserve">Table S6. Overlap-weighting covariate balance</w:t>
      </w:r>
    </w:p>
    <w:tbl>
      <w:tblPr>
        <w:tblStyle w:val="Table"/>
        <w:tblW w:type="pct" w:w="5000"/>
        <w:tblLayout w:type="fixed"/>
        <w:tblLook w:firstRow="1" w:lastRow="0" w:firstColumn="0" w:lastColumn="0" w:noHBand="0" w:noVBand="0" w:val="0020"/>
      </w:tblPr>
      <w:tblGrid>
        <w:gridCol w:w="6336"/>
        <w:gridCol w:w="4061"/>
        <w:gridCol w:w="4061"/>
      </w:tblGrid>
      <w:tr>
        <w:trPr>
          <w:tblHeader w:val="on"/>
          <w:cantSplit/>
        </w:trPr>
        <w:tc>
          <w:tcPr>
            <w:tcW w:type="dxa" w:w="6336"/>
            <w:tcMar>
              <w:top w:w="35" w:type="dxa"/>
              <w:left w:w="140" w:type="dxa"/>
              <w:bottom w:w="35" w:type="dxa"/>
              <w:right w:w="140" w:type="dxa"/>
            </w:tcMar>
          </w:tcPr>
          <w:p>
            <w:pPr>
              <w:pStyle w:val="Compact"/>
              <w:keepNext/>
              <w:keepLines/>
              <w:spacing w:before="0" w:after="20"/>
              <w:jc w:val="left"/>
            </w:pPr>
            <w:r>
              <w:rPr>
                <w:rFonts w:ascii="Arial" w:hAnsi="Arial"/>
                <w:b/>
                <w:sz w:val="18"/>
              </w:rPr>
              <w:t xml:space="preserve">Covariate</w:t>
            </w:r>
          </w:p>
        </w:tc>
        <w:tc>
          <w:tcPr>
            <w:tcW w:type="dxa" w:w="4061"/>
            <w:tcMar>
              <w:top w:w="35" w:type="dxa"/>
              <w:left w:w="140" w:type="dxa"/>
              <w:bottom w:w="35" w:type="dxa"/>
              <w:right w:w="140" w:type="dxa"/>
            </w:tcMar>
          </w:tcPr>
          <w:p>
            <w:pPr>
              <w:pStyle w:val="Compact"/>
              <w:keepNext/>
              <w:keepLines/>
              <w:spacing w:before="0" w:after="20"/>
              <w:jc w:val="left"/>
            </w:pPr>
            <w:r>
              <w:rPr>
                <w:rFonts w:ascii="Arial" w:hAnsi="Arial"/>
                <w:b/>
                <w:sz w:val="18"/>
              </w:rPr>
              <w:t xml:space="preserve">Before weighting, standardized difference</w:t>
            </w:r>
          </w:p>
        </w:tc>
        <w:tc>
          <w:tcPr>
            <w:tcW w:type="dxa" w:w="4061"/>
            <w:tcMar>
              <w:top w:w="35" w:type="dxa"/>
              <w:left w:w="140" w:type="dxa"/>
              <w:bottom w:w="35" w:type="dxa"/>
              <w:right w:w="140" w:type="dxa"/>
            </w:tcMar>
          </w:tcPr>
          <w:p>
            <w:pPr>
              <w:pStyle w:val="Compact"/>
              <w:keepNext/>
              <w:keepLines/>
              <w:spacing w:before="0" w:after="20"/>
              <w:jc w:val="left"/>
            </w:pPr>
            <w:r>
              <w:rPr>
                <w:rFonts w:ascii="Arial" w:hAnsi="Arial"/>
                <w:b/>
                <w:sz w:val="18"/>
              </w:rPr>
              <w:t xml:space="preserve">After overlap weighting, standardized difference</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Discharge year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Age, 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-0.154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Sex</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Expected payer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0.094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ZIP-code income quartile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0.078</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County urban–rural category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0.140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Index-hospital bed size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0.201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Hospital location/teaching status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0.145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Index-hospital ownership</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0.108</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Annual index-hospital HF volume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0.273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length of stay, 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-0.004</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discharge disposition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0.115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All Patient Refined Diagnosis Related Groups (APR-DRG) severity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Days to first readmission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0.037</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Earlier hospitalization in calendar year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Cardiac arrhythmias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0.064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Valvular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Pulmonary circulation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0.032</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Peripheral vascular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uncomplicated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0.010</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Paralysis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Other neurologic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Chronic pulmonary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0.028</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uncomplicated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Diabetes, 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Hypothyroidism</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Renal failure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Liver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Peptic ulcer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AIDS/HIV</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0.018</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Lymphoma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0.017</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Metastatic cancer</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Solid tumor without metastasis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0.017</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Rheumatoid arthritis/collagen vascular disease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0.019</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Coagulopathy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Obesity</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Weight loss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Fluid and electrolyte disorders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Blood loss anemia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Deficiency anemia</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Alcohol abuse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0.031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Drug abuse</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0.085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Psychoses</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0.045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Depression</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Elixhauser: Hypertension, complicated</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0.037</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Age spline basis 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-0.027</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Age spline basis 2</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-0.076</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Age spline basis 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-0.095</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 basis 1</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-0.052</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 basis 2</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-0.034</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r>
        <w:trPr>
          <w:cantSplit/>
        </w:trPr>
        <w:tc>
          <w:tcPr>
            <w:tcW w:type="dxa" w:w="6336"/>
            <w:tcMar>
              <w:top w:w="35" w:type="dxa"/>
              <w:left w:w="140" w:type="dxa"/>
              <w:bottom w:w="35" w:type="dxa"/>
              <w:right w:w="140" w:type="dxa"/>
            </w:tcMar>
          </w:tcPr>
          <w:p>
            <w:pPr>
              <w:pStyle w:val="Compact"/>
              <w:keepLines/>
              <w:spacing w:before="0" w:after="20"/>
              <w:jc w:val="left"/>
            </w:pPr>
            <w:r>
              <w:rPr>
                <w:rFonts w:ascii="Arial" w:hAnsi="Arial"/>
                <w:sz w:val="18"/>
              </w:rPr>
              <w:t xml:space="preserve">Index LOS spline basis 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0.013</w:t>
            </w:r>
          </w:p>
        </w:tc>
        <w:tc>
          <w:tcPr>
            <w:tcW w:type="dxa" w:w="4061"/>
            <w:tcMar>
              <w:top w:w="35" w:type="dxa"/>
              <w:left w:w="140" w:type="dxa"/>
              <w:bottom w:w="35" w:type="dxa"/>
              <w:right w:w="140" w:type="dxa"/>
            </w:tcMar>
          </w:tcPr>
          <w:p>
            <w:pPr>
              <w:pStyle w:val="Compact"/>
              <w:keepLines/>
              <w:spacing w:before="0" w:after="20"/>
              <w:jc w:val="left"/>
            </w:pPr>
            <w:r>
              <w:rPr>
                <w:rFonts w:ascii="Arial" w:hAnsi="Arial"/>
                <w:sz w:val="18"/>
              </w:rPr>
              <w:t xml:space="preserve">0.000</w:t>
            </w:r>
          </w:p>
        </w:tc>
      </w:tr>
    </w:tbl>
    <w:bookmarkEnd w:id="62"/>
    <w:bookmarkStart w:id="63" w:name="table-s7.-annual-estimates"/>
    <w:p>
      <w:pPr>
        <w:pStyle w:val="Heading3"/>
      </w:pPr>
      <w:r>
        <w:rPr>
          <w:sz w:val="20"/>
        </w:rPr>
        <w:t xml:space="preserve">Table S7. Annual estimates</w:t>
      </w:r>
    </w:p>
    <w:p>
      <w:pPr>
        <w:pStyle w:val="FirstParagraph"/>
      </w:pPr>
      <w:r>
        <w:rPr>
          <w:sz w:val="20"/>
        </w:rPr>
        <w:t xml:space="preserve">Annual destination proportions, outcome risks, and risk differences are survey-weighted and unadjusted; P values for trend are reported in the text.</w:t>
      </w:r>
    </w:p>
    <w:tbl>
      <w:tblPr>
        <w:tblStyle w:val="Table"/>
        <w:tblW w:type="pct" w:w="5000"/>
        <w:tblLayout w:type="fixed"/>
        <w:tblLook w:firstRow="1" w:lastRow="0" w:firstColumn="0" w:lastColumn="0" w:noHBand="0" w:noVBand="0" w:val="0020"/>
      </w:tblPr>
      <w:tblGrid>
        <w:gridCol w:w="1152"/>
        <w:gridCol w:w="4176"/>
        <w:gridCol w:w="2592"/>
        <w:gridCol w:w="2736"/>
        <w:gridCol w:w="3802"/>
      </w:tblGrid>
      <w:tr>
        <w:trPr>
          <w:tblHeader w:val="on"/>
          <w:cantSplit/>
        </w:trPr>
        <w:tc>
          <w:tcPr>
            <w:tcW w:type="dxa" w:w="1152"/>
            <w:tcMar>
              <w:top w:w="35" w:type="dxa"/>
              <w:left w:w="140" w:type="dxa"/>
              <w:bottom w:w="35" w:type="dxa"/>
              <w:right w:w="140" w:type="dxa"/>
            </w:tcMar>
          </w:tcPr>
          <w:p>
            <w:pPr>
              <w:pStyle w:val="Compact"/>
              <w:keepNext/>
              <w:keepLines/>
              <w:spacing w:before="0" w:after="20"/>
              <w:jc w:val="left"/>
            </w:pPr>
            <w:r>
              <w:rPr>
                <w:rFonts w:ascii="Arial" w:hAnsi="Arial"/>
                <w:b/>
                <w:sz w:val="18"/>
              </w:rPr>
              <w:t xml:space="preserve">Year</w:t>
            </w:r>
          </w:p>
        </w:tc>
        <w:tc>
          <w:tcPr>
            <w:tcW w:type="dxa" w:w="4176"/>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Different-hospital first readmission</w:t>
            </w:r>
          </w:p>
        </w:tc>
        <w:tc>
          <w:tcPr>
            <w:tcW w:type="dxa" w:w="2592"/>
            <w:tcMar>
              <w:top w:w="35" w:type="dxa"/>
              <w:left w:w="140" w:type="dxa"/>
              <w:bottom w:w="35" w:type="dxa"/>
              <w:right w:w="140" w:type="dxa"/>
            </w:tcMar>
          </w:tcPr>
          <w:p>
            <w:pPr>
              <w:pStyle w:val="Compact"/>
              <w:keepNext/>
              <w:keepLines/>
              <w:spacing w:before="0" w:after="20"/>
              <w:jc w:val="left"/>
            </w:pPr>
            <w:r>
              <w:rPr>
                <w:rFonts w:ascii="Arial" w:hAnsi="Arial"/>
                <w:b/>
                <w:sz w:val="18"/>
              </w:rPr>
              <w:t xml:space="preserve">Same-hospital outcome risk</w:t>
            </w:r>
          </w:p>
        </w:tc>
        <w:tc>
          <w:tcPr>
            <w:tcW w:type="dxa" w:w="2736"/>
            <w:tcMar>
              <w:top w:w="35" w:type="dxa"/>
              <w:left w:w="140" w:type="dxa"/>
              <w:bottom w:w="35" w:type="dxa"/>
              <w:right w:w="140" w:type="dxa"/>
            </w:tcMar>
          </w:tcPr>
          <w:p>
            <w:pPr>
              <w:pStyle w:val="Compact"/>
              <w:keepNext/>
              <w:keepLines/>
              <w:spacing w:before="0" w:after="20"/>
              <w:jc w:val="left"/>
            </w:pPr>
            <w:r>
              <w:rPr>
                <w:rFonts w:ascii="Arial" w:hAnsi="Arial"/>
                <w:b/>
                <w:sz w:val="18"/>
              </w:rPr>
              <w:t xml:space="preserve">Different-hospital outcome risk</w:t>
            </w:r>
          </w:p>
        </w:tc>
        <w:tc>
          <w:tcPr>
            <w:tcW w:type="dxa" w:w="3802"/>
            <w:tcMar>
              <w:top w:w="35" w:type="dxa"/>
              <w:left w:w="140" w:type="dxa"/>
              <w:bottom w:w="35" w:type="dxa"/>
              <w:right w:w="140" w:type="dxa"/>
            </w:tcMar>
          </w:tcPr>
          <w:p>
            <w:pPr>
              <w:pStyle w:val="Compact"/>
              <w:keepNext/>
              <w:keepLines/>
              <w:spacing w:before="0" w:after="20"/>
              <w:jc w:val="left"/>
            </w:pPr>
            <w:r>
              <w:rPr>
                <w:rFonts w:ascii="Arial" w:hAnsi="Arial"/>
                <w:b/>
                <w:sz w:val="18"/>
              </w:rPr>
              <w:t xml:space="preserve">Risk difference</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2016</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20.7% (95% CI, 20.2–21.3)</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35.7%</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38.2%</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+2.59 percentage points (95% CI, +1.51 to +3.68)</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2017</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21.2% (95% CI, 20.6–21.8)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35.6%</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38.8%</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+3.21 percentage points (95% CI, +2.29 to +4.14)</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2018</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20.7% (95% CI, 20.1–21.3)</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35.8%</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37.3%</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+1.51 percentage points (95% CI, +0.59 to +2.42)</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2019</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20.7% (95% CI, 20.1–21.3)</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35.4%</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37.6%</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+2.24 percentage points (95% CI, +1.35 to +3.12)</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2020</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21.2% (95% CI, 20.6–21.8)</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35.5%</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38.2%</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+2.72 percentage points (95% CI, +1.78 to +3.67)</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2021</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22.9% (95% CI, 22.3–23.5)</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35.6%</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37.6%</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+1.98 percentage points (95% CI, +1.07 to +2.88)</w:t>
            </w:r>
          </w:p>
        </w:tc>
      </w:tr>
      <w:tr>
        <w:trPr>
          <w:cantSplit/>
        </w:trPr>
        <w:tc>
          <w:tcPr>
            <w:tcW w:type="dxa" w:w="1152"/>
            <w:tcMar>
              <w:top w:w="35" w:type="dxa"/>
              <w:left w:w="140" w:type="dxa"/>
              <w:bottom w:w="35" w:type="dxa"/>
              <w:right w:w="140" w:type="dxa"/>
            </w:tcMar>
          </w:tcPr>
          <w:p>
            <w:pPr>
              <w:pStyle w:val="Compact"/>
              <w:keepLines/>
              <w:spacing w:before="0" w:after="20"/>
              <w:jc w:val="left"/>
            </w:pPr>
            <w:r>
              <w:rPr>
                <w:rFonts w:ascii="Arial" w:hAnsi="Arial"/>
                <w:sz w:val="18"/>
              </w:rPr>
              <w:t xml:space="preserve">2022</w:t>
            </w:r>
          </w:p>
        </w:tc>
        <w:tc>
          <w:tcPr>
            <w:tcW w:type="dxa" w:w="4176"/>
            <w:tcMar>
              <w:top w:w="35" w:type="dxa"/>
              <w:left w:w="140" w:type="dxa"/>
              <w:bottom w:w="35" w:type="dxa"/>
              <w:right w:w="140" w:type="dxa"/>
            </w:tcMar>
          </w:tcPr>
          <w:p>
            <w:pPr>
              <w:pStyle w:val="Compact"/>
              <w:keepLines/>
              <w:spacing w:before="0" w:after="20"/>
              <w:jc w:val="left"/>
            </w:pPr>
            <w:r>
              <w:rPr>
                <w:rFonts w:ascii="Arial" w:hAnsi="Arial"/>
                <w:sz w:val="18"/>
              </w:rPr>
              <w:t xml:space="preserve">23.2% (95% CI, 22.6–23.9)</w:t>
            </w:r>
          </w:p>
        </w:tc>
        <w:tc>
          <w:tcPr>
            <w:tcW w:type="dxa" w:w="2592"/>
            <w:tcMar>
              <w:top w:w="35" w:type="dxa"/>
              <w:left w:w="140" w:type="dxa"/>
              <w:bottom w:w="35" w:type="dxa"/>
              <w:right w:w="140" w:type="dxa"/>
            </w:tcMar>
          </w:tcPr>
          <w:p>
            <w:pPr>
              <w:pStyle w:val="Compact"/>
              <w:keepLines/>
              <w:spacing w:before="0" w:after="20"/>
              <w:jc w:val="left"/>
            </w:pPr>
            <w:r>
              <w:rPr>
                <w:rFonts w:ascii="Arial" w:hAnsi="Arial"/>
                <w:sz w:val="18"/>
              </w:rPr>
              <w:t xml:space="preserve">36.1%</w:t>
            </w:r>
          </w:p>
        </w:tc>
        <w:tc>
          <w:tcPr>
            <w:tcW w:type="dxa" w:w="2736"/>
            <w:tcMar>
              <w:top w:w="35" w:type="dxa"/>
              <w:left w:w="140" w:type="dxa"/>
              <w:bottom w:w="35" w:type="dxa"/>
              <w:right w:w="140" w:type="dxa"/>
            </w:tcMar>
          </w:tcPr>
          <w:p>
            <w:pPr>
              <w:pStyle w:val="Compact"/>
              <w:keepLines/>
              <w:spacing w:before="0" w:after="20"/>
              <w:jc w:val="left"/>
            </w:pPr>
            <w:r>
              <w:rPr>
                <w:rFonts w:ascii="Arial" w:hAnsi="Arial"/>
                <w:sz w:val="18"/>
              </w:rPr>
              <w:t xml:space="preserve">37.6%</w:t>
            </w:r>
          </w:p>
        </w:tc>
        <w:tc>
          <w:tcPr>
            <w:tcW w:type="dxa" w:w="3802"/>
            <w:tcMar>
              <w:top w:w="35" w:type="dxa"/>
              <w:left w:w="140" w:type="dxa"/>
              <w:bottom w:w="35" w:type="dxa"/>
              <w:right w:w="140" w:type="dxa"/>
            </w:tcMar>
          </w:tcPr>
          <w:p>
            <w:pPr>
              <w:pStyle w:val="Compact"/>
              <w:keepLines/>
              <w:spacing w:before="0" w:after="20"/>
              <w:jc w:val="left"/>
            </w:pPr>
            <w:r>
              <w:rPr>
                <w:rFonts w:ascii="Arial" w:hAnsi="Arial"/>
                <w:sz w:val="18"/>
              </w:rPr>
              <w:t xml:space="preserve">+1.44 percentage points (95% CI, +0.52 to +2.36)</w:t>
            </w:r>
          </w:p>
        </w:tc>
      </w:tr>
    </w:tbl>
    <w:bookmarkEnd w:id="63"/>
    <w:bookmarkStart w:id="64" w:name="table-s8.-diagnosis-definitions"/>
    <w:p>
      <w:pPr>
        <w:pStyle w:val="Heading3"/>
      </w:pPr>
      <w:r>
        <w:rPr>
          <w:sz w:val="20"/>
        </w:rPr>
        <w:t xml:space="preserve">Table S8. Diagnosis definitions</w:t>
      </w:r>
    </w:p>
    <w:tbl>
      <w:tblPr>
        <w:tblStyle w:val="Table"/>
        <w:tblW w:type="pct" w:w="5000"/>
        <w:tblLayout w:type="fixed"/>
        <w:tblLook w:firstRow="1" w:lastRow="0" w:firstColumn="0" w:lastColumn="0" w:noHBand="0" w:noVBand="0" w:val="0020"/>
      </w:tblPr>
      <w:tblGrid>
        <w:gridCol w:w="3456"/>
        <w:gridCol w:w="3744"/>
        <w:gridCol w:w="7258"/>
      </w:tblGrid>
      <w:tr>
        <w:trPr>
          <w:tblHeader w:val="on"/>
          <w:cantSplit/>
        </w:trPr>
        <w:tc>
          <w:tcPr>
            <w:tcW w:type="dxa" w:w="3456"/>
            <w:tcMar>
              <w:top w:w="35" w:type="dxa"/>
              <w:left w:w="140" w:type="dxa"/>
              <w:bottom w:w="35" w:type="dxa"/>
              <w:right w:w="140" w:type="dxa"/>
            </w:tcMar>
          </w:tcPr>
          <w:p>
            <w:pPr>
              <w:pStyle w:val="Compact"/>
              <w:keepNext/>
              <w:keepLines/>
              <w:spacing w:before="0" w:after="20"/>
              <w:jc w:val="left"/>
            </w:pPr>
            <w:r>
              <w:rPr>
                <w:rFonts w:ascii="Arial" w:hAnsi="Arial"/>
                <w:b/>
                <w:sz w:val="18"/>
              </w:rPr>
              <w:t xml:space="preserve">Definition</w:t>
            </w:r>
          </w:p>
        </w:tc>
        <w:tc>
          <w:tcPr>
            <w:tcW w:type="dxa" w:w="3744"/>
            <w:tcMar>
              <w:top w:w="35" w:type="dxa"/>
              <w:left w:w="140" w:type="dxa"/>
              <w:bottom w:w="35" w:type="dxa"/>
              <w:right w:w="140" w:type="dxa"/>
            </w:tcMar>
          </w:tcPr>
          <w:p>
            <w:pPr>
              <w:pStyle w:val="Compact"/>
              <w:keepNext/>
              <w:keepLines/>
              <w:spacing w:before="0" w:after="20"/>
              <w:jc w:val="left"/>
            </w:pPr>
            <w:r>
              <w:rPr>
                <w:rFonts w:ascii="Arial" w:hAnsi="Arial"/>
                <w:b/>
                <w:sz w:val="18"/>
              </w:rPr>
              <w:t xml:space="preserve">Code system</w:t>
            </w:r>
          </w:p>
        </w:tc>
        <w:tc>
          <w:tcPr>
            <w:tcW w:type="dxa" w:w="7258"/>
            <w:tcMar>
              <w:top w:w="35" w:type="dxa"/>
              <w:left w:w="140" w:type="dxa"/>
              <w:bottom w:w="35" w:type="dxa"/>
              <w:right w:w="140" w:type="dxa"/>
            </w:tcMar>
          </w:tcPr>
          <w:p>
            <w:pPr>
              <w:pStyle w:val="Compact"/>
              <w:keepNext/>
              <w:keepLines/>
              <w:spacing w:before="0" w:after="20"/>
              <w:jc w:val="left"/>
            </w:pPr>
            <w:r>
              <w:rPr>
                <w:rFonts w:ascii="Arial" w:hAnsi="Arial"/>
                <w:b/>
                <w:sz w:val="18"/>
              </w:rPr>
              <w:t xml:space="preserve">Codes</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Heart failure</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I50*, I11.0, I13.0, I13.2, I09.81</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Other cardiovascular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I00-I99 excluding heart-failure codes above</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Infection/sepsis</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A00-B99; R65.2*</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Renal/AKI</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N00-N39</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Respiratory/COPD</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J00-J99 (including pneumonia); R06*</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GI/bleeding</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K00-K95; D50-D64</w:t>
            </w:r>
          </w:p>
        </w:tc>
      </w:tr>
      <w:tr>
        <w:trPr>
          <w:cantSplit/>
        </w:trPr>
        <w:tc>
          <w:tcPr>
            <w:tcW w:type="dxa" w:w="3456"/>
            <w:tcMar>
              <w:top w:w="35" w:type="dxa"/>
              <w:left w:w="140" w:type="dxa"/>
              <w:bottom w:w="35" w:type="dxa"/>
              <w:right w:w="140" w:type="dxa"/>
            </w:tcMar>
          </w:tcPr>
          <w:p>
            <w:pPr>
              <w:pStyle w:val="Compact"/>
              <w:keepLines/>
              <w:spacing w:before="0" w:after="20"/>
              <w:jc w:val="left"/>
            </w:pPr>
            <w:r>
              <w:rPr>
                <w:rFonts w:ascii="Arial" w:hAnsi="Arial"/>
                <w:sz w:val="18"/>
              </w:rPr>
              <w:t xml:space="preserve">Other</w:t>
            </w:r>
          </w:p>
        </w:tc>
        <w:tc>
          <w:tcPr>
            <w:tcW w:type="dxa" w:w="3744"/>
            <w:tcMar>
              <w:top w:w="35" w:type="dxa"/>
              <w:left w:w="140" w:type="dxa"/>
              <w:bottom w:w="35" w:type="dxa"/>
              <w:right w:w="140" w:type="dxa"/>
            </w:tcMar>
          </w:tcPr>
          <w:p>
            <w:pPr>
              <w:pStyle w:val="Compact"/>
              <w:keepLines/>
              <w:spacing w:before="0" w:after="20"/>
              <w:jc w:val="left"/>
            </w:pPr>
            <w:r>
              <w:rPr>
                <w:rFonts w:ascii="Arial" w:hAnsi="Arial"/>
                <w:sz w:val="18"/>
              </w:rPr>
              <w:t xml:space="preserve">ICD-10-CM principal diagnosis</w:t>
            </w:r>
          </w:p>
        </w:tc>
        <w:tc>
          <w:tcPr>
            <w:tcW w:type="dxa" w:w="7258"/>
            <w:tcMar>
              <w:top w:w="35" w:type="dxa"/>
              <w:left w:w="140" w:type="dxa"/>
              <w:bottom w:w="35" w:type="dxa"/>
              <w:right w:w="140" w:type="dxa"/>
            </w:tcMar>
          </w:tcPr>
          <w:p>
            <w:pPr>
              <w:pStyle w:val="Compact"/>
              <w:keepLines/>
              <w:spacing w:before="0" w:after="20"/>
              <w:jc w:val="left"/>
            </w:pPr>
            <w:r>
              <w:rPr>
                <w:rFonts w:ascii="Arial" w:hAnsi="Arial"/>
                <w:sz w:val="18"/>
              </w:rPr>
              <w:t xml:space="preserve">All remaining principal diagnoses</w:t>
            </w:r>
          </w:p>
        </w:tc>
      </w:tr>
    </w:tbl>
    <w:bookmarkEnd w:id="64"/>
    <w:bookmarkStart w:id="65" w:name="table-s9.-e-value-sensitivity"/>
    <w:p>
      <w:pPr>
        <w:pStyle w:val="Heading3"/>
      </w:pPr>
      <w:r>
        <w:rPr>
          <w:sz w:val="20"/>
        </w:rPr>
        <w:t xml:space="preserve">Table S9. E-value sensitivity</w:t>
      </w:r>
    </w:p>
    <w:p>
      <w:pPr>
        <w:pStyle w:val="FirstParagraph"/>
      </w:pPr>
      <w:r>
        <w:rPr>
          <w:sz w:val="20"/>
        </w:rPr>
        <w:t xml:space="preserve">The E-value summarizes the minimum association strength an unmeasured confounder would need with both exposure and outcome, conditional on measured covariates, to explain the observed risk ratio under its assumptions. It does not establish causality.</w:t>
      </w:r>
    </w:p>
    <w:tbl>
      <w:tblPr>
        <w:tblStyle w:val="Table"/>
        <w:tblW w:type="auto" w:w="0"/>
        <w:tblLayout w:type="fixed"/>
        <w:tblLook w:firstRow="1" w:lastRow="0" w:firstColumn="0" w:lastColumn="0" w:noHBand="0" w:noVBand="0" w:val="0020"/>
      </w:tblPr>
      <w:tblGrid>
        <w:gridCol w:w="5040"/>
        <w:gridCol w:w="4680"/>
        <w:gridCol w:w="4738"/>
      </w:tblGrid>
      <w:tr>
        <w:trPr>
          <w:tblHeader w:val="on"/>
          <w:cantSplit/>
        </w:trPr>
        <w:tc>
          <w:tcPr>
            <w:tcW w:type="dxa" w:w="5040"/>
            <w:tcMar>
              <w:top w:w="35" w:type="dxa"/>
              <w:left w:w="140" w:type="dxa"/>
              <w:bottom w:w="35" w:type="dxa"/>
              <w:right w:w="140" w:type="dxa"/>
            </w:tcMar>
          </w:tcPr>
          <w:p>
            <w:pPr>
              <w:pStyle w:val="Compact"/>
              <w:keepNext/>
              <w:keepLines/>
              <w:spacing w:before="0" w:after="20"/>
              <w:jc w:val="left"/>
            </w:pPr>
            <w:r>
              <w:rPr>
                <w:rFonts w:ascii="Arial" w:hAnsi="Arial"/>
                <w:b/>
                <w:sz w:val="18"/>
              </w:rPr>
              <w:t xml:space="preserve">Primary risk ratio</w:t>
            </w:r>
          </w:p>
        </w:tc>
        <w:tc>
          <w:tcPr>
            <w:tcW w:type="dxa" w:w="4680"/>
            <w:tcMar>
              <w:top w:w="35" w:type="dxa"/>
              <w:left w:w="140" w:type="dxa"/>
              <w:bottom w:w="35" w:type="dxa"/>
              <w:right w:w="140" w:type="dxa"/>
            </w:tcMar>
          </w:tcPr>
          <w:p>
            <w:pPr>
              <w:pStyle w:val="Compact"/>
              <w:keepNext/>
              <w:keepLines/>
              <w:spacing w:before="0" w:after="20"/>
              <w:jc w:val="left"/>
            </w:pPr>
            <w:r>
              <w:rPr>
                <w:rFonts w:ascii="Arial" w:hAnsi="Arial"/>
                <w:b/>
                <w:sz w:val="18"/>
              </w:rPr>
              <w:t xml:space="preserve">E-value</w:t>
            </w:r>
          </w:p>
        </w:tc>
        <w:tc>
          <w:tcPr>
            <w:tcW w:type="dxa" w:w="4738"/>
            <w:tcMar>
              <w:top w:w="35" w:type="dxa"/>
              <w:left w:w="140" w:type="dxa"/>
              <w:bottom w:w="35" w:type="dxa"/>
              <w:right w:w="140" w:type="dxa"/>
            </w:tcMar>
          </w:tcPr>
          <w:p>
            <w:pPr>
              <w:pStyle w:val="Compact"/>
              <w:keepNext/>
              <w:keepLines/>
              <w:spacing w:before="0" w:after="20"/>
              <w:jc w:val="left"/>
            </w:pPr>
            <w:r>
              <w:rPr>
                <w:rFonts w:ascii="Arial" w:hAnsi="Arial"/>
                <w:b/>
                <w:sz w:val="18"/>
              </w:rPr>
              <w:t xml:space="preserve">E-value for confidence limit</w:t>
            </w:r>
          </w:p>
        </w:tc>
      </w:tr>
      <w:tr>
        <w:trPr>
          <w:cantSplit/>
        </w:trPr>
        <w:tc>
          <w:tcPr>
            <w:tcW w:type="dxa" w:w="5040"/>
            <w:tcMar>
              <w:top w:w="35" w:type="dxa"/>
              <w:left w:w="140" w:type="dxa"/>
              <w:bottom w:w="35" w:type="dxa"/>
              <w:right w:w="140" w:type="dxa"/>
            </w:tcMar>
          </w:tcPr>
          <w:p>
            <w:pPr>
              <w:pStyle w:val="Compact"/>
              <w:keepLines/>
              <w:spacing w:before="0" w:after="20"/>
              <w:jc w:val="left"/>
            </w:pPr>
            <w:r>
              <w:rPr>
                <w:rFonts w:ascii="Arial" w:hAnsi="Arial"/>
                <w:sz w:val="18"/>
              </w:rPr>
              <w:t xml:space="preserve">1.056</w:t>
            </w:r>
          </w:p>
        </w:tc>
        <w:tc>
          <w:tcPr>
            <w:tcW w:type="dxa" w:w="4680"/>
            <w:tcMar>
              <w:top w:w="35" w:type="dxa"/>
              <w:left w:w="140" w:type="dxa"/>
              <w:bottom w:w="35" w:type="dxa"/>
              <w:right w:w="140" w:type="dxa"/>
            </w:tcMar>
          </w:tcPr>
          <w:p>
            <w:pPr>
              <w:pStyle w:val="Compact"/>
              <w:keepLines/>
              <w:spacing w:before="0" w:after="20"/>
              <w:jc w:val="left"/>
            </w:pPr>
            <w:r>
              <w:rPr>
                <w:rFonts w:ascii="Arial" w:hAnsi="Arial"/>
                <w:sz w:val="18"/>
              </w:rPr>
              <w:t xml:space="preserve">1.30</w:t>
            </w:r>
          </w:p>
        </w:tc>
        <w:tc>
          <w:tcPr>
            <w:tcW w:type="dxa" w:w="4738"/>
            <w:tcMar>
              <w:top w:w="35" w:type="dxa"/>
              <w:left w:w="140" w:type="dxa"/>
              <w:bottom w:w="35" w:type="dxa"/>
              <w:right w:w="140" w:type="dxa"/>
            </w:tcMar>
          </w:tcPr>
          <w:p>
            <w:pPr>
              <w:pStyle w:val="Compact"/>
              <w:keepLines/>
              <w:spacing w:before="0" w:after="20"/>
              <w:jc w:val="left"/>
            </w:pPr>
            <w:r>
              <w:rPr>
                <w:rFonts w:ascii="Arial" w:hAnsi="Arial"/>
                <w:sz w:val="18"/>
              </w:rPr>
              <w:t xml:space="preserve">1.27</w:t>
            </w:r>
          </w:p>
        </w:tc>
      </w:tr>
    </w:tbl>
    <w:bookmarkEnd w:id="65"/>
    <w:bookmarkEnd w:id="66"/>
    <w:bookmarkStart w:id="67" w:name="statements"/>
    <w:p>
      <w:pPr>
        <w:pStyle w:val="Heading2"/>
      </w:pPr>
      <w:r>
        <w:rPr>
          <w:sz w:val="20"/>
        </w:rPr>
        <w:t xml:space="preserve">Statements</w:t>
      </w:r>
    </w:p>
    <w:p>
      <w:pPr>
        <w:pStyle w:val="FirstParagraph"/>
      </w:pPr>
      <w:r>
        <w:rPr>
          <w:sz w:val="20"/>
        </w:rPr>
        <w:t xml:space="preserve">Software: R version 4.6.1, survey package version 4.5, and Quarto version 1.10.19.</w:t>
      </w:r>
    </w:p>
    <w:p>
      <w:pPr>
        <w:pStyle w:val="BodyText"/>
      </w:pPr>
      <w:r>
        <w:rPr>
          <w:sz w:val="20"/>
        </w:rPr>
        <w:t xml:space="preserve">Data use: HCUP NRD; deidentified; analyses comply with the HCUP Data Use Agreement; cells ≤10 suppressed.</w:t>
      </w:r>
    </w:p>
    <w:p>
      <w:pPr>
        <w:pStyle w:val="BodyText"/>
      </w:pPr>
      <w:r>
        <w:rPr>
          <w:sz w:val="20"/>
        </w:rPr>
        <w:t xml:space="preserve">Ethics, funding, and author statements: to be completed by the authors.</w:t>
      </w:r>
    </w:p>
    <w:bookmarkEnd w:id="67"/>
    <w:bookmarkStart w:id="68" w:name="references"/>
    <w:p>
      <w:pPr>
        <w:pStyle w:val="Heading2"/>
      </w:pPr>
      <w:r>
        <w:rPr>
          <w:sz w:val="20"/>
        </w:rPr>
        <w:t xml:space="preserve">References</w:t>
      </w:r>
    </w:p>
    <w:p>
      <w:pPr>
        <w:pStyle w:val="Compact"/>
        <w:numPr>
          <w:ilvl w:val="0"/>
          <w:numId w:val="1001"/>
        </w:numPr>
      </w:pPr>
      <w:r>
        <w:rPr>
          <w:sz w:val="20"/>
        </w:rPr>
        <w:t xml:space="preserve">McAlister FA, Youngson E, Kaul P. Patients with heart failure readmitted to the original hospital have better outcomes than those readmitted elsewhere.</w:t>
      </w:r>
      <w:r>
        <w:rPr>
          <w:sz w:val="20"/>
        </w:rPr>
        <w:t xml:space="preserve"> </w:t>
      </w:r>
      <w:r>
        <w:rPr>
          <w:i/>
          <w:iCs/>
          <w:sz w:val="20"/>
        </w:rPr>
        <w:t xml:space="preserve">J Am Heart Assoc</w:t>
      </w:r>
      <w:r>
        <w:rPr>
          <w:sz w:val="20"/>
        </w:rPr>
        <w:t xml:space="preserve">. 2017;6(5):e004892. doi:10.1161/JAHA.116.004892.</w:t>
      </w:r>
    </w:p>
    <w:p>
      <w:pPr>
        <w:pStyle w:val="Compact"/>
        <w:numPr>
          <w:ilvl w:val="0"/>
          <w:numId w:val="1001"/>
        </w:numPr>
      </w:pPr>
      <w:r>
        <w:rPr>
          <w:sz w:val="20"/>
        </w:rPr>
        <w:t xml:space="preserve">Lahewala S, Arora S, Tripathi B, Panaich S, Kumar V, Patel N, et al. Heart failure: same-hospital vs. different-hospital readmission outcomes.</w:t>
      </w:r>
      <w:r>
        <w:rPr>
          <w:sz w:val="20"/>
        </w:rPr>
        <w:t xml:space="preserve"> </w:t>
      </w:r>
      <w:r>
        <w:rPr>
          <w:i/>
          <w:iCs/>
          <w:sz w:val="20"/>
        </w:rPr>
        <w:t xml:space="preserve">Int J Cardiol</w:t>
      </w:r>
      <w:r>
        <w:rPr>
          <w:sz w:val="20"/>
        </w:rPr>
        <w:t xml:space="preserve">. 2019;278:186–191. doi:10.1016/j.ijcard.2018.12.043.</w:t>
      </w:r>
    </w:p>
    <w:p>
      <w:pPr>
        <w:pStyle w:val="Compact"/>
        <w:numPr>
          <w:ilvl w:val="0"/>
          <w:numId w:val="1001"/>
        </w:numPr>
      </w:pPr>
      <w:r>
        <w:rPr>
          <w:sz w:val="20"/>
        </w:rPr>
        <w:t xml:space="preserve">Snow K, Galaviz K, Turbow S. Patient outcomes following interhospital care fragmentation: a systematic review.</w:t>
      </w:r>
      <w:r>
        <w:rPr>
          <w:sz w:val="20"/>
        </w:rPr>
        <w:t xml:space="preserve"> </w:t>
      </w:r>
      <w:r>
        <w:rPr>
          <w:i/>
          <w:iCs/>
          <w:sz w:val="20"/>
        </w:rPr>
        <w:t xml:space="preserve">J Gen Intern Med</w:t>
      </w:r>
      <w:r>
        <w:rPr>
          <w:sz w:val="20"/>
        </w:rPr>
        <w:t xml:space="preserve">. 2020;35(5):1550–1558. doi:10.1007/s11606-019-05366-z.</w:t>
      </w:r>
    </w:p>
    <w:p>
      <w:pPr>
        <w:pStyle w:val="Compact"/>
        <w:numPr>
          <w:ilvl w:val="0"/>
          <w:numId w:val="1001"/>
        </w:numPr>
      </w:pPr>
      <w:r>
        <w:rPr>
          <w:sz w:val="20"/>
        </w:rPr>
        <w:t xml:space="preserve">Thandra A, Balakrishna AM, Walters RW, Alugubelli N, Koripalli VS, Alla VM. Trends in and predictors of multiple readmissions following heart failure hospitalization: a nationwide analysis from the United States.</w:t>
      </w:r>
      <w:r>
        <w:rPr>
          <w:sz w:val="20"/>
        </w:rPr>
        <w:t xml:space="preserve"> </w:t>
      </w:r>
      <w:r>
        <w:rPr>
          <w:i/>
          <w:iCs/>
          <w:sz w:val="20"/>
        </w:rPr>
        <w:t xml:space="preserve">Am J Med Sci</w:t>
      </w:r>
      <w:r>
        <w:rPr>
          <w:sz w:val="20"/>
        </w:rPr>
        <w:t xml:space="preserve">. 2023;365(2):145–151. doi:10.1016/j.amjms.2022.09.006.</w:t>
      </w:r>
    </w:p>
    <w:p>
      <w:pPr>
        <w:pStyle w:val="Compact"/>
        <w:numPr>
          <w:ilvl w:val="0"/>
          <w:numId w:val="1001"/>
        </w:numPr>
      </w:pPr>
      <w:r>
        <w:rPr>
          <w:sz w:val="20"/>
        </w:rPr>
        <w:t xml:space="preserve">Turbow S, Walker T, Culler S, Ali MK. Care fragmentation and readmission mortality and length of stay before and during the COVID-19 pandemic: data from the National Readmissions Database, 2018–2020.</w:t>
      </w:r>
      <w:r>
        <w:rPr>
          <w:sz w:val="20"/>
        </w:rPr>
        <w:t xml:space="preserve"> </w:t>
      </w:r>
      <w:r>
        <w:rPr>
          <w:i/>
          <w:iCs/>
          <w:sz w:val="20"/>
        </w:rPr>
        <w:t xml:space="preserve">BMC Health Serv Res</w:t>
      </w:r>
      <w:r>
        <w:rPr>
          <w:sz w:val="20"/>
        </w:rPr>
        <w:t xml:space="preserve">. 2024;24:622. doi:10.1186/s12913-024-11073-1.</w:t>
      </w:r>
    </w:p>
    <w:bookmarkEnd w:id="68"/>
    <w:sectPr>
      <w:footnotePr>
        <w:numRestart w:val="eachSect"/>
      </w:footnotePr>
      <w:pgSz w:orient="landscape" w:w="15840" w:h="12240"/>
      <w:pgMar w:top="792" w:bottom="792" w:left="691" w:right="6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27" Type="http://schemas.openxmlformats.org/officeDocument/2006/relationships/image" Target="media/rId27.png"/><Relationship Id="rId43" Type="http://schemas.openxmlformats.org/officeDocument/2006/relationships/image" Target="media/rId43.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Different-Hospital First Readmission and Subsequent All-Cause Admission After Heart Failure Hospitalization</dc:title>
  <dc:creator/>
  <cp:keywords/>
  <dcterms:created xsi:type="dcterms:W3CDTF">2026-10-24T22:38:43Z</dcterms:created>
  <dcterms:modified xsi:type="dcterms:W3CDTF">2026-10-24T22:38:43Z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A retrospective cohort study using the 2016–2022 Nationwide Readmissions Database</vt:lpwstr>
  </property>
  <property fmtid="{D5CDD505-2E9C-101B-9397-08002B2CF9AE}" pid="9" name="toc-title">
    <vt:lpwstr>Table of contents</vt:lpwstr>
  </property>
</Properties>
</file>