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Sepsis with Comorbid Diabetes Mellitus</w:t>
      </w:r>
    </w:p>
    <w:p>
      <w:pPr>
        <w:pStyle w:val="Subtitle"/>
      </w:pPr>
      <w:r>
        <w:t xml:space="preserve">RCOP NRD Analysis Template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Aymen Ahmed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Zahid et al., 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sepsis and comorbid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sepsis, identified using ICD-10-CM codes for septicemia and systemic infection (isSepsis pattern, including A40</w:t>
      </w:r>
      <w:r>
        <w:rPr>
          <w:i/>
          <w:iCs/>
        </w:rPr>
        <w:t xml:space="preserve">, A41</w:t>
      </w:r>
      <w:r>
        <w:t xml:space="preserve">, R65.2*, etc.)</w:t>
      </w:r>
    </w:p>
    <w:p>
      <w:pPr>
        <w:numPr>
          <w:ilvl w:val="1"/>
          <w:numId w:val="1003"/>
        </w:numPr>
      </w:pPr>
      <w:r>
        <w:t xml:space="preserve">Evidence of comorbid diabetes mellitus (Type 1, Type 2, or other), derived from secondary diagnosis fields using ICD-10-CM patterns E08–E13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 and required a minimum one-day separation from the index discharge.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planned or injury-related returns unrelated to sepsis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Cost: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 (ZIPINC_QRTL)</w:t>
      </w:r>
    </w:p>
    <w:p>
      <w:pPr>
        <w:numPr>
          <w:ilvl w:val="2"/>
          <w:numId w:val="1013"/>
        </w:numPr>
      </w:pPr>
      <w:r>
        <w:t xml:space="preserve">Weekend admission (AWEEKEND)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Diabetes subtype (T1DM, T2DM, Other), derived from ICD-10 patterns</w:t>
      </w:r>
    </w:p>
    <w:p>
      <w:pPr>
        <w:numPr>
          <w:ilvl w:val="2"/>
          <w:numId w:val="1014"/>
        </w:numPr>
      </w:pPr>
      <w:r>
        <w:t xml:space="preserve">Comorbidities based on Elixhauser Comorbidity Index, using binary indicators: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Renal failure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Hypertension (composite of 2 Elixhauser variables)</w:t>
      </w:r>
    </w:p>
    <w:p>
      <w:pPr>
        <w:numPr>
          <w:ilvl w:val="2"/>
          <w:numId w:val="1014"/>
        </w:numPr>
      </w:pPr>
      <w:r>
        <w:t xml:space="preserve">Coagulopathy</w:t>
      </w:r>
    </w:p>
    <w:p>
      <w:pPr>
        <w:numPr>
          <w:ilvl w:val="2"/>
          <w:numId w:val="1014"/>
        </w:numPr>
      </w:pPr>
      <w:r>
        <w:t xml:space="preserve">Cancer (Lymphoma, Metastatic, Solid Tumor without metastasis)</w:t>
      </w:r>
    </w:p>
    <w:p>
      <w:pPr>
        <w:numPr>
          <w:ilvl w:val="2"/>
          <w:numId w:val="1014"/>
        </w:numPr>
      </w:pPr>
      <w:r>
        <w:t xml:space="preserve">Acute complications identified via ICD-10 code matching:</w:t>
      </w:r>
    </w:p>
    <w:p>
      <w:pPr>
        <w:numPr>
          <w:ilvl w:val="2"/>
          <w:numId w:val="1014"/>
        </w:numPr>
      </w:pPr>
      <w:r>
        <w:t xml:space="preserve">Acute Kidney Injury (AKI)</w:t>
      </w:r>
    </w:p>
    <w:p>
      <w:pPr>
        <w:numPr>
          <w:ilvl w:val="2"/>
          <w:numId w:val="1014"/>
        </w:numPr>
      </w:pPr>
      <w:r>
        <w:t xml:space="preserve">Acute Respiratory Failure (ARF)</w:t>
      </w:r>
    </w:p>
    <w:p>
      <w:pPr>
        <w:numPr>
          <w:ilvl w:val="2"/>
          <w:numId w:val="1014"/>
        </w:numPr>
      </w:pPr>
      <w:r>
        <w:t xml:space="preserve">Mechanical ventilation</w:t>
      </w:r>
    </w:p>
    <w:p>
      <w:pPr>
        <w:numPr>
          <w:ilvl w:val="2"/>
          <w:numId w:val="1014"/>
        </w:numPr>
      </w:pPr>
      <w:r>
        <w:t xml:space="preserve">Vasopressor use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using discharge weights (DISCWT), strata (NRD_STRATUM), and clustering (HOSP_NRD)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Reference levels were explicitly set (e.g., Male, T1DM, LOS ≤4 days).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1,081,458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164,892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1,246,351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123,149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142,315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294,528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47,121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341,649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419,339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65,035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484,374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244,443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278,013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553,444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83,582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637,026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528,014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81,311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609,325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156,456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18,548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175,003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123,758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22,341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146,099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749,885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118,019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867,904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50,132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55,984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342,808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55,577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398,385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291,329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335,633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253,421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36,853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290,274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178,982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26,073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205,055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793,233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121,590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914,823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43,303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331,528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186,850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214,000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576,295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88,744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665,039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318,314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48,998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367,312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297,117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46,428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343,544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679,374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103,764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783,138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104,968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14,701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119,669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36,185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7,537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1,022,755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154,304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1,177,059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22,518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25,570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333,999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61,607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395,607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321,477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56,024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377,502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394,117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69,910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464,026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93,286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15,005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272,387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38,997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311,385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138,666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159,586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14,247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2,662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16,909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38,016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6,321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44,337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Tumor (No Metastasis)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66,128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11,612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77,740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859,227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132,802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992,030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481,447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75,050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556,497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331,168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379,876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Vasopressor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27,971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3,451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31,422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144,939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18,241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163,180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457,078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50,751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507,829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624,381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114,142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738,522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462,985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71,750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534,735 (43%)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6" w:name="descriptive-statistics"/>
    <w:p>
      <w:pPr>
        <w:pStyle w:val="Heading2"/>
      </w:pPr>
      <w:r>
        <w:t xml:space="preserve">Descriptive Statistics:</w:t>
      </w:r>
    </w:p>
    <w:bookmarkStart w:id="23" w:name="readmission-rate"/>
    <w:p>
      <w:pPr>
        <w:pStyle w:val="Heading3"/>
      </w:pPr>
      <w:r>
        <w:t xml:space="preserve">Readmission Rate:</w:t>
      </w:r>
    </w:p>
    <w:p>
      <w:pPr>
        <w:pStyle w:val="SourceCode"/>
      </w:pPr>
      <w:r>
        <w:rPr>
          <w:rStyle w:val="VerbatimChar"/>
        </w:rPr>
        <w:t xml:space="preserve"># A tibble: 1 × 6</w:t>
      </w:r>
      <w:r>
        <w:br/>
      </w:r>
      <w:r>
        <w:rPr>
          <w:rStyle w:val="VerbatimChar"/>
        </w:rPr>
        <w:t xml:space="preserve">  unweighted_n weighted_N weighted_N_se readmit_rate readmit_rate_low</w:t>
      </w:r>
      <w:r>
        <w:br/>
      </w:r>
      <w:r>
        <w:rPr>
          <w:rStyle w:val="VerbatimChar"/>
        </w:rPr>
        <w:t xml:space="preserve">         &lt;int&gt;      &lt;dbl&gt;         &lt;dbl&gt;        &lt;dbl&gt;            &lt;dbl&gt;</w:t>
      </w:r>
      <w:r>
        <w:br/>
      </w:r>
      <w:r>
        <w:rPr>
          <w:rStyle w:val="VerbatimChar"/>
        </w:rPr>
        <w:t xml:space="preserve">1       690569   1246351.        16253.        0.132            0.131</w:t>
      </w:r>
      <w:r>
        <w:br/>
      </w:r>
      <w:r>
        <w:rPr>
          <w:rStyle w:val="VerbatimChar"/>
        </w:rPr>
        <w:t xml:space="preserve"># ℹ 1 more variable: readmit_rate_upp &lt;dbl&gt;</w:t>
      </w:r>
    </w:p>
    <w:bookmarkEnd w:id="23"/>
    <w:bookmarkStart w:id="24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 deaths deaths_se   rate rate_low rate_upp</w:t>
      </w:r>
      <w:r>
        <w:br/>
      </w:r>
      <w:r>
        <w:rPr>
          <w:rStyle w:val="VerbatimChar"/>
        </w:rPr>
        <w:t xml:space="preserve">    &lt;dbl&gt;     &lt;dbl&gt;  &lt;dbl&gt;    &lt;dbl&gt;    &lt;dbl&gt;</w:t>
      </w:r>
      <w:r>
        <w:br/>
      </w:r>
      <w:r>
        <w:rPr>
          <w:rStyle w:val="VerbatimChar"/>
        </w:rPr>
        <w:t xml:space="preserve">1 118760.     1700. 0.0953   0.0936   0.0970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deaths deaths_se   rate rate_low rate_upp</w:t>
      </w:r>
      <w:r>
        <w:br/>
      </w:r>
      <w:r>
        <w:rPr>
          <w:rStyle w:val="VerbatimChar"/>
        </w:rPr>
        <w:t xml:space="preserve">   &lt;dbl&gt;     &lt;dbl&gt;  &lt;dbl&gt;    &lt;dbl&gt;    &lt;dbl&gt;</w:t>
      </w:r>
      <w:r>
        <w:br/>
      </w:r>
      <w:r>
        <w:rPr>
          <w:rStyle w:val="VerbatimChar"/>
        </w:rPr>
        <w:t xml:space="preserve">1 11560.      233. 0.0702   0.0681   0.0722</w:t>
      </w:r>
    </w:p>
    <w:bookmarkEnd w:id="24"/>
    <w:bookmarkStart w:id="25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SourceCode"/>
      </w:pPr>
      <w:r>
        <w:rPr>
          <w:rStyle w:val="VerbatimChar"/>
        </w:rPr>
        <w:t xml:space="preserve"># A tibble: 1 × 6</w:t>
      </w:r>
      <w:r>
        <w:br/>
      </w:r>
      <w:r>
        <w:rPr>
          <w:rStyle w:val="VerbatimChar"/>
        </w:rPr>
        <w:t xml:space="preserve">  mean_LOS mean_LOS_low mean_LOS_upp mean_cost mean_cost_low mean_cost_upp</w:t>
      </w:r>
      <w:r>
        <w:br/>
      </w:r>
      <w:r>
        <w:rPr>
          <w:rStyle w:val="VerbatimChar"/>
        </w:rPr>
        <w:t xml:space="preserve">     &lt;dbl&gt;        &lt;dbl&gt;        &lt;dbl&gt;     &lt;dbl&gt;         &lt;dbl&gt;         &lt;dbl&gt;</w:t>
      </w:r>
      <w:r>
        <w:br/>
      </w:r>
      <w:r>
        <w:rPr>
          <w:rStyle w:val="VerbatimChar"/>
        </w:rPr>
        <w:t xml:space="preserve">1     7.74         7.66         7.81    81787.        79815.        83759.</w:t>
      </w:r>
    </w:p>
    <w:p>
      <w:pPr>
        <w:pStyle w:val="SourceCode"/>
      </w:pPr>
      <w:r>
        <w:rPr>
          <w:rStyle w:val="VerbatimChar"/>
        </w:rPr>
        <w:t xml:space="preserve"># A tibble: 1 × 6</w:t>
      </w:r>
      <w:r>
        <w:br/>
      </w:r>
      <w:r>
        <w:rPr>
          <w:rStyle w:val="VerbatimChar"/>
        </w:rPr>
        <w:t xml:space="preserve">  mean_LOS mean_LOS_low mean_LOS_upp mean_cost mean_cost_low mean_cost_upp</w:t>
      </w:r>
      <w:r>
        <w:br/>
      </w:r>
      <w:r>
        <w:rPr>
          <w:rStyle w:val="VerbatimChar"/>
        </w:rPr>
        <w:t xml:space="preserve">     &lt;dbl&gt;        &lt;dbl&gt;        &lt;dbl&gt;     &lt;dbl&gt;         &lt;dbl&gt;         &lt;dbl&gt;</w:t>
      </w:r>
      <w:r>
        <w:br/>
      </w:r>
      <w:r>
        <w:rPr>
          <w:rStyle w:val="VerbatimChar"/>
        </w:rPr>
        <w:t xml:space="preserve">1     6.72         6.64         6.79    75662.        71786.        79537.</w:t>
      </w:r>
    </w:p>
    <w:bookmarkEnd w:id="25"/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Tumor (No Metastasis)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Vasopressor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≤4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JAHA.121.0248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JAHA.121.0248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Sepsis with Comorbid Diabetes Mellitus</dc:title>
  <dc:creator>Muhammad Saad; Aymen Ahmed</dc:creator>
  <cp:keywords/>
  <dcterms:created xsi:type="dcterms:W3CDTF">2025-07-10T16:59:02Z</dcterms:created>
  <dcterms:modified xsi:type="dcterms:W3CDTF">2025-07-10T16:59:02Z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Analysis Template</vt:lpwstr>
  </property>
  <property fmtid="{D5CDD505-2E9C-101B-9397-08002B2CF9AE}" pid="12" name="toc-title">
    <vt:lpwstr>Table of contents</vt:lpwstr>
  </property>
</Properties>
</file>