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30-Day</w:t>
      </w:r>
      <w:r>
        <w:t xml:space="preserve"> </w:t>
      </w:r>
      <w:r>
        <w:t xml:space="preserve">Readmission</w:t>
      </w:r>
      <w:r>
        <w:t xml:space="preserve"> </w:t>
      </w:r>
      <w:r>
        <w:t xml:space="preserve">in</w:t>
      </w:r>
      <w:r>
        <w:t xml:space="preserve"> </w:t>
      </w:r>
      <w:r>
        <w:t xml:space="preserve">Patients</w:t>
      </w:r>
      <w:r>
        <w:t xml:space="preserve"> </w:t>
      </w:r>
      <w:r>
        <w:t xml:space="preserve">Hospitalized</w:t>
      </w:r>
      <w:r>
        <w:t xml:space="preserve"> </w:t>
      </w:r>
      <w:r>
        <w:t xml:space="preserve">for</w:t>
      </w:r>
      <w:r>
        <w:t xml:space="preserve"> </w:t>
      </w:r>
      <w:r>
        <w:t xml:space="preserve">Sepsis</w:t>
      </w:r>
      <w:r>
        <w:t xml:space="preserve"> </w:t>
      </w:r>
      <w:r>
        <w:t xml:space="preserve">with</w:t>
      </w:r>
      <w:r>
        <w:t xml:space="preserve"> </w:t>
      </w:r>
      <w:r>
        <w:t xml:space="preserve">Comorbid</w:t>
      </w:r>
      <w:r>
        <w:t xml:space="preserve"> </w:t>
      </w:r>
      <w:r>
        <w:t xml:space="preserve">Diabetes</w:t>
      </w:r>
      <w:r>
        <w:t xml:space="preserve"> </w:t>
      </w:r>
      <w:r>
        <w:t xml:space="preserve">Mellitus</w:t>
      </w:r>
    </w:p>
    <w:p>
      <w:pPr>
        <w:pStyle w:val="Subtitle"/>
      </w:pPr>
      <w:r>
        <w:t xml:space="preserve">RCOP</w:t>
      </w:r>
      <w:r>
        <w:t xml:space="preserve"> </w:t>
      </w:r>
      <w:r>
        <w:t xml:space="preserve">NRD</w:t>
      </w:r>
      <w:r>
        <w:t xml:space="preserve"> </w:t>
      </w:r>
      <w:r>
        <w:t xml:space="preserve">A17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p>
      <w:pPr>
        <w:pStyle w:val="Author"/>
      </w:pPr>
      <w:r>
        <w:t xml:space="preserve">Aymen</w:t>
      </w:r>
      <w:r>
        <w:t xml:space="preserve"> </w:t>
      </w:r>
      <w:r>
        <w:t xml:space="preserve">Ahmed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Zahid et al., 2022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sepsis and comorbid diabetes mellitus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sepsis, identified using ICD-10-CM codes for septicemia and systemic infection (isSepsis pattern, including A40</w:t>
      </w:r>
      <w:r>
        <w:rPr>
          <w:i/>
          <w:iCs/>
        </w:rPr>
        <w:t xml:space="preserve">, A41</w:t>
      </w:r>
      <w:r>
        <w:t xml:space="preserve">, R65.2*, etc.)</w:t>
      </w:r>
    </w:p>
    <w:p>
      <w:pPr>
        <w:numPr>
          <w:ilvl w:val="1"/>
          <w:numId w:val="1003"/>
        </w:numPr>
      </w:pPr>
      <w:r>
        <w:t xml:space="preserve">Evidence of comorbid diabetes mellitus (Type 1, Type 2, or other), derived from secondary diagnosis fields using ICD-10-CM patterns E08–E13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planned or injury-related returns unrelated to sepsis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 (ZIPINC_QRTL)</w:t>
      </w:r>
    </w:p>
    <w:p>
      <w:pPr>
        <w:numPr>
          <w:ilvl w:val="2"/>
          <w:numId w:val="1013"/>
        </w:numPr>
      </w:pPr>
      <w:r>
        <w:t xml:space="preserve">Weekend admission (AWEEKEND)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Diabetes subtype (T1DM, T2DM, Other), derived from ICD-10 patterns</w:t>
      </w:r>
    </w:p>
    <w:p>
      <w:pPr>
        <w:numPr>
          <w:ilvl w:val="2"/>
          <w:numId w:val="1014"/>
        </w:numPr>
      </w:pPr>
      <w:r>
        <w:t xml:space="preserve">Comorbidities based on Elixhauser Comorbidity Index, using binary indicators:</w:t>
      </w:r>
    </w:p>
    <w:p>
      <w:pPr>
        <w:numPr>
          <w:ilvl w:val="2"/>
          <w:numId w:val="1014"/>
        </w:numPr>
      </w:pPr>
      <w:r>
        <w:t xml:space="preserve">Congestive heart failure</w:t>
      </w:r>
    </w:p>
    <w:p>
      <w:pPr>
        <w:numPr>
          <w:ilvl w:val="2"/>
          <w:numId w:val="1014"/>
        </w:numPr>
      </w:pPr>
      <w:r>
        <w:t xml:space="preserve">Chronic pulmonary disease</w:t>
      </w:r>
    </w:p>
    <w:p>
      <w:pPr>
        <w:numPr>
          <w:ilvl w:val="2"/>
          <w:numId w:val="1014"/>
        </w:numPr>
      </w:pPr>
      <w:r>
        <w:t xml:space="preserve">Renal failure</w:t>
      </w:r>
    </w:p>
    <w:p>
      <w:pPr>
        <w:numPr>
          <w:ilvl w:val="2"/>
          <w:numId w:val="1014"/>
        </w:numPr>
      </w:pPr>
      <w:r>
        <w:t xml:space="preserve">Liver disease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Hypertension</w:t>
      </w:r>
    </w:p>
    <w:p>
      <w:pPr>
        <w:numPr>
          <w:ilvl w:val="2"/>
          <w:numId w:val="1014"/>
        </w:numPr>
      </w:pPr>
      <w:r>
        <w:t xml:space="preserve">Coagulopathy</w:t>
      </w:r>
    </w:p>
    <w:p>
      <w:pPr>
        <w:numPr>
          <w:ilvl w:val="2"/>
          <w:numId w:val="1014"/>
        </w:numPr>
      </w:pPr>
      <w:r>
        <w:t xml:space="preserve">Cancer (Lymphoma, Metastatic, Solid Tumor without metastasis)</w:t>
      </w:r>
    </w:p>
    <w:p>
      <w:pPr>
        <w:numPr>
          <w:ilvl w:val="2"/>
          <w:numId w:val="1014"/>
        </w:numPr>
      </w:pPr>
      <w:r>
        <w:t xml:space="preserve">Acute complications identified via ICD-10 code matching:</w:t>
      </w:r>
    </w:p>
    <w:p>
      <w:pPr>
        <w:numPr>
          <w:ilvl w:val="2"/>
          <w:numId w:val="1014"/>
        </w:numPr>
      </w:pPr>
      <w:r>
        <w:t xml:space="preserve">Acute Kidney Injury (AKI)</w:t>
      </w:r>
    </w:p>
    <w:p>
      <w:pPr>
        <w:numPr>
          <w:ilvl w:val="2"/>
          <w:numId w:val="1014"/>
        </w:numPr>
      </w:pPr>
      <w:r>
        <w:t xml:space="preserve">Acute Respiratory Failure (ARF)</w:t>
      </w:r>
    </w:p>
    <w:p>
      <w:pPr>
        <w:numPr>
          <w:ilvl w:val="2"/>
          <w:numId w:val="1014"/>
        </w:numPr>
      </w:pPr>
      <w:r>
        <w:t xml:space="preserve">Mechanical ventilation</w:t>
      </w:r>
    </w:p>
    <w:p>
      <w:pPr>
        <w:numPr>
          <w:ilvl w:val="2"/>
          <w:numId w:val="1014"/>
        </w:numPr>
      </w:pPr>
      <w:r>
        <w:t xml:space="preserve">Vasopressor use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using discharge weights (DISCWT), strata (NRD_STRATUM), and clustering (HOSP_NRD)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Reference levels were explicitly set (e.g., Male, T1DM, LOS ≤4 days).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Readmission (n): 164892</w:t>
      </w:r>
    </w:p>
    <w:p>
      <w:pPr>
        <w:numPr>
          <w:ilvl w:val="0"/>
          <w:numId w:val="1022"/>
        </w:numPr>
      </w:pPr>
      <w:r>
        <w:t xml:space="preserve">Readmission Rate (%): 13.23%</w:t>
      </w:r>
    </w:p>
    <w:p>
      <w:pPr>
        <w:numPr>
          <w:ilvl w:val="0"/>
          <w:numId w:val="1022"/>
        </w:numPr>
      </w:pPr>
      <w:r>
        <w:t xml:space="preserve">Readmission Rate (95% CI): 13.09% to 13.37%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3"/>
        </w:numPr>
      </w:pPr>
      <w:r>
        <w:t xml:space="preserve">Deaths (n): 118759</w:t>
      </w:r>
    </w:p>
    <w:p>
      <w:pPr>
        <w:numPr>
          <w:ilvl w:val="0"/>
          <w:numId w:val="1023"/>
        </w:numPr>
      </w:pPr>
      <w:r>
        <w:t xml:space="preserve">Death Rate (%): 9.53%</w:t>
      </w:r>
    </w:p>
    <w:p>
      <w:pPr>
        <w:numPr>
          <w:ilvl w:val="0"/>
          <w:numId w:val="1023"/>
        </w:numPr>
      </w:pPr>
      <w:r>
        <w:t xml:space="preserve">Death Rate (95% CI): 9.36% to 9.7%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4"/>
        </w:numPr>
      </w:pPr>
      <w:r>
        <w:t xml:space="preserve">Deaths (n): 11560</w:t>
      </w:r>
    </w:p>
    <w:p>
      <w:pPr>
        <w:numPr>
          <w:ilvl w:val="0"/>
          <w:numId w:val="1024"/>
        </w:numPr>
      </w:pPr>
      <w:r>
        <w:t xml:space="preserve">Death Rate (%): 7.02%</w:t>
      </w:r>
    </w:p>
    <w:p>
      <w:pPr>
        <w:numPr>
          <w:ilvl w:val="0"/>
          <w:numId w:val="1024"/>
        </w:numPr>
      </w:pPr>
      <w:r>
        <w:t xml:space="preserve">Death Rate (95% CI): 6.81% to 7.22%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Mean Length of Stay (days): 7.74</w:t>
      </w:r>
    </w:p>
    <w:p>
      <w:pPr>
        <w:numPr>
          <w:ilvl w:val="0"/>
          <w:numId w:val="1025"/>
        </w:numPr>
      </w:pPr>
      <w:r>
        <w:t xml:space="preserve">Mean Length of Stay (95% CI): 7.66 to 7.81</w:t>
      </w:r>
    </w:p>
    <w:p>
      <w:pPr>
        <w:numPr>
          <w:ilvl w:val="0"/>
          <w:numId w:val="1025"/>
        </w:numPr>
      </w:pPr>
      <w:r>
        <w:t xml:space="preserve">Mean Charge ($): 81787</w:t>
      </w:r>
    </w:p>
    <w:p>
      <w:pPr>
        <w:numPr>
          <w:ilvl w:val="0"/>
          <w:numId w:val="1025"/>
        </w:numPr>
      </w:pPr>
      <w:r>
        <w:t xml:space="preserve">Mean Charge (95% CI): 79814 to 83759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Mean Length of Stay (days): 6.72</w:t>
      </w:r>
    </w:p>
    <w:p>
      <w:pPr>
        <w:numPr>
          <w:ilvl w:val="0"/>
          <w:numId w:val="1026"/>
        </w:numPr>
      </w:pPr>
      <w:r>
        <w:t xml:space="preserve">Mean Length of Stay (95% CI): 6.64 to 6.79</w:t>
      </w:r>
    </w:p>
    <w:p>
      <w:pPr>
        <w:numPr>
          <w:ilvl w:val="0"/>
          <w:numId w:val="1026"/>
        </w:numPr>
      </w:pPr>
      <w:r>
        <w:t xml:space="preserve">Mean Charge ($): 65800</w:t>
      </w:r>
    </w:p>
    <w:p>
      <w:pPr>
        <w:numPr>
          <w:ilvl w:val="0"/>
          <w:numId w:val="1026"/>
        </w:numPr>
      </w:pPr>
      <w:r>
        <w:t xml:space="preserve">Mean Charge (95% CI): 64161 to 67439</w:t>
      </w:r>
    </w:p>
    <w:bookmarkEnd w:id="24"/>
    <w:bookmarkEnd w:id="25"/>
    <w:bookmarkStart w:id="26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1,081,458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164,892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1,246,351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123,149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142,315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294,528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47,121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341,649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419,339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65,035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484,374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244,443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33,570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278,013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553,444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83,582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637,026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528,014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81,311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609,325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156,456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18,548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175,003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123,758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22,341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146,099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749,885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118,019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867,904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50,132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5,853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55,984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342,808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55,577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398,385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291,329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335,633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253,421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36,853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290,274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178,982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26,073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205,055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793,233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121,590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914,823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288,225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43,303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331,528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186,850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27,150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214,000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576,295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88,744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665,039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318,314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48,998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367,312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297,117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46,428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343,544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679,374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103,764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783,138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104,968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14,701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119,669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36,185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7,537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43,722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1,022,755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154,304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1,177,059 (94%)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22,518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25,570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333,999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61,607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395,607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321,477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56,024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377,502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394,117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69,910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464,026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93,286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15,005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108,291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272,387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38,997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311,385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138,666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159,586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14,247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2,662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16,909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38,016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6,321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44,337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 Tumor (No Metastasis)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66,128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11,612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77,740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859,227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132,802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992,030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481,447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75,050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556,497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331,168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48,708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379,876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Vasopressor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27,971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3,451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31,422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Mechanical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144,939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18,241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163,180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457,078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50,751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507,829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624,381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114,142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738,522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462,985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71,750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534,735 (43%)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 Tumor (No Metastasis)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Vasopressor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Mechanical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JAHA.121.0248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JAHA.121.0248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and Outcomes of 30-Day Readmission in Patients Hospitalized for Sepsis with Comorbid Diabetes Mellitus</dc:title>
  <dc:creator>Muhammad Saad; Aymen Ahmed</dc:creator>
  <cp:keywords/>
  <dcterms:created xsi:type="dcterms:W3CDTF">2025-07-12T22:02:21Z</dcterms:created>
  <dcterms:modified xsi:type="dcterms:W3CDTF">2025-07-12T22:02:21Z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A17</vt:lpwstr>
  </property>
  <property fmtid="{D5CDD505-2E9C-101B-9397-08002B2CF9AE}" pid="12" name="toc-title">
    <vt:lpwstr>Table of contents</vt:lpwstr>
  </property>
</Properties>
</file>