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90-Day</w:t>
      </w:r>
      <w:r>
        <w:t xml:space="preserve"> </w:t>
      </w:r>
      <w:r>
        <w:t xml:space="preserve">Readmissions</w:t>
      </w:r>
      <w:r>
        <w:t xml:space="preserve"> </w:t>
      </w:r>
      <w:r>
        <w:t xml:space="preserve">and</w:t>
      </w:r>
      <w:r>
        <w:t xml:space="preserve"> </w:t>
      </w:r>
      <w:r>
        <w:t xml:space="preserve">Mortality</w:t>
      </w:r>
      <w:r>
        <w:t xml:space="preserve"> </w:t>
      </w:r>
      <w:r>
        <w:t xml:space="preserve">Following</w:t>
      </w:r>
      <w:r>
        <w:t xml:space="preserve"> </w:t>
      </w:r>
      <w:r>
        <w:t xml:space="preserve">Esophagectomy:</w:t>
      </w:r>
      <w:r>
        <w:t xml:space="preserve"> </w:t>
      </w:r>
      <w:r>
        <w:t xml:space="preserve">Causes,</w:t>
      </w:r>
      <w:r>
        <w:t xml:space="preserve"> </w:t>
      </w:r>
      <w:r>
        <w:t xml:space="preserve">Costs,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A24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Shurjeel</w:t>
      </w:r>
      <w:r>
        <w:t xml:space="preserve"> </w:t>
      </w:r>
      <w:r>
        <w:t xml:space="preserve">Uddin</w:t>
      </w:r>
      <w:r>
        <w:t xml:space="preserve"> </w:t>
      </w:r>
      <w:r>
        <w:t xml:space="preserve">Qazi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Goel et al., 2020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analyze 90-day readmissions following esophagectomy in a nationally representative cohort using the Nationwide Readmissions Database (NRD). Specific objectives include:</w:t>
      </w:r>
    </w:p>
    <w:p>
      <w:pPr>
        <w:numPr>
          <w:ilvl w:val="1"/>
          <w:numId w:val="1003"/>
        </w:numPr>
      </w:pPr>
      <w:r>
        <w:t xml:space="preserve">Estimating the national 90-day readmission rate after esophagectomy</w:t>
      </w:r>
    </w:p>
    <w:p>
      <w:pPr>
        <w:numPr>
          <w:ilvl w:val="1"/>
          <w:numId w:val="1003"/>
        </w:numPr>
      </w:pPr>
      <w:r>
        <w:t xml:space="preserve">Identifying causes of readmission and associated healthcare utilization</w:t>
      </w:r>
    </w:p>
    <w:p>
      <w:pPr>
        <w:numPr>
          <w:ilvl w:val="1"/>
          <w:numId w:val="1003"/>
        </w:numPr>
      </w:pPr>
      <w:r>
        <w:t xml:space="preserve">Comparing index and readmission mortality and hospital charges</w:t>
      </w:r>
    </w:p>
    <w:p>
      <w:pPr>
        <w:numPr>
          <w:ilvl w:val="1"/>
          <w:numId w:val="1003"/>
        </w:numPr>
      </w:pPr>
      <w:r>
        <w:t xml:space="preserve">Determining patient- and hospital-level predictors of readmission using survey-adjusted survival modeling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Esophagectomy procedures identified via ICD-10-PCS codes:</w:t>
      </w:r>
    </w:p>
    <w:p>
      <w:pPr>
        <w:pStyle w:val="Compact"/>
        <w:numPr>
          <w:ilvl w:val="2"/>
          <w:numId w:val="1005"/>
        </w:numPr>
      </w:pPr>
      <w:r>
        <w:t xml:space="preserve">Example: 0DB10ZZ, 0DB14ZZ, 0DT10ZZ, etc.</w:t>
      </w:r>
    </w:p>
    <w:p>
      <w:pPr>
        <w:numPr>
          <w:ilvl w:val="1"/>
          <w:numId w:val="1004"/>
        </w:numPr>
      </w:pPr>
      <w:r>
        <w:t xml:space="preserve">Index discharge by the end of September to allow for a complete 90-day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90-day readmission (Yes/No), flagged using NRD linkage variables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Non-home discharge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2"/>
          <w:numId w:val="1009"/>
        </w:numPr>
      </w:pPr>
      <w:r>
        <w:t xml:space="preserve">Top causes of readmission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Non-Home Discharge:</w:t>
      </w:r>
    </w:p>
    <w:p>
      <w:pPr>
        <w:numPr>
          <w:ilvl w:val="2"/>
          <w:numId w:val="1015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6"/>
        </w:numPr>
      </w:pPr>
      <w:r>
        <w:t xml:space="preserve">Transfer to another short-term hospital</w:t>
      </w:r>
    </w:p>
    <w:p>
      <w:pPr>
        <w:numPr>
          <w:ilvl w:val="3"/>
          <w:numId w:val="1016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6"/>
        </w:numPr>
      </w:pPr>
      <w:r>
        <w:t xml:space="preserve">Left against medical advice</w:t>
      </w:r>
    </w:p>
    <w:p>
      <w:pPr>
        <w:numPr>
          <w:ilvl w:val="3"/>
          <w:numId w:val="1016"/>
        </w:numPr>
      </w:pPr>
      <w:r>
        <w:t xml:space="preserve">Died in hospital</w:t>
      </w:r>
    </w:p>
    <w:p>
      <w:pPr>
        <w:numPr>
          <w:ilvl w:val="3"/>
          <w:numId w:val="1016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7"/>
        </w:numPr>
      </w:pPr>
      <w:r>
        <w:t xml:space="preserve">Demographic &amp; Socioeconomic Factors:</w:t>
      </w:r>
    </w:p>
    <w:p>
      <w:pPr>
        <w:numPr>
          <w:ilvl w:val="2"/>
          <w:numId w:val="1018"/>
        </w:numPr>
      </w:pPr>
      <w:r>
        <w:t xml:space="preserve">Age (continuous)</w:t>
      </w:r>
    </w:p>
    <w:p>
      <w:pPr>
        <w:numPr>
          <w:ilvl w:val="2"/>
          <w:numId w:val="1018"/>
        </w:numPr>
      </w:pPr>
      <w:r>
        <w:t xml:space="preserve">Sex (FEMALE; ref = Male)</w:t>
      </w:r>
    </w:p>
    <w:p>
      <w:pPr>
        <w:numPr>
          <w:ilvl w:val="2"/>
          <w:numId w:val="1018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8"/>
        </w:numPr>
      </w:pPr>
      <w:r>
        <w:t xml:space="preserve">Income quartile based on ZIP code (ZIPINC_QRTL)</w:t>
      </w:r>
    </w:p>
    <w:p>
      <w:pPr>
        <w:numPr>
          <w:ilvl w:val="2"/>
          <w:numId w:val="1018"/>
        </w:numPr>
      </w:pPr>
      <w:r>
        <w:t xml:space="preserve">Weekend vs weekday admission (AWEEKEND)</w:t>
      </w:r>
    </w:p>
    <w:p>
      <w:pPr>
        <w:numPr>
          <w:ilvl w:val="2"/>
          <w:numId w:val="1018"/>
        </w:numPr>
      </w:pPr>
      <w:r>
        <w:t xml:space="preserve">Elective vs non-elective admission (ELECTIVE)</w:t>
      </w:r>
    </w:p>
    <w:p>
      <w:pPr>
        <w:numPr>
          <w:ilvl w:val="1"/>
          <w:numId w:val="1017"/>
        </w:numPr>
      </w:pPr>
      <w:r>
        <w:t xml:space="preserve">Clinical Variables:</w:t>
      </w:r>
    </w:p>
    <w:p>
      <w:pPr>
        <w:numPr>
          <w:ilvl w:val="2"/>
          <w:numId w:val="1019"/>
        </w:numPr>
      </w:pPr>
      <w:r>
        <w:t xml:space="preserve">Elixhauser Comorbidity Index (elixsum), modeled as a continuous variable</w:t>
      </w:r>
    </w:p>
    <w:p>
      <w:pPr>
        <w:numPr>
          <w:ilvl w:val="2"/>
          <w:numId w:val="1019"/>
        </w:numPr>
      </w:pPr>
      <w:r>
        <w:t xml:space="preserve">Specific comorbidities based on Elixhauser indicators:</w:t>
      </w:r>
    </w:p>
    <w:p>
      <w:pPr>
        <w:numPr>
          <w:ilvl w:val="3"/>
          <w:numId w:val="1020"/>
        </w:numPr>
      </w:pPr>
      <w:r>
        <w:t xml:space="preserve">Diabetes Mellitus</w:t>
      </w:r>
    </w:p>
    <w:p>
      <w:pPr>
        <w:numPr>
          <w:ilvl w:val="3"/>
          <w:numId w:val="1020"/>
        </w:numPr>
      </w:pPr>
      <w:r>
        <w:t xml:space="preserve">Renal Failure</w:t>
      </w:r>
    </w:p>
    <w:p>
      <w:pPr>
        <w:numPr>
          <w:ilvl w:val="3"/>
          <w:numId w:val="1020"/>
        </w:numPr>
      </w:pPr>
      <w:r>
        <w:t xml:space="preserve">Congestive Heart Failure</w:t>
      </w:r>
    </w:p>
    <w:p>
      <w:pPr>
        <w:numPr>
          <w:ilvl w:val="3"/>
          <w:numId w:val="1020"/>
        </w:numPr>
      </w:pPr>
      <w:r>
        <w:t xml:space="preserve">Chronic Pulmonary Disease</w:t>
      </w:r>
    </w:p>
    <w:p>
      <w:pPr>
        <w:numPr>
          <w:ilvl w:val="3"/>
          <w:numId w:val="1020"/>
        </w:numPr>
      </w:pPr>
      <w:r>
        <w:t xml:space="preserve">Liver Disease</w:t>
      </w:r>
    </w:p>
    <w:p>
      <w:pPr>
        <w:numPr>
          <w:ilvl w:val="3"/>
          <w:numId w:val="1020"/>
        </w:numPr>
      </w:pPr>
      <w:r>
        <w:t xml:space="preserve">Weight Loss</w:t>
      </w:r>
    </w:p>
    <w:p>
      <w:pPr>
        <w:numPr>
          <w:ilvl w:val="3"/>
          <w:numId w:val="1020"/>
        </w:numPr>
      </w:pPr>
      <w:r>
        <w:t xml:space="preserve">Hypertension</w:t>
      </w:r>
    </w:p>
    <w:p>
      <w:pPr>
        <w:numPr>
          <w:ilvl w:val="3"/>
          <w:numId w:val="1020"/>
        </w:numPr>
      </w:pPr>
      <w:r>
        <w:t xml:space="preserve">Depression</w:t>
      </w:r>
    </w:p>
    <w:p>
      <w:pPr>
        <w:numPr>
          <w:ilvl w:val="3"/>
          <w:numId w:val="1020"/>
        </w:numPr>
      </w:pPr>
      <w:r>
        <w:t xml:space="preserve">Obesity</w:t>
      </w:r>
    </w:p>
    <w:p>
      <w:pPr>
        <w:numPr>
          <w:ilvl w:val="3"/>
          <w:numId w:val="1020"/>
        </w:numPr>
      </w:pPr>
      <w:r>
        <w:t xml:space="preserve">Coagulopathy</w:t>
      </w:r>
    </w:p>
    <w:p>
      <w:pPr>
        <w:numPr>
          <w:ilvl w:val="3"/>
          <w:numId w:val="1020"/>
        </w:numPr>
      </w:pPr>
      <w:r>
        <w:t xml:space="preserve">Fluid/Electrolyte Disorders</w:t>
      </w:r>
    </w:p>
    <w:p>
      <w:pPr>
        <w:numPr>
          <w:ilvl w:val="3"/>
          <w:numId w:val="1020"/>
        </w:numPr>
      </w:pPr>
      <w:r>
        <w:t xml:space="preserve">Metastatic Cancer</w:t>
      </w:r>
    </w:p>
    <w:p>
      <w:pPr>
        <w:numPr>
          <w:ilvl w:val="2"/>
          <w:numId w:val="1019"/>
        </w:numPr>
      </w:pPr>
      <w:r>
        <w:t xml:space="preserve">In-Hospital/Postoperative complications:</w:t>
      </w:r>
    </w:p>
    <w:p>
      <w:pPr>
        <w:numPr>
          <w:ilvl w:val="3"/>
          <w:numId w:val="1021"/>
        </w:numPr>
      </w:pPr>
      <w:r>
        <w:t xml:space="preserve">Infection</w:t>
      </w:r>
    </w:p>
    <w:p>
      <w:pPr>
        <w:numPr>
          <w:ilvl w:val="3"/>
          <w:numId w:val="1021"/>
        </w:numPr>
      </w:pPr>
      <w:r>
        <w:t xml:space="preserve">Bleeding</w:t>
      </w:r>
    </w:p>
    <w:p>
      <w:pPr>
        <w:numPr>
          <w:ilvl w:val="3"/>
          <w:numId w:val="1021"/>
        </w:numPr>
      </w:pPr>
      <w:r>
        <w:t xml:space="preserve">Acute kidney injury</w:t>
      </w:r>
    </w:p>
    <w:p>
      <w:pPr>
        <w:numPr>
          <w:ilvl w:val="3"/>
          <w:numId w:val="1021"/>
        </w:numPr>
      </w:pPr>
      <w:r>
        <w:t xml:space="preserve">Venous thromboembolism</w:t>
      </w:r>
    </w:p>
    <w:p>
      <w:pPr>
        <w:numPr>
          <w:ilvl w:val="3"/>
          <w:numId w:val="1021"/>
        </w:numPr>
      </w:pPr>
      <w:r>
        <w:t xml:space="preserve">Sepsis</w:t>
      </w:r>
    </w:p>
    <w:p>
      <w:pPr>
        <w:numPr>
          <w:ilvl w:val="1"/>
          <w:numId w:val="1017"/>
        </w:numPr>
      </w:pPr>
      <w:r>
        <w:t xml:space="preserve">Hospital Characteristics:</w:t>
      </w:r>
    </w:p>
    <w:p>
      <w:pPr>
        <w:numPr>
          <w:ilvl w:val="2"/>
          <w:numId w:val="1022"/>
        </w:numPr>
      </w:pPr>
      <w:r>
        <w:t xml:space="preserve">Hospital bed size (Small, Medium, Large)</w:t>
      </w:r>
    </w:p>
    <w:p>
      <w:pPr>
        <w:numPr>
          <w:ilvl w:val="2"/>
          <w:numId w:val="102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7"/>
        </w:numPr>
      </w:pPr>
      <w:r>
        <w:t xml:space="preserve">Disposition and Severity:</w:t>
      </w:r>
    </w:p>
    <w:p>
      <w:pPr>
        <w:numPr>
          <w:ilvl w:val="2"/>
          <w:numId w:val="1023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3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5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4"/>
        </w:numPr>
      </w:pPr>
      <w:r>
        <w:t xml:space="preserve">Descriptive Analyses:</w:t>
      </w:r>
    </w:p>
    <w:p>
      <w:pPr>
        <w:numPr>
          <w:ilvl w:val="2"/>
          <w:numId w:val="1026"/>
        </w:numPr>
      </w:pPr>
      <w:r>
        <w:t xml:space="preserve">Baseline characteristics were summarized by 90-day readmission status (</w:t>
      </w:r>
      <w:r>
        <w:t xml:space="preserve">“</w:t>
      </w:r>
      <w:r>
        <w:t xml:space="preserve">With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Without readmission</w:t>
      </w:r>
      <w:r>
        <w:t xml:space="preserve">”</w:t>
      </w:r>
      <w:r>
        <w:t xml:space="preserve">).</w:t>
      </w:r>
    </w:p>
    <w:p>
      <w:pPr>
        <w:numPr>
          <w:ilvl w:val="2"/>
          <w:numId w:val="1026"/>
        </w:numPr>
      </w:pPr>
      <w:r>
        <w:t xml:space="preserve">Survey-weighted means and proportions were reported.</w:t>
      </w:r>
    </w:p>
    <w:p>
      <w:pPr>
        <w:numPr>
          <w:ilvl w:val="2"/>
          <w:numId w:val="1026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4"/>
        </w:numPr>
      </w:pPr>
      <w:r>
        <w:t xml:space="preserve">Multivariable Modeling:</w:t>
      </w:r>
    </w:p>
    <w:p>
      <w:pPr>
        <w:numPr>
          <w:ilvl w:val="2"/>
          <w:numId w:val="1027"/>
        </w:numPr>
      </w:pPr>
      <w:r>
        <w:t xml:space="preserve">A survey-weighted Cox proportional hazards model was used to identify predictors of 90-day readmission.</w:t>
      </w:r>
    </w:p>
    <w:p>
      <w:pPr>
        <w:numPr>
          <w:ilvl w:val="2"/>
          <w:numId w:val="1027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7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4"/>
        </w:numPr>
      </w:pPr>
      <w:r>
        <w:t xml:space="preserve">Readmission Characteristics:</w:t>
      </w:r>
    </w:p>
    <w:p>
      <w:pPr>
        <w:numPr>
          <w:ilvl w:val="1"/>
          <w:numId w:val="1000"/>
        </w:numPr>
      </w:pPr>
      <w:r>
        <w:t xml:space="preserve">Among readmitted patients, the following were summarized using survey-weighted statistics:</w:t>
      </w:r>
    </w:p>
    <w:p>
      <w:pPr>
        <w:numPr>
          <w:ilvl w:val="2"/>
          <w:numId w:val="1028"/>
        </w:numPr>
      </w:pPr>
      <w:r>
        <w:t xml:space="preserve">Time to readmission</w:t>
      </w:r>
    </w:p>
    <w:p>
      <w:pPr>
        <w:numPr>
          <w:ilvl w:val="2"/>
          <w:numId w:val="1028"/>
        </w:numPr>
      </w:pPr>
      <w:r>
        <w:t xml:space="preserve">In-hospital mortality during readmission</w:t>
      </w:r>
    </w:p>
    <w:p>
      <w:pPr>
        <w:numPr>
          <w:ilvl w:val="2"/>
          <w:numId w:val="1028"/>
        </w:numPr>
      </w:pPr>
      <w:r>
        <w:t xml:space="preserve">Length of stay and total charges during the readmission</w:t>
      </w:r>
    </w:p>
    <w:p>
      <w:pPr>
        <w:numPr>
          <w:ilvl w:val="2"/>
          <w:numId w:val="1028"/>
        </w:numPr>
      </w:pPr>
      <w:r>
        <w:t xml:space="preserve">Top principal diagnoses at readmission (I10_DX1)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3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7,262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9,034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7,506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Fluid/Electrolyte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8" w:name="unadjusted-outcomes"/>
    <w:p>
      <w:pPr>
        <w:pStyle w:val="Heading2"/>
      </w:pPr>
      <w:r>
        <w:t xml:space="preserve">Unadjusted Outcomes</w:t>
      </w:r>
    </w:p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132,055 (80,757, 222,908)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127,383 (77,394, 212,095)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158,142 (94,918, 278,034)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day-readmission-timing"/>
    <w:p>
      <w:pPr>
        <w:pStyle w:val="Heading3"/>
      </w:pPr>
      <w:r>
        <w:t xml:space="preserve">90-Day Readmission Timing</w:t>
      </w:r>
    </w:p>
    <w:p>
      <w:pPr>
        <w:pStyle w:val="FirstParagraph"/>
      </w:pPr>
      <w:r>
        <w:t xml:space="preserve">The median time to 90-day readmission following index hospitalization was 24 days (IQR: 10–51).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9"/>
        </w:numPr>
      </w:pPr>
      <w:r>
        <w:t xml:space="preserve">Deaths (n): 312</w:t>
      </w:r>
    </w:p>
    <w:p>
      <w:pPr>
        <w:numPr>
          <w:ilvl w:val="0"/>
          <w:numId w:val="1029"/>
        </w:numPr>
      </w:pPr>
      <w:r>
        <w:t xml:space="preserve">Death Rate (%): 3.12%</w:t>
      </w:r>
    </w:p>
    <w:p>
      <w:pPr>
        <w:numPr>
          <w:ilvl w:val="0"/>
          <w:numId w:val="1029"/>
        </w:numPr>
      </w:pPr>
      <w:r>
        <w:t xml:space="preserve">Death Rate (95% CI): 2.59% to 3.64%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Deaths (n): 68</w:t>
      </w:r>
    </w:p>
    <w:p>
      <w:pPr>
        <w:numPr>
          <w:ilvl w:val="0"/>
          <w:numId w:val="1030"/>
        </w:numPr>
      </w:pPr>
      <w:r>
        <w:t xml:space="preserve">Death Rate (%): 4.05%</w:t>
      </w:r>
    </w:p>
    <w:p>
      <w:pPr>
        <w:numPr>
          <w:ilvl w:val="0"/>
          <w:numId w:val="1030"/>
        </w:numPr>
      </w:pPr>
      <w:r>
        <w:t xml:space="preserve">Death Rate (95% CI): 2.57% to 5.52%</w:t>
      </w:r>
    </w:p>
    <w:bookmarkEnd w:id="26"/>
    <w:bookmarkStart w:id="27" w:name="Xa58a080a93584af925ec9e44de8b6d28621e3de"/>
    <w:p>
      <w:pPr>
        <w:pStyle w:val="Heading3"/>
      </w:pPr>
      <w:r>
        <w:t xml:space="preserve">Resource Utilization for Readmission (LOS, Cost)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1"/>
        </w:numPr>
      </w:pPr>
      <w:r>
        <w:t xml:space="preserve">Median Length of Stay (IQR), days: 4 (IQR: 2–8)</w:t>
      </w:r>
    </w:p>
    <w:p>
      <w:pPr>
        <w:numPr>
          <w:ilvl w:val="0"/>
          <w:numId w:val="1031"/>
        </w:numPr>
      </w:pPr>
      <w:r>
        <w:t xml:space="preserve">Median Total Charges (IQR): $32,809 (IQR: $17,968–$64,419)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866c9df3afce7ca1dd78346aecc262fa17975cc"/>
    <w:p>
      <w:pPr>
        <w:pStyle w:val="Heading3"/>
      </w:pPr>
      <w:r>
        <w:t xml:space="preserve">Multivariable Predictors of 90-Day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(441)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bookmarkStart w:id="31" w:name="top-causes-of-readmission"/>
    <w:p>
      <w:pPr>
        <w:pStyle w:val="Heading2"/>
      </w:pPr>
      <w:r>
        <w:t xml:space="preserve">Top Causes of Readmission</w:t>
      </w:r>
    </w:p>
    <w:p>
      <w:pPr>
        <w:pStyle w:val="SourceCode"/>
      </w:pPr>
      <w:r>
        <w:rPr>
          <w:rStyle w:val="VerbatimChar"/>
        </w:rPr>
        <w:t xml:space="preserve">             Diagnosis Percentage</w:t>
      </w:r>
      <w:r>
        <w:br/>
      </w:r>
      <w:r>
        <w:rPr>
          <w:rStyle w:val="VerbatimChar"/>
        </w:rPr>
        <w:t xml:space="preserve">I10_DX1A419       A419   6.214600</w:t>
      </w:r>
      <w:r>
        <w:br/>
      </w:r>
      <w:r>
        <w:rPr>
          <w:rStyle w:val="VerbatimChar"/>
        </w:rPr>
        <w:t xml:space="preserve">I10_DX1K9189     K9189   5.660410</w:t>
      </w:r>
      <w:r>
        <w:br/>
      </w:r>
      <w:r>
        <w:rPr>
          <w:rStyle w:val="VerbatimChar"/>
        </w:rPr>
        <w:t xml:space="preserve">I10_DX1J690       J690   5.047350</w:t>
      </w:r>
      <w:r>
        <w:br/>
      </w:r>
      <w:r>
        <w:rPr>
          <w:rStyle w:val="VerbatimChar"/>
        </w:rPr>
        <w:t xml:space="preserve">I10_DX1J90         J90   3.428236</w:t>
      </w:r>
      <w:r>
        <w:br/>
      </w:r>
      <w:r>
        <w:rPr>
          <w:rStyle w:val="VerbatimChar"/>
        </w:rPr>
        <w:t xml:space="preserve">I10_DX1K222       K222   2.508380</w:t>
      </w:r>
      <w:r>
        <w:br/>
      </w:r>
      <w:r>
        <w:rPr>
          <w:rStyle w:val="VerbatimChar"/>
        </w:rPr>
        <w:t xml:space="preserve">I10_DX1J189       J189   2.341791</w:t>
      </w:r>
      <w:r>
        <w:br/>
      </w:r>
      <w:r>
        <w:rPr>
          <w:rStyle w:val="VerbatimChar"/>
        </w:rPr>
        <w:t xml:space="preserve">I10_DX1K311       K311   2.290628</w:t>
      </w:r>
      <w:r>
        <w:br/>
      </w:r>
      <w:r>
        <w:rPr>
          <w:rStyle w:val="VerbatimChar"/>
        </w:rPr>
        <w:t xml:space="preserve">I10_DX1E860       E860   2.092085</w:t>
      </w:r>
      <w:r>
        <w:br/>
      </w:r>
      <w:r>
        <w:rPr>
          <w:rStyle w:val="VerbatimChar"/>
        </w:rPr>
        <w:t xml:space="preserve">I10_DX1R112       R112   2.015964</w:t>
      </w:r>
      <w:r>
        <w:br/>
      </w:r>
      <w:r>
        <w:rPr>
          <w:rStyle w:val="VerbatimChar"/>
        </w:rPr>
        <w:t xml:space="preserve">I10_DX1K5660     K5660   1.580224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athoracsur.2019.08.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athoracsur.2019.08.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Nationwide Analysis of 90-Day Readmissions and Mortality Following Esophagectomy: Causes, Costs, and Risk Factors</dc:title>
  <dc:creator>Muhammad Saad; Shurjeel Uddin Qazi</dc:creator>
  <cp:keywords/>
  <dcterms:created xsi:type="dcterms:W3CDTF">2025-07-25T20:08:42Z</dcterms:created>
  <dcterms:modified xsi:type="dcterms:W3CDTF">2025-07-25T20:08:42Z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A24</vt:lpwstr>
  </property>
  <property fmtid="{D5CDD505-2E9C-101B-9397-08002B2CF9AE}" pid="12" name="toc-title">
    <vt:lpwstr>Table of contents</vt:lpwstr>
  </property>
</Properties>
</file>