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Nationwide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30-Day</w:t>
      </w:r>
      <w:r>
        <w:t xml:space="preserve"> </w:t>
      </w:r>
      <w:r>
        <w:t xml:space="preserve">Readmission</w:t>
      </w:r>
      <w:r>
        <w:t xml:space="preserve"> </w:t>
      </w:r>
      <w:r>
        <w:t xml:space="preserve">After</w:t>
      </w:r>
      <w:r>
        <w:t xml:space="preserve"> </w:t>
      </w:r>
      <w:r>
        <w:t xml:space="preserve">Bariatric</w:t>
      </w:r>
      <w:r>
        <w:t xml:space="preserve"> </w:t>
      </w:r>
      <w:r>
        <w:t xml:space="preserve">Surgery</w:t>
      </w:r>
      <w:r>
        <w:t xml:space="preserve"> </w:t>
      </w:r>
      <w:r>
        <w:t xml:space="preserve">in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Ischemic</w:t>
      </w:r>
      <w:r>
        <w:t xml:space="preserve"> </w:t>
      </w:r>
      <w:r>
        <w:t xml:space="preserve">Heart</w:t>
      </w:r>
      <w:r>
        <w:t xml:space="preserve"> </w:t>
      </w:r>
      <w:r>
        <w:t xml:space="preserve">Disease,</w:t>
      </w:r>
      <w:r>
        <w:t xml:space="preserve"> </w:t>
      </w:r>
      <w:r>
        <w:t xml:space="preserve">Heart</w:t>
      </w:r>
      <w:r>
        <w:t xml:space="preserve"> </w:t>
      </w:r>
      <w:r>
        <w:t xml:space="preserve">Failure,</w:t>
      </w:r>
      <w:r>
        <w:t xml:space="preserve"> </w:t>
      </w:r>
      <w:r>
        <w:t xml:space="preserve">or</w:t>
      </w:r>
      <w:r>
        <w:t xml:space="preserve"> </w:t>
      </w:r>
      <w:r>
        <w:t xml:space="preserve">Cardiomyopathy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A25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Shurjeel</w:t>
      </w:r>
      <w:r>
        <w:t xml:space="preserve"> </w:t>
      </w:r>
      <w:r>
        <w:t xml:space="preserve">Uddin</w:t>
      </w:r>
      <w:r>
        <w:t xml:space="preserve"> </w:t>
      </w:r>
      <w:r>
        <w:t xml:space="preserve">Qazi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Rios-Diaz et al., 2019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Yeo et al., 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assess predictors of 30-day readmission following bariatric surgery in adults with ischemic heart disease, heart failure, or cardiomyopathy, using a nationally representative cohort from the Nationwide Readmissions Database (NRD). Specific objectives include:</w:t>
      </w:r>
    </w:p>
    <w:p>
      <w:pPr>
        <w:numPr>
          <w:ilvl w:val="1"/>
          <w:numId w:val="1003"/>
        </w:numPr>
      </w:pPr>
      <w:r>
        <w:t xml:space="preserve">Estimating the national 30-day readmission rate after bariatric procedures in this high-risk cardiovascular population.</w:t>
      </w:r>
    </w:p>
    <w:p>
      <w:pPr>
        <w:numPr>
          <w:ilvl w:val="1"/>
          <w:numId w:val="1003"/>
        </w:numPr>
      </w:pPr>
      <w:r>
        <w:t xml:space="preserve">Evaluating in-hospital complications and healthcare utilization during index and readmission hospitalizations.</w:t>
      </w:r>
    </w:p>
    <w:p>
      <w:pPr>
        <w:numPr>
          <w:ilvl w:val="1"/>
          <w:numId w:val="1003"/>
        </w:numPr>
      </w:pPr>
      <w:r>
        <w:t xml:space="preserve">Identifying independent predictors of 30-day readmission using survey-adjusted time-to-event modeling.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defined using the following criteria:</w:t>
      </w:r>
    </w:p>
    <w:p>
      <w:pPr>
        <w:numPr>
          <w:ilvl w:val="1"/>
          <w:numId w:val="1004"/>
        </w:numPr>
      </w:pPr>
      <w:r>
        <w:t xml:space="preserve">Adults aged ≥18 years</w:t>
      </w:r>
    </w:p>
    <w:p>
      <w:pPr>
        <w:numPr>
          <w:ilvl w:val="1"/>
          <w:numId w:val="1004"/>
        </w:numPr>
      </w:pPr>
      <w:r>
        <w:t xml:space="preserve">Underwent one of the following bariatric procedures, identified using ICD-10-PCS codes:</w:t>
      </w:r>
    </w:p>
    <w:p>
      <w:pPr>
        <w:numPr>
          <w:ilvl w:val="2"/>
          <w:numId w:val="1005"/>
        </w:numPr>
      </w:pPr>
      <w:r>
        <w:t xml:space="preserve">Roux-en-Y Gastric Bypass</w:t>
      </w:r>
    </w:p>
    <w:p>
      <w:pPr>
        <w:numPr>
          <w:ilvl w:val="2"/>
          <w:numId w:val="1005"/>
        </w:numPr>
      </w:pPr>
      <w:r>
        <w:t xml:space="preserve">Sleeve Gastrectomy</w:t>
      </w:r>
    </w:p>
    <w:p>
      <w:pPr>
        <w:numPr>
          <w:ilvl w:val="2"/>
          <w:numId w:val="1005"/>
        </w:numPr>
      </w:pPr>
      <w:r>
        <w:t xml:space="preserve">Gastric Banding</w:t>
      </w:r>
    </w:p>
    <w:p>
      <w:pPr>
        <w:numPr>
          <w:ilvl w:val="1"/>
          <w:numId w:val="1004"/>
        </w:numPr>
      </w:pPr>
      <w:r>
        <w:t xml:space="preserve">Diagnosed with ischemic heart disease, heart failure, or cardiomyopathy, defined as presence of at least one of the following:</w:t>
      </w:r>
    </w:p>
    <w:p>
      <w:pPr>
        <w:numPr>
          <w:ilvl w:val="2"/>
          <w:numId w:val="1006"/>
        </w:numPr>
      </w:pPr>
      <w:r>
        <w:t xml:space="preserve">Unstable Angina</w:t>
      </w:r>
    </w:p>
    <w:p>
      <w:pPr>
        <w:numPr>
          <w:ilvl w:val="2"/>
          <w:numId w:val="1006"/>
        </w:numPr>
      </w:pPr>
      <w:r>
        <w:t xml:space="preserve">Myocardial Infarction</w:t>
      </w:r>
    </w:p>
    <w:p>
      <w:pPr>
        <w:numPr>
          <w:ilvl w:val="2"/>
          <w:numId w:val="1006"/>
        </w:numPr>
      </w:pPr>
      <w:r>
        <w:t xml:space="preserve">Heart Failure</w:t>
      </w:r>
    </w:p>
    <w:p>
      <w:pPr>
        <w:numPr>
          <w:ilvl w:val="2"/>
          <w:numId w:val="1006"/>
        </w:numPr>
      </w:pPr>
      <w:r>
        <w:t xml:space="preserve">Cardiomyopathy</w:t>
      </w:r>
    </w:p>
    <w:p>
      <w:pPr>
        <w:numPr>
          <w:ilvl w:val="2"/>
          <w:numId w:val="1006"/>
        </w:numPr>
      </w:pPr>
      <w:r>
        <w:t xml:space="preserve">Chronic Ischemic Heart Disease</w:t>
      </w:r>
    </w:p>
    <w:p>
      <w:pPr>
        <w:numPr>
          <w:ilvl w:val="1"/>
          <w:numId w:val="1004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4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7"/>
        </w:numPr>
      </w:pPr>
      <w:r>
        <w:t xml:space="preserve">Primary Outcome:</w:t>
      </w:r>
    </w:p>
    <w:p>
      <w:pPr>
        <w:pStyle w:val="Compact"/>
        <w:numPr>
          <w:ilvl w:val="2"/>
          <w:numId w:val="1008"/>
        </w:numPr>
      </w:pPr>
      <w:r>
        <w:t xml:space="preserve">All-cause 30-day readmission (Yes/No), flagged using NRD linkage variables</w:t>
      </w:r>
    </w:p>
    <w:p>
      <w:pPr>
        <w:numPr>
          <w:ilvl w:val="1"/>
          <w:numId w:val="1007"/>
        </w:numPr>
      </w:pPr>
      <w:r>
        <w:t xml:space="preserve">Secondary Outcomes (index admission):</w:t>
      </w:r>
    </w:p>
    <w:p>
      <w:pPr>
        <w:numPr>
          <w:ilvl w:val="2"/>
          <w:numId w:val="1009"/>
        </w:numPr>
      </w:pPr>
      <w:r>
        <w:t xml:space="preserve">In-hospital mortality (DIED)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9"/>
        </w:numPr>
      </w:pPr>
      <w:r>
        <w:t xml:space="preserve">Non-home discharge</w:t>
      </w:r>
    </w:p>
    <w:p>
      <w:pPr>
        <w:numPr>
          <w:ilvl w:val="2"/>
          <w:numId w:val="1009"/>
        </w:numPr>
      </w:pPr>
      <w:r>
        <w:t xml:space="preserve">Surgical Complications</w:t>
      </w:r>
    </w:p>
    <w:p>
      <w:pPr>
        <w:numPr>
          <w:ilvl w:val="2"/>
          <w:numId w:val="1009"/>
        </w:numPr>
      </w:pPr>
      <w:r>
        <w:t xml:space="preserve">Medical Complications</w:t>
      </w:r>
    </w:p>
    <w:p>
      <w:pPr>
        <w:numPr>
          <w:ilvl w:val="1"/>
          <w:numId w:val="1007"/>
        </w:numPr>
      </w:pPr>
      <w:r>
        <w:t xml:space="preserve">Readmission Characteristics:</w:t>
      </w:r>
    </w:p>
    <w:p>
      <w:pPr>
        <w:numPr>
          <w:ilvl w:val="2"/>
          <w:numId w:val="1010"/>
        </w:numPr>
      </w:pPr>
      <w:r>
        <w:t xml:space="preserve">In-hospital mortality</w:t>
      </w:r>
    </w:p>
    <w:p>
      <w:pPr>
        <w:numPr>
          <w:ilvl w:val="2"/>
          <w:numId w:val="1010"/>
        </w:numPr>
      </w:pPr>
      <w:r>
        <w:t xml:space="preserve">Length of stay (LOS, in days)</w:t>
      </w:r>
    </w:p>
    <w:p>
      <w:pPr>
        <w:numPr>
          <w:ilvl w:val="2"/>
          <w:numId w:val="1010"/>
        </w:numPr>
      </w:pPr>
      <w:r>
        <w:t xml:space="preserve">Total hospitalization charges (inflation-adjusted to 2017 USD)</w:t>
      </w:r>
    </w:p>
    <w:p>
      <w:pPr>
        <w:numPr>
          <w:ilvl w:val="2"/>
          <w:numId w:val="1010"/>
        </w:numPr>
      </w:pPr>
      <w:r>
        <w:t xml:space="preserve">Time to readmission (in days)</w:t>
      </w:r>
    </w:p>
    <w:p>
      <w:pPr>
        <w:numPr>
          <w:ilvl w:val="2"/>
          <w:numId w:val="1010"/>
        </w:numPr>
      </w:pPr>
      <w:r>
        <w:t xml:space="preserve">Top causes of readmission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1"/>
        </w:numPr>
      </w:pPr>
      <w:r>
        <w:t xml:space="preserve">Readmission:</w:t>
      </w:r>
    </w:p>
    <w:p>
      <w:pPr>
        <w:numPr>
          <w:ilvl w:val="2"/>
          <w:numId w:val="1012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2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1"/>
        </w:numPr>
      </w:pPr>
      <w:r>
        <w:t xml:space="preserve">Mortality:</w:t>
      </w:r>
    </w:p>
    <w:p>
      <w:pPr>
        <w:pStyle w:val="Compact"/>
        <w:numPr>
          <w:ilvl w:val="2"/>
          <w:numId w:val="1013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1"/>
        </w:numPr>
      </w:pPr>
      <w:r>
        <w:t xml:space="preserve">LOS:</w:t>
      </w:r>
    </w:p>
    <w:p>
      <w:pPr>
        <w:pStyle w:val="Compact"/>
        <w:numPr>
          <w:ilvl w:val="2"/>
          <w:numId w:val="1014"/>
        </w:numPr>
      </w:pPr>
      <w:r>
        <w:t xml:space="preserve">Reported in days; modeled as count outcome</w:t>
      </w:r>
    </w:p>
    <w:p>
      <w:pPr>
        <w:numPr>
          <w:ilvl w:val="1"/>
          <w:numId w:val="1011"/>
        </w:numPr>
      </w:pPr>
      <w:r>
        <w:t xml:space="preserve">Charge:</w:t>
      </w:r>
    </w:p>
    <w:p>
      <w:pPr>
        <w:pStyle w:val="Compact"/>
        <w:numPr>
          <w:ilvl w:val="2"/>
          <w:numId w:val="1015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1"/>
        </w:numPr>
      </w:pPr>
      <w:r>
        <w:t xml:space="preserve">Non-Home Discharge:</w:t>
      </w:r>
    </w:p>
    <w:p>
      <w:pPr>
        <w:numPr>
          <w:ilvl w:val="2"/>
          <w:numId w:val="1016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7"/>
        </w:numPr>
      </w:pPr>
      <w:r>
        <w:t xml:space="preserve">Transfer to another short-term hospital</w:t>
      </w:r>
    </w:p>
    <w:p>
      <w:pPr>
        <w:numPr>
          <w:ilvl w:val="3"/>
          <w:numId w:val="1017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7"/>
        </w:numPr>
      </w:pPr>
      <w:r>
        <w:t xml:space="preserve">Left against medical advice</w:t>
      </w:r>
    </w:p>
    <w:p>
      <w:pPr>
        <w:numPr>
          <w:ilvl w:val="3"/>
          <w:numId w:val="1017"/>
        </w:numPr>
      </w:pPr>
      <w:r>
        <w:t xml:space="preserve">Died in hospital</w:t>
      </w:r>
    </w:p>
    <w:p>
      <w:pPr>
        <w:numPr>
          <w:ilvl w:val="3"/>
          <w:numId w:val="1017"/>
        </w:numPr>
      </w:pPr>
      <w:r>
        <w:t xml:space="preserve">Alive, destination unknown</w:t>
      </w:r>
    </w:p>
    <w:p>
      <w:pPr>
        <w:numPr>
          <w:ilvl w:val="1"/>
          <w:numId w:val="1011"/>
        </w:numPr>
      </w:pPr>
      <w:r>
        <w:t xml:space="preserve">Surgical Complications: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  Postoperative Bleeding</w:t>
      </w:r>
      <w:r>
        <w:br/>
      </w:r>
      <w:r>
        <w:br/>
      </w:r>
      <w:r>
        <w:rPr>
          <w:rStyle w:val="VerbatimChar"/>
        </w:rPr>
        <w:t xml:space="preserve">-   Postoperative Infection</w:t>
      </w:r>
      <w:r>
        <w:br/>
      </w:r>
      <w:r>
        <w:br/>
      </w:r>
      <w:r>
        <w:rPr>
          <w:rStyle w:val="VerbatimChar"/>
        </w:rPr>
        <w:t xml:space="preserve">-   Postoperative Ileus</w:t>
      </w:r>
    </w:p>
    <w:p>
      <w:pPr>
        <w:pStyle w:val="Compact"/>
        <w:numPr>
          <w:ilvl w:val="1"/>
          <w:numId w:val="1018"/>
        </w:numPr>
      </w:pPr>
      <w:r>
        <w:t xml:space="preserve">Medical Complications: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  Venous Thromboembolism (VTE)</w:t>
      </w:r>
      <w:r>
        <w:br/>
      </w:r>
      <w:r>
        <w:br/>
      </w:r>
      <w:r>
        <w:rPr>
          <w:rStyle w:val="VerbatimChar"/>
        </w:rPr>
        <w:t xml:space="preserve">-   Sepsis</w:t>
      </w:r>
      <w:r>
        <w:br/>
      </w:r>
      <w:r>
        <w:br/>
      </w:r>
      <w:r>
        <w:rPr>
          <w:rStyle w:val="VerbatimChar"/>
        </w:rPr>
        <w:t xml:space="preserve">-   Acute Kidney Injury (AKI)</w:t>
      </w:r>
      <w:r>
        <w:br/>
      </w:r>
      <w:r>
        <w:br/>
      </w:r>
      <w:r>
        <w:rPr>
          <w:rStyle w:val="VerbatimChar"/>
        </w:rPr>
        <w:t xml:space="preserve">-   Acute Respiratory Failure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9"/>
        </w:numPr>
      </w:pPr>
      <w:r>
        <w:t xml:space="preserve">Demographic &amp; Socioeconomic Factors:</w:t>
      </w:r>
    </w:p>
    <w:p>
      <w:pPr>
        <w:numPr>
          <w:ilvl w:val="2"/>
          <w:numId w:val="1020"/>
        </w:numPr>
      </w:pPr>
      <w:r>
        <w:t xml:space="preserve">Age (continuous)</w:t>
      </w:r>
    </w:p>
    <w:p>
      <w:pPr>
        <w:numPr>
          <w:ilvl w:val="2"/>
          <w:numId w:val="1020"/>
        </w:numPr>
      </w:pPr>
      <w:r>
        <w:t xml:space="preserve">Sex (FEMALE; ref = Male)</w:t>
      </w:r>
    </w:p>
    <w:p>
      <w:pPr>
        <w:numPr>
          <w:ilvl w:val="2"/>
          <w:numId w:val="1020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20"/>
        </w:numPr>
      </w:pPr>
      <w:r>
        <w:t xml:space="preserve">Income quartile based on ZIP code (ZIPINC_QRTL)</w:t>
      </w:r>
    </w:p>
    <w:p>
      <w:pPr>
        <w:numPr>
          <w:ilvl w:val="2"/>
          <w:numId w:val="1020"/>
        </w:numPr>
      </w:pPr>
      <w:r>
        <w:t xml:space="preserve">Weekend vs weekday admission (AWEEKEND)</w:t>
      </w:r>
    </w:p>
    <w:p>
      <w:pPr>
        <w:numPr>
          <w:ilvl w:val="2"/>
          <w:numId w:val="1020"/>
        </w:numPr>
      </w:pPr>
      <w:r>
        <w:t xml:space="preserve">Elective vs non-elective admission (ELECTIVE)</w:t>
      </w:r>
    </w:p>
    <w:p>
      <w:pPr>
        <w:numPr>
          <w:ilvl w:val="1"/>
          <w:numId w:val="1019"/>
        </w:numPr>
      </w:pPr>
      <w:r>
        <w:t xml:space="preserve">Clinical Variables:</w:t>
      </w:r>
    </w:p>
    <w:p>
      <w:pPr>
        <w:numPr>
          <w:ilvl w:val="2"/>
          <w:numId w:val="1021"/>
        </w:numPr>
      </w:pPr>
      <w:r>
        <w:t xml:space="preserve">Elixhauser Comorbidity Index (elixsum), modeled as a continuous variable</w:t>
      </w:r>
    </w:p>
    <w:p>
      <w:pPr>
        <w:numPr>
          <w:ilvl w:val="2"/>
          <w:numId w:val="1021"/>
        </w:numPr>
      </w:pPr>
      <w:r>
        <w:t xml:space="preserve">Comorbidities:</w:t>
      </w:r>
    </w:p>
    <w:p>
      <w:pPr>
        <w:numPr>
          <w:ilvl w:val="3"/>
          <w:numId w:val="1022"/>
        </w:numPr>
      </w:pPr>
      <w:r>
        <w:t xml:space="preserve">Diabetes Mellitus</w:t>
      </w:r>
    </w:p>
    <w:p>
      <w:pPr>
        <w:numPr>
          <w:ilvl w:val="3"/>
          <w:numId w:val="1022"/>
        </w:numPr>
      </w:pPr>
      <w:r>
        <w:t xml:space="preserve">Renal Failure</w:t>
      </w:r>
    </w:p>
    <w:p>
      <w:pPr>
        <w:numPr>
          <w:ilvl w:val="3"/>
          <w:numId w:val="1022"/>
        </w:numPr>
      </w:pPr>
      <w:r>
        <w:t xml:space="preserve">Chronic Pulmonary Disease</w:t>
      </w:r>
    </w:p>
    <w:p>
      <w:pPr>
        <w:numPr>
          <w:ilvl w:val="3"/>
          <w:numId w:val="1022"/>
        </w:numPr>
      </w:pPr>
      <w:r>
        <w:t xml:space="preserve">Liver Disease</w:t>
      </w:r>
    </w:p>
    <w:p>
      <w:pPr>
        <w:numPr>
          <w:ilvl w:val="3"/>
          <w:numId w:val="1022"/>
        </w:numPr>
      </w:pPr>
      <w:r>
        <w:t xml:space="preserve">Hypertension</w:t>
      </w:r>
    </w:p>
    <w:p>
      <w:pPr>
        <w:numPr>
          <w:ilvl w:val="3"/>
          <w:numId w:val="1022"/>
        </w:numPr>
      </w:pPr>
      <w:r>
        <w:t xml:space="preserve">Depression</w:t>
      </w:r>
    </w:p>
    <w:p>
      <w:pPr>
        <w:numPr>
          <w:ilvl w:val="3"/>
          <w:numId w:val="1022"/>
        </w:numPr>
      </w:pPr>
      <w:r>
        <w:t xml:space="preserve">Atrial Fibrillation</w:t>
      </w:r>
    </w:p>
    <w:p>
      <w:pPr>
        <w:numPr>
          <w:ilvl w:val="1"/>
          <w:numId w:val="1019"/>
        </w:numPr>
      </w:pPr>
      <w:r>
        <w:t xml:space="preserve">Hospital Characteristics:</w:t>
      </w:r>
    </w:p>
    <w:p>
      <w:pPr>
        <w:numPr>
          <w:ilvl w:val="2"/>
          <w:numId w:val="1023"/>
        </w:numPr>
      </w:pPr>
      <w:r>
        <w:t xml:space="preserve">Hospital bed size (Small, Medium, Large)</w:t>
      </w:r>
    </w:p>
    <w:p>
      <w:pPr>
        <w:numPr>
          <w:ilvl w:val="2"/>
          <w:numId w:val="1023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9"/>
        </w:numPr>
      </w:pPr>
      <w:r>
        <w:t xml:space="preserve">Disposition and Severity:</w:t>
      </w:r>
    </w:p>
    <w:p>
      <w:pPr>
        <w:numPr>
          <w:ilvl w:val="2"/>
          <w:numId w:val="1024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4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5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6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5"/>
        </w:numPr>
      </w:pPr>
      <w:r>
        <w:t xml:space="preserve">Descriptive Analyses:</w:t>
      </w:r>
    </w:p>
    <w:p>
      <w:pPr>
        <w:numPr>
          <w:ilvl w:val="2"/>
          <w:numId w:val="1027"/>
        </w:numPr>
      </w:pPr>
      <w:r>
        <w:t xml:space="preserve">Baseline characteristics were summarized by 30-day readmission status (</w:t>
      </w:r>
      <w:r>
        <w:t xml:space="preserve">“</w:t>
      </w:r>
      <w:r>
        <w:t xml:space="preserve">With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Without readmission</w:t>
      </w:r>
      <w:r>
        <w:t xml:space="preserve">”</w:t>
      </w:r>
      <w:r>
        <w:t xml:space="preserve">).</w:t>
      </w:r>
    </w:p>
    <w:p>
      <w:pPr>
        <w:numPr>
          <w:ilvl w:val="2"/>
          <w:numId w:val="1027"/>
        </w:numPr>
      </w:pPr>
      <w:r>
        <w:t xml:space="preserve">Survey-weighted means and proportions were reported.</w:t>
      </w:r>
    </w:p>
    <w:p>
      <w:pPr>
        <w:numPr>
          <w:ilvl w:val="2"/>
          <w:numId w:val="1027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5"/>
        </w:numPr>
      </w:pPr>
      <w:r>
        <w:t xml:space="preserve">Multivariable Modeling:</w:t>
      </w:r>
    </w:p>
    <w:p>
      <w:pPr>
        <w:numPr>
          <w:ilvl w:val="2"/>
          <w:numId w:val="1028"/>
        </w:numPr>
      </w:pPr>
      <w:r>
        <w:t xml:space="preserve">A survey-weighted Cox proportional hazards model was used to identify predictors of 30-day readmission.</w:t>
      </w:r>
    </w:p>
    <w:p>
      <w:pPr>
        <w:numPr>
          <w:ilvl w:val="2"/>
          <w:numId w:val="102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8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25"/>
        </w:numPr>
      </w:pPr>
      <w:r>
        <w:t xml:space="preserve">Readmission Characteristics:</w:t>
      </w:r>
    </w:p>
    <w:p>
      <w:pPr>
        <w:numPr>
          <w:ilvl w:val="1"/>
          <w:numId w:val="1000"/>
        </w:numPr>
      </w:pPr>
      <w:r>
        <w:t xml:space="preserve">Among readmitted patients, the following were summarized using survey-weighted statistics:</w:t>
      </w:r>
    </w:p>
    <w:p>
      <w:pPr>
        <w:numPr>
          <w:ilvl w:val="2"/>
          <w:numId w:val="1029"/>
        </w:numPr>
      </w:pPr>
      <w:r>
        <w:t xml:space="preserve">Time to readmission</w:t>
      </w:r>
    </w:p>
    <w:p>
      <w:pPr>
        <w:numPr>
          <w:ilvl w:val="2"/>
          <w:numId w:val="1029"/>
        </w:numPr>
      </w:pPr>
      <w:r>
        <w:t xml:space="preserve">In-hospital mortality during readmission</w:t>
      </w:r>
    </w:p>
    <w:p>
      <w:pPr>
        <w:numPr>
          <w:ilvl w:val="2"/>
          <w:numId w:val="1029"/>
        </w:numPr>
      </w:pPr>
      <w:r>
        <w:t xml:space="preserve">Length of stay and total charges during the readmission</w:t>
      </w:r>
    </w:p>
    <w:p>
      <w:pPr>
        <w:numPr>
          <w:ilvl w:val="2"/>
          <w:numId w:val="1029"/>
        </w:numPr>
      </w:pPr>
      <w:r>
        <w:t xml:space="preserve">Top principal diagnoses at readmission (I10_DX1)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3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34,341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31,153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3,187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17,276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15,631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17,065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15,522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20,278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18,077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9,813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8,847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8,433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7,696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31,957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29,117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23,376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21,777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9,149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4,331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3,961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20,549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18,577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7,404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25,622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23,210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Bariatric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Gastric Banding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Roux-en-Y Gastric Bypass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11,671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10,409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Sleeve Gastrectomy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22,497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20,588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17,070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7,109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10,036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29,223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26,538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2,685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6,087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Unstable Angina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13,200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Ischemic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24,282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8" w:name="unadjusted-outcomes"/>
    <w:p>
      <w:pPr>
        <w:pStyle w:val="Heading2"/>
      </w:pPr>
      <w:r>
        <w:t xml:space="preserve">Unadjusted Outcomes</w:t>
      </w:r>
    </w:p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34,341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31,153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3,187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61,841 (39,163, 120,213)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60,189 (38,720, 115,258)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85,608 (46,608, 174,501)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Surgical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1,316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Medical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6,683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day-readmission-timing"/>
    <w:p>
      <w:pPr>
        <w:pStyle w:val="Heading3"/>
      </w:pPr>
      <w:r>
        <w:t xml:space="preserve">30-Day Readmission Timing</w:t>
      </w:r>
    </w:p>
    <w:p>
      <w:pPr>
        <w:pStyle w:val="FirstParagraph"/>
      </w:pPr>
      <w:r>
        <w:t xml:space="preserve">The median time to 30-day readmission following index hospitalization was 10 days (IQR: 4–18).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30"/>
        </w:numPr>
      </w:pPr>
      <w:r>
        <w:t xml:space="preserve">Deaths (n): 1305</w:t>
      </w:r>
    </w:p>
    <w:p>
      <w:pPr>
        <w:numPr>
          <w:ilvl w:val="0"/>
          <w:numId w:val="1030"/>
        </w:numPr>
      </w:pPr>
      <w:r>
        <w:t xml:space="preserve">Death Rate (%): 3.8%</w:t>
      </w:r>
    </w:p>
    <w:p>
      <w:pPr>
        <w:numPr>
          <w:ilvl w:val="0"/>
          <w:numId w:val="1030"/>
        </w:numPr>
      </w:pPr>
      <w:r>
        <w:t xml:space="preserve">Death Rate (95% CI): 3.44% to 4.16%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1"/>
        </w:numPr>
      </w:pPr>
      <w:r>
        <w:t xml:space="preserve">Deaths (n): 135</w:t>
      </w:r>
    </w:p>
    <w:p>
      <w:pPr>
        <w:numPr>
          <w:ilvl w:val="0"/>
          <w:numId w:val="1031"/>
        </w:numPr>
      </w:pPr>
      <w:r>
        <w:t xml:space="preserve">Death Rate (%): 4.27%</w:t>
      </w:r>
    </w:p>
    <w:p>
      <w:pPr>
        <w:numPr>
          <w:ilvl w:val="0"/>
          <w:numId w:val="1031"/>
        </w:numPr>
      </w:pPr>
      <w:r>
        <w:t xml:space="preserve">Death Rate (95% CI): 3.3% to 5.25%</w:t>
      </w:r>
    </w:p>
    <w:bookmarkEnd w:id="26"/>
    <w:bookmarkStart w:id="27" w:name="Xa58a080a93584af925ec9e44de8b6d28621e3de"/>
    <w:p>
      <w:pPr>
        <w:pStyle w:val="Heading3"/>
      </w:pPr>
      <w:r>
        <w:t xml:space="preserve">Resource Utilization for Readmission (LOS, Cost)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2"/>
        </w:numPr>
      </w:pPr>
      <w:r>
        <w:t xml:space="preserve">Median Length of Stay (IQR), days: 4 (IQR: 2–7)</w:t>
      </w:r>
    </w:p>
    <w:p>
      <w:pPr>
        <w:numPr>
          <w:ilvl w:val="0"/>
          <w:numId w:val="1032"/>
        </w:numPr>
      </w:pPr>
      <w:r>
        <w:t xml:space="preserve">Median Total Charges (IQR): $34,422 (IQR: $18,164–$67,880)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Xc3dd9450622ca6a79fdfe146281f7a6f8e6031c"/>
    <w:p>
      <w:pPr>
        <w:pStyle w:val="Heading3"/>
      </w:pPr>
      <w:r>
        <w:t xml:space="preserve">Multivariable Predictors of 30-Day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(925)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Bariatric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Gastric Banding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Roux-en-Y Gastric Bypass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Sleeve Gastrectomy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Surgical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Medical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9"/>
    <w:bookmarkEnd w:id="30"/>
    <w:bookmarkStart w:id="31" w:name="top-causes-of-readmission"/>
    <w:p>
      <w:pPr>
        <w:pStyle w:val="Heading2"/>
      </w:pPr>
      <w:r>
        <w:t xml:space="preserve">Top Causes of Readmission</w:t>
      </w:r>
    </w:p>
    <w:p>
      <w:pPr>
        <w:pStyle w:val="SourceCode"/>
      </w:pPr>
      <w:r>
        <w:rPr>
          <w:rStyle w:val="VerbatimChar"/>
        </w:rPr>
        <w:t xml:space="preserve">              Diagnosis Percentage</w:t>
      </w:r>
      <w:r>
        <w:br/>
      </w:r>
      <w:r>
        <w:rPr>
          <w:rStyle w:val="VerbatimChar"/>
        </w:rPr>
        <w:t xml:space="preserve">I10_DX1A419        A419   8.056903</w:t>
      </w:r>
      <w:r>
        <w:br/>
      </w:r>
      <w:r>
        <w:rPr>
          <w:rStyle w:val="VerbatimChar"/>
        </w:rPr>
        <w:t xml:space="preserve">I10_DX1N179        N179   3.947400</w:t>
      </w:r>
      <w:r>
        <w:br/>
      </w:r>
      <w:r>
        <w:rPr>
          <w:rStyle w:val="VerbatimChar"/>
        </w:rPr>
        <w:t xml:space="preserve">I10_DX1E860        E860   3.143455</w:t>
      </w:r>
      <w:r>
        <w:br/>
      </w:r>
      <w:r>
        <w:rPr>
          <w:rStyle w:val="VerbatimChar"/>
        </w:rPr>
        <w:t xml:space="preserve">I10_DX1K922        K922   2.463721</w:t>
      </w:r>
      <w:r>
        <w:br/>
      </w:r>
      <w:r>
        <w:rPr>
          <w:rStyle w:val="VerbatimChar"/>
        </w:rPr>
        <w:t xml:space="preserve">I10_DX1K9589      K9589   2.374195</w:t>
      </w:r>
      <w:r>
        <w:br/>
      </w:r>
      <w:r>
        <w:rPr>
          <w:rStyle w:val="VerbatimChar"/>
        </w:rPr>
        <w:t xml:space="preserve">I10_DX1J189        J189   2.226116</w:t>
      </w:r>
      <w:r>
        <w:br/>
      </w:r>
      <w:r>
        <w:rPr>
          <w:rStyle w:val="VerbatimChar"/>
        </w:rPr>
        <w:t xml:space="preserve">I10_DX1K9189      K9189   1.764553</w:t>
      </w:r>
      <w:r>
        <w:br/>
      </w:r>
      <w:r>
        <w:rPr>
          <w:rStyle w:val="VerbatimChar"/>
        </w:rPr>
        <w:t xml:space="preserve">I10_DX1K91840    K91840   1.569715</w:t>
      </w:r>
      <w:r>
        <w:br/>
      </w:r>
      <w:r>
        <w:rPr>
          <w:rStyle w:val="VerbatimChar"/>
        </w:rPr>
        <w:t xml:space="preserve">I10_DX1K921        K921   1.442831</w:t>
      </w:r>
      <w:r>
        <w:br/>
      </w:r>
      <w:r>
        <w:rPr>
          <w:rStyle w:val="VerbatimChar"/>
        </w:rPr>
        <w:t xml:space="preserve">I10_DX1I130        I130   1.407328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doi.org/10.1016/j.surg.2019.06.0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doi.org/10.1016/j.surg.2019.06.0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Nationwide Analysis of 30-Day Readmission After Bariatric Surgery in Patients With Ischemic Heart Disease, Heart Failure, or Cardiomyopathy</dc:title>
  <dc:creator>Muhammad Saad; Shurjeel Uddin Qazi</dc:creator>
  <cp:keywords/>
  <dcterms:created xsi:type="dcterms:W3CDTF">2025-07-27T09:42:01Z</dcterms:created>
  <dcterms:modified xsi:type="dcterms:W3CDTF">2025-07-27T09:42:01Z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A25</vt:lpwstr>
  </property>
  <property fmtid="{D5CDD505-2E9C-101B-9397-08002B2CF9AE}" pid="12" name="toc-title">
    <vt:lpwstr>Table of contents</vt:lpwstr>
  </property>
</Properties>
</file>