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Thirty-Day</w:t>
      </w:r>
      <w:r>
        <w:t xml:space="preserve"> </w:t>
      </w:r>
      <w:r>
        <w:t xml:space="preserve">Readmission</w:t>
      </w:r>
      <w:r>
        <w:t xml:space="preserve"> </w:t>
      </w:r>
      <w:r>
        <w:t xml:space="preserve">After</w:t>
      </w:r>
      <w:r>
        <w:t xml:space="preserve"> </w:t>
      </w:r>
      <w:r>
        <w:t xml:space="preserve">Coronary</w:t>
      </w:r>
      <w:r>
        <w:t xml:space="preserve"> </w:t>
      </w:r>
      <w:r>
        <w:t xml:space="preserve">Artery</w:t>
      </w:r>
      <w:r>
        <w:t xml:space="preserve"> </w:t>
      </w:r>
      <w:r>
        <w:t xml:space="preserve">Bypass</w:t>
      </w:r>
      <w:r>
        <w:t xml:space="preserve"> </w:t>
      </w:r>
      <w:r>
        <w:t xml:space="preserve">Grafting</w:t>
      </w:r>
      <w:r>
        <w:t xml:space="preserve"> </w:t>
      </w:r>
      <w:r>
        <w:t xml:space="preserve">in</w:t>
      </w:r>
      <w:r>
        <w:t xml:space="preserve"> </w:t>
      </w:r>
      <w:r>
        <w:t xml:space="preserve">Patients</w:t>
      </w:r>
      <w:r>
        <w:t xml:space="preserve"> </w:t>
      </w:r>
      <w:r>
        <w:t xml:space="preserve">With</w:t>
      </w:r>
      <w:r>
        <w:t xml:space="preserve"> </w:t>
      </w:r>
      <w:r>
        <w:t xml:space="preserve">Obesity:</w:t>
      </w:r>
      <w:r>
        <w:t xml:space="preserve"> </w:t>
      </w:r>
      <w:r>
        <w:t xml:space="preserve">A</w:t>
      </w:r>
      <w:r>
        <w:t xml:space="preserve"> </w:t>
      </w:r>
      <w:r>
        <w:t xml:space="preserve">Nationwide</w:t>
      </w:r>
      <w:r>
        <w:t xml:space="preserve"> </w:t>
      </w:r>
      <w:r>
        <w:t xml:space="preserve">Analysis</w:t>
      </w:r>
    </w:p>
    <w:p>
      <w:pPr>
        <w:pStyle w:val="Subtitle"/>
      </w:pPr>
      <w:r>
        <w:t xml:space="preserve">RCOP</w:t>
      </w:r>
      <w:r>
        <w:t xml:space="preserve"> </w:t>
      </w:r>
      <w:r>
        <w:t xml:space="preserve">NRD</w:t>
      </w:r>
      <w:r>
        <w:t xml:space="preserve"> </w:t>
      </w:r>
      <w:r>
        <w:t xml:space="preserve">A28</w:t>
      </w:r>
      <w:r>
        <w:t xml:space="preserve"> </w:t>
      </w:r>
      <w:r>
        <w:t xml:space="preserve">—</w:t>
      </w:r>
      <w:r>
        <w:t xml:space="preserve"> </w:t>
      </w:r>
      <w:r>
        <w:t xml:space="preserve">rebuilt</w:t>
      </w:r>
      <w:r>
        <w:t xml:space="preserve"> </w:t>
      </w:r>
      <w:r>
        <w:t xml:space="preserve">analysis</w:t>
      </w:r>
      <w:r>
        <w:t xml:space="preserve"> </w:t>
      </w:r>
      <w:r>
        <w:t xml:space="preserve">(v2),</w:t>
      </w:r>
      <w:r>
        <w:t xml:space="preserve"> </w:t>
      </w:r>
      <w:r>
        <w:t xml:space="preserve">Nationwide</w:t>
      </w:r>
      <w:r>
        <w:t xml:space="preserve"> </w:t>
      </w:r>
      <w:r>
        <w:t xml:space="preserve">Readmissions</w:t>
      </w:r>
      <w:r>
        <w:t xml:space="preserve"> </w:t>
      </w:r>
      <w:r>
        <w:t xml:space="preserve">Database</w:t>
      </w:r>
      <w:r>
        <w:t xml:space="preserve"> </w:t>
      </w:r>
      <w:r>
        <w:t xml:space="preserve">2016–2017</w:t>
      </w:r>
    </w:p>
    <w:p>
      <w:pPr>
        <w:pStyle w:val="Author"/>
      </w:pPr>
      <w:r>
        <w:t xml:space="preserve">Muhammad</w:t>
      </w:r>
      <w:r>
        <w:t xml:space="preserve"> </w:t>
      </w:r>
      <w:r>
        <w:t xml:space="preserve">Saad</w:t>
      </w:r>
    </w:p>
    <w:p>
      <w:pPr>
        <w:pStyle w:val="Author"/>
      </w:pPr>
      <w:r>
        <w:t xml:space="preserve">Adeena</w:t>
      </w:r>
      <w:r>
        <w:t xml:space="preserve"> </w:t>
      </w:r>
      <w:r>
        <w:t xml:space="preserve">Jamil</w:t>
      </w:r>
    </w:p>
    <w:bookmarkStart w:id="27" w:name="preamble"/>
    <w:p>
      <w:pPr>
        <w:pStyle w:val="Heading2"/>
      </w:pPr>
      <w:r>
        <w:t xml:space="preserve">Preamble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To estimate the national 30-day all-cause readmission rate after</w:t>
      </w:r>
      <w:r>
        <w:t xml:space="preserve"> </w:t>
      </w:r>
      <w:r>
        <w:t xml:space="preserve">coronary artery bypass grafting (CABG) in adults with obesity, to describe</w:t>
      </w:r>
      <w:r>
        <w:t xml:space="preserve"> </w:t>
      </w:r>
      <w:r>
        <w:t xml:space="preserve">in-hospital complications and resource use at the index and readmission</w:t>
      </w:r>
      <w:r>
        <w:t xml:space="preserve"> </w:t>
      </w:r>
      <w:r>
        <w:t xml:space="preserve">hospitalizations, to identify the causes of readmission, and to identify</w:t>
      </w:r>
      <w:r>
        <w:t xml:space="preserve"> </w:t>
      </w:r>
      <w:r>
        <w:t xml:space="preserve">independent predictors of readmission.</w:t>
      </w:r>
    </w:p>
    <w:p>
      <w:pPr>
        <w:pStyle w:val="BodyText"/>
      </w:pPr>
      <w:r>
        <w:rPr>
          <w:b/>
          <w:bCs/>
        </w:rPr>
        <w:t xml:space="preserve">Data source.</w:t>
      </w:r>
      <w:r>
        <w:t xml:space="preserve"> </w:t>
      </w:r>
      <w:r>
        <w:t xml:space="preserve">Retrospective cohort study using the 2016 and 2017 Nationwide</w:t>
      </w:r>
      <w:r>
        <w:t xml:space="preserve"> </w:t>
      </w:r>
      <w:r>
        <w:t xml:space="preserve">Readmissions Database (NRD), sponsored by the Agency for Healthcare Research</w:t>
      </w:r>
      <w:r>
        <w:t xml:space="preserve"> </w:t>
      </w:r>
      <w:r>
        <w:t xml:space="preserve">and Quality’s Healthcare Cost and Utilization Project (HCUP). The NRD is a</w:t>
      </w:r>
      <w:r>
        <w:t xml:space="preserve"> </w:t>
      </w:r>
      <w:r>
        <w:t xml:space="preserve">nationally representative, all-payer database of U.S. hospital discharges that</w:t>
      </w:r>
      <w:r>
        <w:t xml:space="preserve"> </w:t>
      </w:r>
      <w:r>
        <w:t xml:space="preserve">permits tracking of a patient’s readmissions to any hospital within the same</w:t>
      </w:r>
      <w:r>
        <w:t xml:space="preserve"> </w:t>
      </w:r>
      <w:r>
        <w:t xml:space="preserve">state across a calendar year, using verified patient linkage numbers.</w:t>
      </w:r>
      <w:r>
        <w:t xml:space="preserve"> </w:t>
      </w:r>
      <w:r>
        <w:t xml:space="preserve">Discharge weights, stratum identifiers and hospital clusters supplied with the</w:t>
      </w:r>
      <w:r>
        <w:t xml:space="preserve"> </w:t>
      </w:r>
      <w:r>
        <w:t xml:space="preserve">database were used for all estimates.</w:t>
      </w:r>
    </w:p>
    <w:bookmarkStart w:id="20" w:name="study-population"/>
    <w:p>
      <w:pPr>
        <w:pStyle w:val="Heading3"/>
      </w:pPr>
      <w:r>
        <w:t xml:space="preserve">Study population</w:t>
      </w:r>
    </w:p>
    <w:p>
      <w:pPr>
        <w:pStyle w:val="FirstParagraph"/>
      </w:pPr>
      <w:r>
        <w:t xml:space="preserve">Index hospitalizations were adults (age ≥ 18 years) who underwent CABG and who</w:t>
      </w:r>
      <w:r>
        <w:t xml:space="preserve"> </w:t>
      </w:r>
      <w:r>
        <w:t xml:space="preserve">carried a diagnosis of obesity. Both criteria had to be met.</w:t>
      </w:r>
    </w:p>
    <w:p>
      <w:pPr>
        <w:pStyle w:val="BodyText"/>
      </w:pPr>
      <w:r>
        <w:rPr>
          <w:i/>
          <w:iCs/>
        </w:rPr>
        <w:t xml:space="preserve">1. CABG</w:t>
      </w:r>
      <w:r>
        <w:t xml:space="preserve">, identified by ICD-10-PCS code in any procedure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Sites bypassed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ICD-10-PCS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coronary artery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0210xxx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0211xxx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0212xxx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or more 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0213xxx</w:t>
            </w:r>
          </w:p>
        </w:tc>
      </w:tr>
    </w:tbl>
    <w:p>
      <w:pPr>
        <w:pStyle w:val="BodyText"/>
      </w:pPr>
      <w:r>
        <w:t xml:space="preserve">The previously submitted methods section stated that CABG was identified by</w:t>
      </w:r>
      <w:r>
        <w:t xml:space="preserve"> </w:t>
      </w:r>
      <w:r>
        <w:t xml:space="preserve">“</w:t>
      </w:r>
      <w:r>
        <w:t xml:space="preserve">codes beginning with 0210</w:t>
      </w:r>
      <w:r>
        <w:t xml:space="preserve">”</w:t>
      </w:r>
      <w:r>
        <w:t xml:space="preserve">, which describes single-vessel bypass only. The</w:t>
      </w:r>
      <w:r>
        <w:t xml:space="preserve"> </w:t>
      </w:r>
      <w:r>
        <w:t xml:space="preserve">code list actually applied covered</w:t>
      </w:r>
      <w:r>
        <w:t xml:space="preserve"> </w:t>
      </w:r>
      <w:r>
        <w:rPr>
          <w:rStyle w:val="VerbatimChar"/>
        </w:rPr>
        <w:t xml:space="preserve">0210</w:t>
      </w:r>
      <w:r>
        <w:t xml:space="preserve">–</w:t>
      </w:r>
      <w:r>
        <w:rPr>
          <w:rStyle w:val="VerbatimChar"/>
        </w:rPr>
        <w:t xml:space="preserve">0213</w:t>
      </w:r>
      <w:r>
        <w:t xml:space="preserve">; the methods text was wrong,</w:t>
      </w:r>
      <w:r>
        <w:t xml:space="preserve"> </w:t>
      </w:r>
      <w:r>
        <w:t xml:space="preserve">not the cohort. The full family is stated here.</w:t>
      </w:r>
    </w:p>
    <w:p>
      <w:pPr>
        <w:pStyle w:val="BodyText"/>
      </w:pPr>
      <w:r>
        <w:rPr>
          <w:i/>
          <w:iCs/>
        </w:rPr>
        <w:t xml:space="preserve">2. Obesity</w:t>
      </w:r>
      <w:r>
        <w:t xml:space="preserve">, identified by ICD-10-CM code in any diagnosis field:</w:t>
      </w:r>
      <w:r>
        <w:t xml:space="preserve"> </w:t>
      </w:r>
      <w:r>
        <w:rPr>
          <w:rStyle w:val="VerbatimChar"/>
        </w:rPr>
        <w:t xml:space="preserve">E66.0x</w:t>
      </w:r>
      <w:r>
        <w:t xml:space="preserve">,</w:t>
      </w:r>
      <w:r>
        <w:t xml:space="preserve"> </w:t>
      </w:r>
      <w:r>
        <w:rPr>
          <w:rStyle w:val="VerbatimChar"/>
        </w:rPr>
        <w:t xml:space="preserve">E66.1</w:t>
      </w:r>
      <w:r>
        <w:t xml:space="preserve">,</w:t>
      </w:r>
      <w:r>
        <w:t xml:space="preserve"> </w:t>
      </w:r>
      <w:r>
        <w:rPr>
          <w:rStyle w:val="VerbatimChar"/>
        </w:rPr>
        <w:t xml:space="preserve">E66.2</w:t>
      </w:r>
      <w:r>
        <w:t xml:space="preserve">,</w:t>
      </w:r>
      <w:r>
        <w:t xml:space="preserve"> </w:t>
      </w:r>
      <w:r>
        <w:rPr>
          <w:rStyle w:val="VerbatimChar"/>
        </w:rPr>
        <w:t xml:space="preserve">E66.8x</w:t>
      </w:r>
      <w:r>
        <w:t xml:space="preserve">,</w:t>
      </w:r>
      <w:r>
        <w:t xml:space="preserve"> </w:t>
      </w:r>
      <w:r>
        <w:rPr>
          <w:rStyle w:val="VerbatimChar"/>
        </w:rPr>
        <w:t xml:space="preserve">E66.9</w:t>
      </w:r>
      <w:r>
        <w:t xml:space="preserve"> </w:t>
      </w:r>
      <w:r>
        <w:t xml:space="preserve">(obesity), or</w:t>
      </w:r>
      <w:r>
        <w:t xml:space="preserve"> </w:t>
      </w:r>
      <w:r>
        <w:rPr>
          <w:rStyle w:val="VerbatimChar"/>
        </w:rPr>
        <w:t xml:space="preserve">Z68.3x</w:t>
      </w:r>
      <w:r>
        <w:t xml:space="preserve">/</w:t>
      </w:r>
      <w:r>
        <w:rPr>
          <w:rStyle w:val="VerbatimChar"/>
        </w:rPr>
        <w:t xml:space="preserve">Z68.4x</w:t>
      </w:r>
      <w:r>
        <w:t xml:space="preserve"> </w:t>
      </w:r>
      <w:r>
        <w:t xml:space="preserve">(body mass</w:t>
      </w:r>
      <w:r>
        <w:t xml:space="preserve"> </w:t>
      </w:r>
      <w:r>
        <w:t xml:space="preserve">index ≥ 30).</w:t>
      </w:r>
      <w:r>
        <w:t xml:space="preserve"> </w:t>
      </w:r>
      <w:r>
        <w:rPr>
          <w:rStyle w:val="VerbatimChar"/>
        </w:rPr>
        <w:t xml:space="preserve">E66.3</w:t>
      </w:r>
      <w:r>
        <w:t xml:space="preserve"> </w:t>
      </w:r>
      <w:r>
        <w:t xml:space="preserve">(overweight, BMI 25.0–29.9) is explicitly excluded.</w:t>
      </w:r>
    </w:p>
    <w:bookmarkEnd w:id="20"/>
    <w:bookmarkStart w:id="21" w:name="operative-detail-reviewer-2"/>
    <w:p>
      <w:pPr>
        <w:pStyle w:val="Heading3"/>
      </w:pPr>
      <w:r>
        <w:t xml:space="preserve">Operative detail (reviewer #2)</w:t>
      </w:r>
    </w:p>
    <w:p>
      <w:pPr>
        <w:pStyle w:val="FirstParagraph"/>
      </w:pPr>
      <w:r>
        <w:t xml:space="preserve">Reviewer #2 asked for</w:t>
      </w:r>
      <w:r>
        <w:t xml:space="preserve"> </w:t>
      </w:r>
      <w:r>
        <w:t xml:space="preserve">“</w:t>
      </w:r>
      <w:r>
        <w:t xml:space="preserve">the details of surgical procedure, operation time, CPB</w:t>
      </w:r>
      <w:r>
        <w:t xml:space="preserve"> </w:t>
      </w:r>
      <w:r>
        <w:t xml:space="preserve">time, blood loss, ventilation time, pulmonary complication and so on</w:t>
      </w:r>
      <w:r>
        <w:t xml:space="preserve">”</w:t>
      </w:r>
      <w:r>
        <w:t xml:space="preserve">. The NRD</w:t>
      </w:r>
      <w:r>
        <w:t xml:space="preserve"> </w:t>
      </w:r>
      <w:r>
        <w:t xml:space="preserve">is an administrative discharge database and carries no operative times, no</w:t>
      </w:r>
      <w:r>
        <w:t xml:space="preserve"> </w:t>
      </w:r>
      <w:r>
        <w:t xml:space="preserve">cardiopulmonary bypass duration and no measured blood loss; those variables do</w:t>
      </w:r>
      <w:r>
        <w:t xml:space="preserve"> </w:t>
      </w:r>
      <w:r>
        <w:t xml:space="preserve">not exist in any HCUP product and cannot be recovered. What the ICD-10-PCS code</w:t>
      </w:r>
      <w:r>
        <w:t xml:space="preserve"> </w:t>
      </w:r>
      <w:r>
        <w:t xml:space="preserve">string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carry has been extracted in full and is now reported in Table 1</w:t>
      </w:r>
      <w:r>
        <w:t xml:space="preserve"> </w:t>
      </w:r>
      <w:r>
        <w:t xml:space="preserve">and used for subgroup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coronary sites bypassed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 PCS character (</w:t>
            </w:r>
            <w:r>
              <w:rPr>
                <w:rStyle w:val="VerbatimChar"/>
              </w:rPr>
              <w:t xml:space="preserve">0</w:t>
            </w:r>
            <w:r>
              <w:t xml:space="preserve">=1,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=2,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=3,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=4 or more)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Graft conduit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 PCS character (</w:t>
            </w:r>
            <w:r>
              <w:rPr>
                <w:rStyle w:val="VerbatimChar"/>
              </w:rPr>
              <w:t xml:space="preserve">9</w:t>
            </w:r>
            <w:r>
              <w:t xml:space="preserve"> </w:t>
            </w:r>
            <w:r>
              <w:t xml:space="preserve">= autologous venous,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= autologous arterial)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mammary / thoracic artery graft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 PCS character ∈ {</w:t>
            </w:r>
            <w:r>
              <w:rPr>
                <w:rStyle w:val="VerbatimChar"/>
              </w:rPr>
              <w:t xml:space="preserve">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Cardiopulmonary bypass (on- vs off-pump)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of</w:t>
            </w:r>
            <w:r>
              <w:t xml:space="preserve"> </w:t>
            </w:r>
            <w:r>
              <w:rPr>
                <w:rStyle w:val="VerbatimChar"/>
              </w:rPr>
              <w:t xml:space="preserve">5A1221Z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Concomitant valve 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02[QRUN][FGHJ]</w:t>
            </w:r>
            <w:r>
              <w:t xml:space="preserve"> </w:t>
            </w:r>
            <w:r>
              <w:t xml:space="preserve">(repair, replacement, supplement or release of the aortic, mitral, pulmonary or tricuspid valve)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Prolonged mechanical ventilation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5A1955Z</w:t>
            </w:r>
            <w:r>
              <w:t xml:space="preserve"> </w:t>
            </w:r>
            <w:r>
              <w:t xml:space="preserve">(≥ 96 consecutive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blood cell transfusion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302[34][03]N*</w:t>
            </w:r>
          </w:p>
        </w:tc>
      </w:tr>
    </w:tbl>
    <w:bookmarkEnd w:id="21"/>
    <w:bookmarkStart w:id="22" w:name="obesity-class"/>
    <w:p>
      <w:pPr>
        <w:pStyle w:val="Heading3"/>
      </w:pPr>
      <w:r>
        <w:t xml:space="preserve">Obesity class</w:t>
      </w:r>
    </w:p>
    <w:p>
      <w:pPr>
        <w:pStyle w:val="FirstParagraph"/>
      </w:pPr>
      <w:r>
        <w:t xml:space="preserve">The previously submitted methods stated that stratification by obesity class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not feasible, as direct BMI values were not available</w:t>
      </w:r>
      <w:r>
        <w:t xml:space="preserve">”</w:t>
      </w:r>
      <w:r>
        <w:t xml:space="preserve">. That is incorrect.</w:t>
      </w:r>
      <w:r>
        <w:t xml:space="preserve"> </w:t>
      </w:r>
      <w:r>
        <w:t xml:space="preserve">The ICD-10-CM Z68 code family encodes measured body mass index to within</w:t>
      </w:r>
      <w:r>
        <w:t xml:space="preserve"> </w:t>
      </w:r>
      <w:r>
        <w:t xml:space="preserve">1 kg/m². Patients were classified 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I</w:t>
      </w:r>
      <w:r>
        <w:t xml:space="preserve"> </w:t>
      </w:r>
      <w:r>
        <w:t xml:space="preserve">(BMI 30.0–34.9):</w:t>
      </w:r>
      <w:r>
        <w:t xml:space="preserve"> </w:t>
      </w:r>
      <w:r>
        <w:rPr>
          <w:rStyle w:val="VerbatimChar"/>
        </w:rPr>
        <w:t xml:space="preserve">Z68.30</w:t>
      </w:r>
      <w:r>
        <w:t xml:space="preserve">–</w:t>
      </w:r>
      <w:r>
        <w:rPr>
          <w:rStyle w:val="VerbatimChar"/>
        </w:rPr>
        <w:t xml:space="preserve">Z68.34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II</w:t>
      </w:r>
      <w:r>
        <w:t xml:space="preserve"> </w:t>
      </w:r>
      <w:r>
        <w:t xml:space="preserve">(BMI 35.0–39.9):</w:t>
      </w:r>
      <w:r>
        <w:t xml:space="preserve"> </w:t>
      </w:r>
      <w:r>
        <w:rPr>
          <w:rStyle w:val="VerbatimChar"/>
        </w:rPr>
        <w:t xml:space="preserve">Z68.35</w:t>
      </w:r>
      <w:r>
        <w:t xml:space="preserve">–</w:t>
      </w:r>
      <w:r>
        <w:rPr>
          <w:rStyle w:val="VerbatimChar"/>
        </w:rPr>
        <w:t xml:space="preserve">Z68.39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III</w:t>
      </w:r>
      <w:r>
        <w:t xml:space="preserve"> </w:t>
      </w:r>
      <w:r>
        <w:t xml:space="preserve">(BMI ≥ 40):</w:t>
      </w:r>
      <w:r>
        <w:t xml:space="preserve"> </w:t>
      </w:r>
      <w:r>
        <w:rPr>
          <w:rStyle w:val="VerbatimChar"/>
        </w:rPr>
        <w:t xml:space="preserve">Z68.41</w:t>
      </w:r>
      <w:r>
        <w:t xml:space="preserve">–</w:t>
      </w:r>
      <w:r>
        <w:rPr>
          <w:rStyle w:val="VerbatimChar"/>
        </w:rPr>
        <w:t xml:space="preserve">Z68.45</w:t>
      </w:r>
      <w:r>
        <w:t xml:space="preserve">,</w:t>
      </w:r>
      <w:r>
        <w:t xml:space="preserve"> </w:t>
      </w:r>
      <w:r>
        <w:rPr>
          <w:rStyle w:val="VerbatimChar"/>
        </w:rPr>
        <w:t xml:space="preserve">E66.01</w:t>
      </w:r>
      <w:r>
        <w:t xml:space="preserve">,</w:t>
      </w:r>
      <w:r>
        <w:t xml:space="preserve"> </w:t>
      </w:r>
      <w:r>
        <w:rPr>
          <w:rStyle w:val="VerbatimChar"/>
        </w:rPr>
        <w:t xml:space="preserve">E66.2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Unspecified</w:t>
      </w:r>
      <w:r>
        <w:t xml:space="preserve">: obesity coded without a BMI code</w:t>
      </w:r>
    </w:p>
    <w:p>
      <w:pPr>
        <w:pStyle w:val="FirstParagraph"/>
      </w:pPr>
      <w:r>
        <w:t xml:space="preserve">Where more than one band was coded on the same stay the most severe was kept.</w:t>
      </w:r>
      <w:r>
        <w:t xml:space="preserve"> </w:t>
      </w:r>
      <w:r>
        <w:t xml:space="preserve">Sensitivity analysis S6 repeats the class analysis using the</w:t>
      </w:r>
      <w:r>
        <w:t xml:space="preserve"> </w:t>
      </w:r>
      <w:r>
        <w:rPr>
          <w:rStyle w:val="VerbatimChar"/>
        </w:rPr>
        <w:t xml:space="preserve">Z68</w:t>
      </w:r>
      <w:r>
        <w:t xml:space="preserve"> </w:t>
      </w:r>
      <w:r>
        <w:t xml:space="preserve">codes alone.</w:t>
      </w:r>
    </w:p>
    <w:bookmarkEnd w:id="22"/>
    <w:bookmarkStart w:id="23" w:name="X615cc9b7efd36593fce0d37f2cea36bc9763be5"/>
    <w:p>
      <w:pPr>
        <w:pStyle w:val="Heading3"/>
      </w:pPr>
      <w:r>
        <w:t xml:space="preserve">In-hospital complications (reviewers #1 and #2)</w:t>
      </w:r>
    </w:p>
    <w:p>
      <w:pPr>
        <w:pStyle w:val="FirstParagraph"/>
      </w:pPr>
      <w:r>
        <w:t xml:space="preserve">Reviewer #1 asked what</w:t>
      </w:r>
      <w:r>
        <w:t xml:space="preserve"> </w:t>
      </w:r>
      <w:r>
        <w:t xml:space="preserve">“</w:t>
      </w:r>
      <w:r>
        <w:t xml:space="preserve">exact thresholds or criteria determined whether a case</w:t>
      </w:r>
      <w:r>
        <w:t xml:space="preserve"> </w:t>
      </w:r>
      <w:r>
        <w:t xml:space="preserve">of bleeding or infection was included or excluded</w:t>
      </w:r>
      <w:r>
        <w:t xml:space="preserve">”</w:t>
      </w:r>
      <w:r>
        <w:t xml:space="preserve">. Reviewer #2 noted that only</w:t>
      </w:r>
      <w:r>
        <w:t xml:space="preserve"> </w:t>
      </w:r>
      <w:r>
        <w:t xml:space="preserve">four postoperative factors were presented. Twenty-one individual complications,</w:t>
      </w:r>
      <w:r>
        <w:t xml:space="preserve"> </w:t>
      </w:r>
      <w:r>
        <w:t xml:space="preserve">grouped into six composites, are now reported with their complete code</w:t>
      </w:r>
      <w:r>
        <w:t xml:space="preserve"> </w:t>
      </w:r>
      <w:r>
        <w:t xml:space="preserve">definitions.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(ICD-10-CM unless marked PCS)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Postprocedural haemorrhage or haematoma by organ system:</w:t>
            </w:r>
            <w:r>
              <w:t xml:space="preserve"> </w:t>
            </w:r>
            <w:r>
              <w:rPr>
                <w:rStyle w:val="VerbatimChar"/>
              </w:rPr>
              <w:t xml:space="preserve">D78.2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D78.3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E89.81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E89.82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G97.5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G97.6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I97.41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I97.42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I97.61</w:t>
            </w:r>
            <w:r>
              <w:t xml:space="preserve">–</w:t>
            </w:r>
            <w:r>
              <w:rPr>
                <w:rStyle w:val="VerbatimChar"/>
              </w:rPr>
              <w:t xml:space="preserve">I97.63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J95.83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J95.86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K91.84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K91.87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L76.2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L76.3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M96.83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M96.84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N99.82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N99.84</w:t>
            </w:r>
            <w:r>
              <w:t xml:space="preserve">; plus haemopericardium / pericardial effusion / tamponade</w:t>
            </w:r>
            <w:r>
              <w:t xml:space="preserve"> </w:t>
            </w:r>
            <w:r>
              <w:rPr>
                <w:rStyle w:val="VerbatimChar"/>
              </w:rPr>
              <w:t xml:space="preserve">I31.2</w:t>
            </w:r>
            <w:r>
              <w:t xml:space="preserve">–</w:t>
            </w:r>
            <w:r>
              <w:rPr>
                <w:rStyle w:val="VerbatimChar"/>
              </w:rPr>
              <w:t xml:space="preserve">I31.4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Infectious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Postprocedural infection</w:t>
            </w:r>
            <w:r>
              <w:t xml:space="preserve"> </w:t>
            </w:r>
            <w:r>
              <w:rPr>
                <w:rStyle w:val="VerbatimChar"/>
              </w:rPr>
              <w:t xml:space="preserve">T81.4x</w:t>
            </w:r>
            <w:r>
              <w:t xml:space="preserve"> </w:t>
            </w:r>
            <w:r>
              <w:t xml:space="preserve">(includes sternal wound infection); sepsis</w:t>
            </w:r>
            <w:r>
              <w:t xml:space="preserve"> </w:t>
            </w:r>
            <w:r>
              <w:rPr>
                <w:rStyle w:val="VerbatimChar"/>
              </w:rPr>
              <w:t xml:space="preserve">A40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A41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R65.2</w:t>
            </w:r>
            <w:r>
              <w:t xml:space="preserve">; pneumonia</w:t>
            </w:r>
            <w:r>
              <w:t xml:space="preserve"> </w:t>
            </w:r>
            <w:r>
              <w:rPr>
                <w:rStyle w:val="VerbatimChar"/>
              </w:rPr>
              <w:t xml:space="preserve">J12</w:t>
            </w:r>
            <w:r>
              <w:t xml:space="preserve">–</w:t>
            </w:r>
            <w:r>
              <w:rPr>
                <w:rStyle w:val="VerbatimChar"/>
              </w:rPr>
              <w:t xml:space="preserve">J18</w:t>
            </w:r>
            <w:r>
              <w:t xml:space="preserve">; mediastinitis</w:t>
            </w:r>
            <w:r>
              <w:t xml:space="preserve"> </w:t>
            </w:r>
            <w:r>
              <w:rPr>
                <w:rStyle w:val="VerbatimChar"/>
              </w:rPr>
              <w:t xml:space="preserve">J98.51</w:t>
            </w:r>
            <w:r>
              <w:t xml:space="preserve">; wound disruption</w:t>
            </w:r>
            <w:r>
              <w:t xml:space="preserve"> </w:t>
            </w:r>
            <w:r>
              <w:rPr>
                <w:rStyle w:val="VerbatimChar"/>
              </w:rPr>
              <w:t xml:space="preserve">T81.3x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kidney injury</w:t>
            </w:r>
            <w:r>
              <w:t xml:space="preserve"> </w:t>
            </w:r>
            <w:r>
              <w:rPr>
                <w:rStyle w:val="VerbatimChar"/>
              </w:rPr>
              <w:t xml:space="preserve">N17</w:t>
            </w:r>
            <w:r>
              <w:t xml:space="preserve">; renal replacement therapy PCS</w:t>
            </w:r>
            <w:r>
              <w:t xml:space="preserve"> </w:t>
            </w:r>
            <w:r>
              <w:rPr>
                <w:rStyle w:val="VerbatimChar"/>
              </w:rPr>
              <w:t xml:space="preserve">5A1D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Pulmonary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respiratory failure</w:t>
            </w:r>
            <w:r>
              <w:t xml:space="preserve"> </w:t>
            </w:r>
            <w:r>
              <w:rPr>
                <w:rStyle w:val="VerbatimChar"/>
              </w:rPr>
              <w:t xml:space="preserve">J96.0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J96.2</w:t>
            </w:r>
            <w:r>
              <w:t xml:space="preserve">; pleural effusion</w:t>
            </w:r>
            <w:r>
              <w:t xml:space="preserve"> </w:t>
            </w:r>
            <w:r>
              <w:rPr>
                <w:rStyle w:val="VerbatimChar"/>
              </w:rPr>
              <w:t xml:space="preserve">J90</w:t>
            </w:r>
            <w:r>
              <w:t xml:space="preserve">; mechanical ventilation ≥ 96 h PCS</w:t>
            </w:r>
            <w:r>
              <w:t xml:space="preserve"> </w:t>
            </w:r>
            <w:r>
              <w:rPr>
                <w:rStyle w:val="VerbatimChar"/>
              </w:rPr>
              <w:t xml:space="preserve">5A1955Z</w:t>
            </w:r>
            <w:r>
              <w:t xml:space="preserve">; tracheostomy PCS</w:t>
            </w:r>
            <w:r>
              <w:t xml:space="preserve"> </w:t>
            </w:r>
            <w:r>
              <w:rPr>
                <w:rStyle w:val="VerbatimChar"/>
              </w:rPr>
              <w:t xml:space="preserve">0B11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Cardiac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Atrial fibrillation/flutter</w:t>
            </w:r>
            <w:r>
              <w:t xml:space="preserve"> </w:t>
            </w:r>
            <w:r>
              <w:rPr>
                <w:rStyle w:val="VerbatimChar"/>
              </w:rPr>
              <w:t xml:space="preserve">I48</w:t>
            </w:r>
            <w:r>
              <w:t xml:space="preserve">; cardiac arrest</w:t>
            </w:r>
            <w:r>
              <w:t xml:space="preserve"> </w:t>
            </w:r>
            <w:r>
              <w:rPr>
                <w:rStyle w:val="VerbatimChar"/>
              </w:rPr>
              <w:t xml:space="preserve">I46</w:t>
            </w:r>
            <w:r>
              <w:t xml:space="preserve">; cardiogenic shock</w:t>
            </w:r>
            <w:r>
              <w:t xml:space="preserve"> </w:t>
            </w:r>
            <w:r>
              <w:rPr>
                <w:rStyle w:val="VerbatimChar"/>
              </w:rPr>
              <w:t xml:space="preserve">R57.0</w:t>
            </w:r>
            <w:r>
              <w:t xml:space="preserve">; postprocedural myocardial infarction</w:t>
            </w:r>
            <w:r>
              <w:t xml:space="preserve"> </w:t>
            </w:r>
            <w:r>
              <w:rPr>
                <w:rStyle w:val="VerbatimChar"/>
              </w:rPr>
              <w:t xml:space="preserve">I97.190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I97.790</w:t>
            </w:r>
            <w:r>
              <w:t xml:space="preserve">; mechanical circulatory support PCS</w:t>
            </w:r>
            <w:r>
              <w:t xml:space="preserve"> </w:t>
            </w:r>
            <w:r>
              <w:rPr>
                <w:rStyle w:val="VerbatimChar"/>
              </w:rPr>
              <w:t xml:space="preserve">5A02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5A15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Neurologic / thromboembolic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Ischaemic stroke</w:t>
            </w:r>
            <w:r>
              <w:t xml:space="preserve"> </w:t>
            </w:r>
            <w:r>
              <w:rPr>
                <w:rStyle w:val="VerbatimChar"/>
              </w:rPr>
              <w:t xml:space="preserve">I63</w:t>
            </w:r>
            <w:r>
              <w:t xml:space="preserve">; venous thromboembolism</w:t>
            </w:r>
            <w:r>
              <w:t xml:space="preserve"> </w:t>
            </w:r>
            <w:r>
              <w:rPr>
                <w:rStyle w:val="VerbatimChar"/>
              </w:rPr>
              <w:t xml:space="preserve">I26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I80.1</w:t>
            </w:r>
            <w:r>
              <w:t xml:space="preserve">–</w:t>
            </w:r>
            <w:r>
              <w:rPr>
                <w:rStyle w:val="VerbatimChar"/>
              </w:rPr>
              <w:t xml:space="preserve">I80.3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I82.4</w:t>
            </w:r>
          </w:p>
        </w:tc>
      </w:tr>
    </w:tbl>
    <w:p>
      <w:pPr>
        <w:pStyle w:val="BodyText"/>
      </w:pPr>
      <w:r>
        <w:rPr>
          <w:b/>
          <w:bCs/>
        </w:rPr>
        <w:t xml:space="preserve">On present-on-admission status.</w:t>
      </w:r>
      <w:r>
        <w:t xml:space="preserve"> </w:t>
      </w:r>
      <w:r>
        <w:t xml:space="preserve">The NRD does not carry present-on-admission</w:t>
      </w:r>
      <w:r>
        <w:t xml:space="preserve"> </w:t>
      </w:r>
      <w:r>
        <w:t xml:space="preserve">indicators. The bleeding, infection and wound-complication families above</w:t>
      </w:r>
      <w:r>
        <w:t xml:space="preserve"> </w:t>
      </w:r>
      <w:r>
        <w:t xml:space="preserve">(</w:t>
      </w:r>
      <w:r>
        <w:rPr>
          <w:rStyle w:val="VerbatimChar"/>
        </w:rPr>
        <w:t xml:space="preserve">T81.x</w:t>
      </w:r>
      <w:r>
        <w:t xml:space="preserve">,</w:t>
      </w:r>
      <w:r>
        <w:t xml:space="preserve"> </w:t>
      </w:r>
      <w:r>
        <w:rPr>
          <w:rStyle w:val="VerbatimChar"/>
        </w:rPr>
        <w:t xml:space="preserve">I97.x</w:t>
      </w:r>
      <w:r>
        <w:t xml:space="preserve">,</w:t>
      </w:r>
      <w:r>
        <w:t xml:space="preserve"> </w:t>
      </w:r>
      <w:r>
        <w:rPr>
          <w:rStyle w:val="VerbatimChar"/>
        </w:rPr>
        <w:t xml:space="preserve">J95.x</w:t>
      </w:r>
      <w:r>
        <w:t xml:space="preserve">,</w:t>
      </w:r>
      <w:r>
        <w:t xml:space="preserve"> </w:t>
      </w:r>
      <w:r>
        <w:rPr>
          <w:rStyle w:val="VerbatimChar"/>
        </w:rPr>
        <w:t xml:space="preserve">K91.x</w:t>
      </w:r>
      <w:r>
        <w:t xml:space="preserve">,</w:t>
      </w:r>
      <w:r>
        <w:t xml:space="preserve"> </w:t>
      </w:r>
      <w:r>
        <w:rPr>
          <w:rStyle w:val="VerbatimChar"/>
        </w:rPr>
        <w:t xml:space="preserve">N99.82</w:t>
      </w:r>
      <w:r>
        <w:t xml:space="preserve">/</w:t>
      </w:r>
      <w:r>
        <w:rPr>
          <w:rStyle w:val="VerbatimChar"/>
        </w:rPr>
        <w:t xml:space="preserve">N99.84</w:t>
      </w:r>
      <w:r>
        <w:t xml:space="preserve">,</w:t>
      </w:r>
      <w:r>
        <w:t xml:space="preserve"> </w:t>
      </w:r>
      <w:r>
        <w:rPr>
          <w:rStyle w:val="VerbatimChar"/>
        </w:rPr>
        <w:t xml:space="preserve">G97.x</w:t>
      </w:r>
      <w:r>
        <w:t xml:space="preserve">,</w:t>
      </w:r>
      <w:r>
        <w:t xml:space="preserve"> </w:t>
      </w:r>
      <w:r>
        <w:rPr>
          <w:rStyle w:val="VerbatimChar"/>
        </w:rPr>
        <w:t xml:space="preserve">L76.x</w:t>
      </w:r>
      <w:r>
        <w:t xml:space="preserve">,</w:t>
      </w:r>
      <w:r>
        <w:t xml:space="preserve"> </w:t>
      </w:r>
      <w:r>
        <w:rPr>
          <w:rStyle w:val="VerbatimChar"/>
        </w:rPr>
        <w:t xml:space="preserve">M96.x</w:t>
      </w:r>
      <w:r>
        <w:t xml:space="preserve">,</w:t>
      </w:r>
      <w:r>
        <w:t xml:space="preserve"> </w:t>
      </w:r>
      <w:r>
        <w:rPr>
          <w:rStyle w:val="VerbatimChar"/>
        </w:rPr>
        <w:t xml:space="preserve">D78.x</w:t>
      </w:r>
      <w:r>
        <w:t xml:space="preserve">) are</w:t>
      </w:r>
      <w:r>
        <w:t xml:space="preserve"> </w:t>
      </w:r>
      <w:r>
        <w:rPr>
          <w:i/>
          <w:iCs/>
        </w:rPr>
        <w:t xml:space="preserve">postprocedural by definition</w:t>
      </w:r>
      <w:r>
        <w:t xml:space="preserve"> </w:t>
      </w:r>
      <w:r>
        <w:t xml:space="preserve">and therefore identify a</w:t>
      </w:r>
      <w:r>
        <w:t xml:space="preserve"> </w:t>
      </w:r>
      <w:r>
        <w:t xml:space="preserve">complication of care regardless of code position. The non-specific</w:t>
      </w:r>
      <w:r>
        <w:t xml:space="preserve"> </w:t>
      </w:r>
      <w:r>
        <w:t xml:space="preserve">complications (sepsis, pneumonia, atrial fibrillation, acute kidney injury,</w:t>
      </w:r>
      <w:r>
        <w:t xml:space="preserve"> </w:t>
      </w:r>
      <w:r>
        <w:t xml:space="preserve">stroke) are recorded on the CABG admission itself and so occurred during that</w:t>
      </w:r>
      <w:r>
        <w:t xml:space="preserve"> </w:t>
      </w:r>
      <w:r>
        <w:t xml:space="preserve">stay, but for these the code cannot distinguish a condition present at</w:t>
      </w:r>
      <w:r>
        <w:t xml:space="preserve"> </w:t>
      </w:r>
      <w:r>
        <w:t xml:space="preserve">admission from one arising after the operation. This is stated as a limitation.</w:t>
      </w:r>
    </w:p>
    <w:p>
      <w:pPr>
        <w:pStyle w:val="BodyText"/>
      </w:pPr>
      <w:r>
        <w:rPr>
          <w:b/>
          <w:bCs/>
        </w:rPr>
        <w:t xml:space="preserve">Myocardial infarction.</w:t>
      </w:r>
      <w:r>
        <w:t xml:space="preserve"> </w:t>
      </w:r>
      <w:r>
        <w:t xml:space="preserve">Acute myocardial infarction (</w:t>
      </w:r>
      <w:r>
        <w:rPr>
          <w:rStyle w:val="VerbatimChar"/>
        </w:rPr>
        <w:t xml:space="preserve">I21</w:t>
      </w:r>
      <w:r>
        <w:t xml:space="preserve">,</w:t>
      </w:r>
      <w:r>
        <w:t xml:space="preserve"> </w:t>
      </w:r>
      <w:r>
        <w:rPr>
          <w:rStyle w:val="VerbatimChar"/>
        </w:rPr>
        <w:t xml:space="preserve">I22</w:t>
      </w:r>
      <w:r>
        <w:t xml:space="preserve">) coded</w:t>
      </w:r>
      <w:r>
        <w:t xml:space="preserve"> </w:t>
      </w:r>
      <w:r>
        <w:t xml:space="preserve">anywhere on a CABG admission is, in the great majority of cases, the</w:t>
      </w:r>
      <w:r>
        <w:t xml:space="preserve"> </w:t>
      </w:r>
      <w:r>
        <w:rPr>
          <w:i/>
          <w:iCs/>
        </w:rPr>
        <w:t xml:space="preserve">indication</w:t>
      </w:r>
      <w:r>
        <w:t xml:space="preserve"> </w:t>
      </w:r>
      <w:r>
        <w:t xml:space="preserve">for the operation rather than a complication of it. It is</w:t>
      </w:r>
      <w:r>
        <w:t xml:space="preserve"> </w:t>
      </w:r>
      <w:r>
        <w:t xml:space="preserve">therefore reported in Table 1 as an index-admission descriptor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component of the cardiac complication composite. The complication itself is</w:t>
      </w:r>
      <w:r>
        <w:t xml:space="preserve"> </w:t>
      </w:r>
      <w:r>
        <w:t xml:space="preserve">identified by</w:t>
      </w:r>
      <w:r>
        <w:t xml:space="preserve"> </w:t>
      </w:r>
      <w:r>
        <w:rPr>
          <w:rStyle w:val="VerbatimChar"/>
        </w:rPr>
        <w:t xml:space="preserve">I97.190</w:t>
      </w:r>
      <w:r>
        <w:t xml:space="preserve"> </w:t>
      </w:r>
      <w:r>
        <w:t xml:space="preserve">(postprocedural myocardial infarction following cardiac</w:t>
      </w:r>
      <w:r>
        <w:t xml:space="preserve"> </w:t>
      </w:r>
      <w:r>
        <w:t xml:space="preserve">surgery) and</w:t>
      </w:r>
      <w:r>
        <w:t xml:space="preserve"> </w:t>
      </w:r>
      <w:r>
        <w:rPr>
          <w:rStyle w:val="VerbatimChar"/>
        </w:rPr>
        <w:t xml:space="preserve">I97.790</w:t>
      </w:r>
      <w:r>
        <w:t xml:space="preserve"> </w:t>
      </w:r>
      <w:r>
        <w:t xml:space="preserve">(postprocedural myocardial infarction during cardiac</w:t>
      </w:r>
      <w:r>
        <w:t xml:space="preserve"> </w:t>
      </w:r>
      <w:r>
        <w:t xml:space="preserve">surgery), the two codes to which the ICD-10-CM Alphabetic Index directs</w:t>
      </w:r>
      <w:r>
        <w:t xml:space="preserve"> </w:t>
      </w:r>
      <w:r>
        <w:t xml:space="preserve">“</w:t>
      </w:r>
      <w:r>
        <w:t xml:space="preserve">infarct, myocardium, associated with revascularization procedure</w:t>
      </w:r>
      <w:r>
        <w:t xml:space="preserve">”</w:t>
      </w:r>
      <w:r>
        <w:t xml:space="preserve">. Both are</w:t>
      </w:r>
      <w:r>
        <w:t xml:space="preserve"> </w:t>
      </w:r>
      <w:r>
        <w:t xml:space="preserve">postprocedural by definition and require no present-on-admission field, and</w:t>
      </w:r>
      <w:r>
        <w:t xml:space="preserve"> </w:t>
      </w:r>
      <w:r>
        <w:t xml:space="preserve">both have been valid since 1 October 2015, so they cover 2016–2017 in full.</w:t>
      </w:r>
      <w:r>
        <w:t xml:space="preserve"> </w:t>
      </w:r>
      <w:r>
        <w:rPr>
          <w:rStyle w:val="VerbatimChar"/>
        </w:rPr>
        <w:t xml:space="preserve">I21.A1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I21.A9</w:t>
      </w:r>
      <w:r>
        <w:t xml:space="preserve">, which would carry a type 2 or type 5 infarction, took</w:t>
      </w:r>
      <w:r>
        <w:t xml:space="preserve"> </w:t>
      </w:r>
      <w:r>
        <w:t xml:space="preserve">effect on 1 October 2017 and exist for only the final quarter of this window;</w:t>
      </w:r>
      <w:r>
        <w:t xml:space="preserve"> </w:t>
      </w:r>
      <w:r>
        <w:t xml:space="preserve">using them would make the rate a function of discharge date, so they are not</w:t>
      </w:r>
      <w:r>
        <w:t xml:space="preserve"> </w:t>
      </w:r>
      <w:r>
        <w:t xml:space="preserve">used and their unavailability is declared. These code titles are non-specific</w:t>
      </w:r>
      <w:r>
        <w:t xml:space="preserve"> </w:t>
      </w:r>
      <w:r>
        <w:t xml:space="preserve">(</w:t>
      </w:r>
      <w:r>
        <w:t xml:space="preserve">“</w:t>
      </w:r>
      <w:r>
        <w:t xml:space="preserve">other postprocedural cardiac functional disturbances</w:t>
      </w:r>
      <w:r>
        <w:t xml:space="preserve">”</w:t>
      </w:r>
      <w:r>
        <w:t xml:space="preserve">), and the resulting</w:t>
      </w:r>
      <w:r>
        <w:t xml:space="preserve"> </w:t>
      </w:r>
      <w:r>
        <w:t xml:space="preserve">rate is correspondingly conservative.</w:t>
      </w:r>
    </w:p>
    <w:p>
      <w:pPr>
        <w:pStyle w:val="BodyText"/>
      </w:pPr>
      <w:r>
        <w:rPr>
          <w:b/>
          <w:bCs/>
        </w:rPr>
        <w:t xml:space="preserve">Atrial fibrillation.</w:t>
      </w:r>
      <w:r>
        <w:t xml:space="preserve"> </w:t>
      </w:r>
      <w:r>
        <w:rPr>
          <w:rStyle w:val="VerbatimChar"/>
        </w:rPr>
        <w:t xml:space="preserve">I48</w:t>
      </w:r>
      <w:r>
        <w:t xml:space="preserve"> </w:t>
      </w:r>
      <w:r>
        <w:t xml:space="preserve">is reported once, in Table 2, as a component of</w:t>
      </w:r>
      <w:r>
        <w:t xml:space="preserve"> </w:t>
      </w:r>
      <w:r>
        <w:t xml:space="preserve">the cardiac complication composite. It was previously reported a second time in</w:t>
      </w:r>
      <w:r>
        <w:t xml:space="preserve"> </w:t>
      </w:r>
      <w:r>
        <w:t xml:space="preserve">Table 1 as a comorbidity, from the identical flag and therefore with identical</w:t>
      </w:r>
      <w:r>
        <w:t xml:space="preserve"> </w:t>
      </w:r>
      <w:r>
        <w:t xml:space="preserve">counts; that duplicate row has been removed. Because the NRD carries no</w:t>
      </w:r>
      <w:r>
        <w:t xml:space="preserve"> </w:t>
      </w:r>
      <w:r>
        <w:t xml:space="preserve">present-on-admission indicator,</w:t>
      </w:r>
      <w:r>
        <w:t xml:space="preserve"> </w:t>
      </w:r>
      <w:r>
        <w:rPr>
          <w:rStyle w:val="VerbatimChar"/>
        </w:rPr>
        <w:t xml:space="preserve">I48</w:t>
      </w:r>
      <w:r>
        <w:t xml:space="preserve"> </w:t>
      </w:r>
      <w:r>
        <w:t xml:space="preserve">on a CABG admission cannot be resolved</w:t>
      </w:r>
      <w:r>
        <w:t xml:space="preserve"> </w:t>
      </w:r>
      <w:r>
        <w:t xml:space="preserve">into pre-existing versus new post-operative atrial fibrillation, and the Table 2</w:t>
      </w:r>
      <w:r>
        <w:t xml:space="preserve"> </w:t>
      </w:r>
      <w:r>
        <w:t xml:space="preserve">row is labelled accordingly.</w:t>
      </w:r>
    </w:p>
    <w:bookmarkEnd w:id="23"/>
    <w:bookmarkStart w:id="24" w:name="denominators"/>
    <w:p>
      <w:pPr>
        <w:pStyle w:val="Heading3"/>
      </w:pPr>
      <w:r>
        <w:t xml:space="preserve">Denominators</w:t>
      </w:r>
    </w:p>
    <w:p>
      <w:pPr>
        <w:pStyle w:val="FirstParagraph"/>
      </w:pPr>
      <w:r>
        <w:t xml:space="preserve">Two nested denominators are used and are never mixed: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surgical cohort</w:t>
      </w:r>
      <w:r>
        <w:t xml:space="preserve"> </w:t>
      </w:r>
      <w:r>
        <w:t xml:space="preserve">is every hospitalization meeting both cohort criteria,</w:t>
      </w:r>
      <w:r>
        <w:t xml:space="preserve"> </w:t>
      </w:r>
      <w:r>
        <w:rPr>
          <w:i/>
          <w:iCs/>
        </w:rPr>
        <w:t xml:space="preserve">including</w:t>
      </w:r>
      <w:r>
        <w:t xml:space="preserve"> </w:t>
      </w:r>
      <w:r>
        <w:t xml:space="preserve">those ending in in-hospital death. All mortality and</w:t>
      </w:r>
      <w:r>
        <w:t xml:space="preserve"> </w:t>
      </w:r>
      <w:r>
        <w:t xml:space="preserve">index-complication figures are computed on this denominator.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index cohort</w:t>
      </w:r>
      <w:r>
        <w:t xml:space="preserve"> </w:t>
      </w:r>
      <w:r>
        <w:t xml:space="preserve">additionally excludes patients who died during the index</w:t>
      </w:r>
      <w:r>
        <w:t xml:space="preserve"> </w:t>
      </w:r>
      <w:r>
        <w:t xml:space="preserve">admission (they are not at risk of readmission) and discharges without a full</w:t>
      </w:r>
      <w:r>
        <w:t xml:space="preserve"> </w:t>
      </w:r>
      <w:r>
        <w:t xml:space="preserve">observable 30-day follow-up window inside the calendar year. All readmission</w:t>
      </w:r>
      <w:r>
        <w:t xml:space="preserve"> </w:t>
      </w:r>
      <w:r>
        <w:t xml:space="preserve">figures are computed on this denominator.</w:t>
      </w:r>
    </w:p>
    <w:p>
      <w:pPr>
        <w:pStyle w:val="FirstParagraph"/>
      </w:pPr>
      <w:r>
        <w:t xml:space="preserve">Excluding in-hospital deaths from the readmission denominator is what removes</w:t>
      </w:r>
      <w:r>
        <w:t xml:space="preserve"> </w:t>
      </w:r>
      <w:r>
        <w:t xml:space="preserve">death as a competing risk, rather than leaving it to be modelled (reviewer #4,</w:t>
      </w:r>
      <w:r>
        <w:t xml:space="preserve"> </w:t>
      </w:r>
      <w:r>
        <w:t xml:space="preserve">major comment 2). Cohort attrition at each step is reported in Table 0.</w:t>
      </w:r>
    </w:p>
    <w:p>
      <w:pPr>
        <w:pStyle w:val="BodyText"/>
      </w:pPr>
      <w:r>
        <w:t xml:space="preserve">Every column of every rate table names the cohort it is computed on in its own</w:t>
      </w:r>
      <w:r>
        <w:t xml:space="preserve"> </w:t>
      </w:r>
      <w:r>
        <w:t xml:space="preserve">header, not only in the caption. Three automated checks run before the report</w:t>
      </w:r>
      <w:r>
        <w:t xml:space="preserve"> </w:t>
      </w:r>
      <w:r>
        <w:t xml:space="preserve">is assembled and stop the render if they fail: the surgical cohort used by the</w:t>
      </w:r>
      <w:r>
        <w:t xml:space="preserve"> </w:t>
      </w:r>
      <w:r>
        <w:t xml:space="preserve">survey design must equal the count reported in Table 0; the levels of any</w:t>
      </w:r>
      <w:r>
        <w:t xml:space="preserve"> </w:t>
      </w:r>
      <w:r>
        <w:t xml:space="preserve">stratifying variable must sum back to the cohort being stratified; and no</w:t>
      </w:r>
      <w:r>
        <w:t xml:space="preserve"> </w:t>
      </w:r>
      <w:r>
        <w:t xml:space="preserve">reported confidence interval may be narrower than the sample size printed</w:t>
      </w:r>
      <w:r>
        <w:t xml:space="preserve"> </w:t>
      </w:r>
      <w:r>
        <w:t xml:space="preserve">beside it permits under simple random sampling, since a complex survey design</w:t>
      </w:r>
      <w:r>
        <w:t xml:space="preserve"> </w:t>
      </w:r>
      <w:r>
        <w:t xml:space="preserve">can only ever widen an interval.</w:t>
      </w:r>
    </w:p>
    <w:bookmarkEnd w:id="24"/>
    <w:bookmarkStart w:id="25" w:name="outcomes"/>
    <w:p>
      <w:pPr>
        <w:pStyle w:val="Heading3"/>
      </w:pPr>
      <w:r>
        <w:t xml:space="preserve">Outcomes</w:t>
      </w:r>
    </w:p>
    <w:p>
      <w:pPr>
        <w:pStyle w:val="FirstParagraph"/>
      </w:pPr>
      <w:r>
        <w:rPr>
          <w:b/>
          <w:bCs/>
        </w:rPr>
        <w:t xml:space="preserve">Primary outcome:</w:t>
      </w:r>
      <w:r>
        <w:t xml:space="preserve"> </w:t>
      </w:r>
      <w:r>
        <w:t xml:space="preserve">all-cause readmission within 30 days of index discharge,</w:t>
      </w:r>
      <w:r>
        <w:t xml:space="preserve"> </w:t>
      </w:r>
      <w:r>
        <w:t xml:space="preserve">identified through the NRD linkage variables in accordance with HCUP</w:t>
      </w:r>
      <w:r>
        <w:t xml:space="preserve"> </w:t>
      </w:r>
      <w:r>
        <w:t xml:space="preserve">methodology. Unplanned (non-elective) readmission is reported as sensitivity</w:t>
      </w:r>
      <w:r>
        <w:t xml:space="preserve"> </w:t>
      </w:r>
      <w:r>
        <w:t xml:space="preserve">analysis S4.</w:t>
      </w:r>
    </w:p>
    <w:p>
      <w:pPr>
        <w:pStyle w:val="BodyText"/>
      </w:pPr>
      <w:r>
        <w:rPr>
          <w:b/>
          <w:bCs/>
        </w:rPr>
        <w:t xml:space="preserve">Secondary outcomes.</w:t>
      </w:r>
      <w:r>
        <w:t xml:space="preserve"> </w:t>
      </w:r>
      <w:r>
        <w:t xml:space="preserve">At the index admission: in-hospital mortality, length</w:t>
      </w:r>
      <w:r>
        <w:t xml:space="preserve"> </w:t>
      </w:r>
      <w:r>
        <w:t xml:space="preserve">of stay, total charges and estimated costs, discharge disposition and the</w:t>
      </w:r>
      <w:r>
        <w:t xml:space="preserve"> </w:t>
      </w:r>
      <w:r>
        <w:t xml:space="preserve">complications listed above. At the readmission: in-hospital mortality, length</w:t>
      </w:r>
      <w:r>
        <w:t xml:space="preserve"> </w:t>
      </w:r>
      <w:r>
        <w:t xml:space="preserve">of stay, cost, time from discharge to readmission, and</w:t>
      </w:r>
      <w:r>
        <w:t xml:space="preserve"> </w:t>
      </w:r>
      <w:r>
        <w:rPr>
          <w:b/>
          <w:bCs/>
        </w:rPr>
        <w:t xml:space="preserve">cause of readmission</w:t>
      </w:r>
      <w:r>
        <w:t xml:space="preserve">,</w:t>
      </w:r>
      <w:r>
        <w:t xml:space="preserve"> </w:t>
      </w:r>
      <w:r>
        <w:t xml:space="preserve">classified by the AHRQ Clinical Classifications Software Refined (CCSR,</w:t>
      </w:r>
      <w:r>
        <w:t xml:space="preserve"> </w:t>
      </w:r>
      <w:r>
        <w:t xml:space="preserve">v2025.1) inpatient default category of the readmission principal diagnosis and</w:t>
      </w:r>
      <w:r>
        <w:t xml:space="preserve"> </w:t>
      </w:r>
      <w:r>
        <w:t xml:space="preserve">rolled up to CCSR body-system categories.</w:t>
      </w:r>
    </w:p>
    <w:bookmarkEnd w:id="25"/>
    <w:bookmarkStart w:id="26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All estimates account for the NRD complex survey design (discharge weights,</w:t>
      </w:r>
      <w:r>
        <w:t xml:space="preserve"> </w:t>
      </w:r>
      <w:r>
        <w:t xml:space="preserve">hospital-level clustering, stratification), so results are nationally</w:t>
      </w:r>
      <w:r>
        <w:t xml:space="preserve"> </w:t>
      </w:r>
      <w:r>
        <w:t xml:space="preserve">representative. Baseline and outcome characteristics are reported as weighted</w:t>
      </w:r>
      <w:r>
        <w:t xml:space="preserve"> </w:t>
      </w:r>
      <w:r>
        <w:t xml:space="preserve">medians (interquartile range) for continuous variables and counts with weighted</w:t>
      </w:r>
      <w:r>
        <w:t xml:space="preserve"> </w:t>
      </w:r>
      <w:r>
        <w:t xml:space="preserve">percentages for categorical variables, compared using design-based</w:t>
      </w:r>
      <w:r>
        <w:t xml:space="preserve"> </w:t>
      </w:r>
      <w:r>
        <w:t xml:space="preserve">Kruskal–Wallis and Rao–Scott chi-square tests.</w:t>
      </w:r>
    </w:p>
    <w:p>
      <w:pPr>
        <w:pStyle w:val="BodyText"/>
      </w:pPr>
      <w:r>
        <w:t xml:space="preserve">Independent predictors of 30-day readmission were identified using</w:t>
      </w:r>
      <w:r>
        <w:t xml:space="preserve"> </w:t>
      </w:r>
      <w:r>
        <w:rPr>
          <w:b/>
          <w:bCs/>
        </w:rPr>
        <w:t xml:space="preserve">survey-weighted logistic regression</w:t>
      </w:r>
      <w:r>
        <w:t xml:space="preserve"> </w:t>
      </w:r>
      <w:r>
        <w:t xml:space="preserve">fitted on the</w:t>
      </w:r>
      <w:r>
        <w:t xml:space="preserve"> </w:t>
      </w:r>
      <w:r>
        <w:rPr>
          <w:b/>
          <w:bCs/>
        </w:rPr>
        <w:t xml:space="preserve">entire index cohort</w:t>
      </w:r>
      <w:r>
        <w:t xml:space="preserve">,</w:t>
      </w:r>
      <w:r>
        <w:t xml:space="preserve"> </w:t>
      </w:r>
      <w:r>
        <w:t xml:space="preserve">reported as adjusted odds ratios with 95% confidence intervals. A logistic</w:t>
      </w:r>
      <w:r>
        <w:t xml:space="preserve"> </w:t>
      </w:r>
      <w:r>
        <w:t xml:space="preserve">model rather than a time-to-event model is the primary specification because</w:t>
      </w:r>
      <w:r>
        <w:t xml:space="preserve"> </w:t>
      </w:r>
      <w:r>
        <w:t xml:space="preserve">the outcome is defined over a fixed 30-day window, every patient in the index</w:t>
      </w:r>
      <w:r>
        <w:t xml:space="preserve"> </w:t>
      </w:r>
      <w:r>
        <w:t xml:space="preserve">cohort has a full and uncensored 30 days of observable follow-up by</w:t>
      </w:r>
      <w:r>
        <w:t xml:space="preserve"> </w:t>
      </w:r>
      <w:r>
        <w:t xml:space="preserve">construction, and in-hospital deaths are removed from the denominator. With no</w:t>
      </w:r>
      <w:r>
        <w:t xml:space="preserve"> </w:t>
      </w:r>
      <w:r>
        <w:t xml:space="preserve">censoring and no competing event inside the risk set, a proportional-hazards</w:t>
      </w:r>
      <w:r>
        <w:t xml:space="preserve"> </w:t>
      </w:r>
      <w:r>
        <w:t xml:space="preserve">model contributes no information beyond the binary outcome. A survey-weighted</w:t>
      </w:r>
      <w:r>
        <w:t xml:space="preserve"> </w:t>
      </w:r>
      <w:r>
        <w:t xml:space="preserve">Cox model with a Schoenfeld residual test of the proportional-hazards</w:t>
      </w:r>
      <w:r>
        <w:t xml:space="preserve"> </w:t>
      </w:r>
      <w:r>
        <w:t xml:space="preserve">assumption is nevertheless reported as sensitivity analysis S1.</w:t>
      </w:r>
    </w:p>
    <w:p>
      <w:pPr>
        <w:pStyle w:val="BodyText"/>
      </w:pPr>
      <w:r>
        <w:rPr>
          <w:b/>
          <w:bCs/>
        </w:rPr>
        <w:t xml:space="preserve">Covariate selection.</w:t>
      </w:r>
      <w:r>
        <w:t xml:space="preserve"> </w:t>
      </w:r>
      <w:r>
        <w:t xml:space="preserve">The primary model uses a fixed, a-priori covariate set:</w:t>
      </w:r>
      <w:r>
        <w:t xml:space="preserve"> </w:t>
      </w:r>
      <w:r>
        <w:t xml:space="preserve">operative descriptors, obesity class, demographic and administrative variables,</w:t>
      </w:r>
      <w:r>
        <w:t xml:space="preserve"> </w:t>
      </w:r>
      <w:r>
        <w:t xml:space="preserve">hospital characteristics, eighteen comorbidities and the six complication</w:t>
      </w:r>
      <w:r>
        <w:t xml:space="preserve"> </w:t>
      </w:r>
      <w:r>
        <w:t xml:space="preserve">composites. Reviewer #2 asked why all factors were entered rather than only</w:t>
      </w:r>
      <w:r>
        <w:t xml:space="preserve"> </w:t>
      </w:r>
      <w:r>
        <w:t xml:space="preserve">those reaching P &lt; 0.20 or P &lt; 0.30 in univariate analysis. That convention is</w:t>
      </w:r>
      <w:r>
        <w:t xml:space="preserve"> </w:t>
      </w:r>
      <w:r>
        <w:t xml:space="preserve">answered on its own terms: Table 4b reports a univariate survey-weighted</w:t>
      </w:r>
      <w:r>
        <w:t xml:space="preserve"> </w:t>
      </w:r>
      <w:r>
        <w:t xml:space="preserve">logistic model for every candidate variable with its joint design-based Wald</w:t>
      </w:r>
      <w:r>
        <w:t xml:space="preserve"> </w:t>
      </w:r>
      <w:r>
        <w:t xml:space="preserve">p-value, and Table 4c reports the multivariable model restricted to variables</w:t>
      </w:r>
      <w:r>
        <w:t xml:space="preserve"> </w:t>
      </w:r>
      <w:r>
        <w:t xml:space="preserve">reaching P &lt; 0.20, side by side with the a-priori model. The a-priori model</w:t>
      </w:r>
      <w:r>
        <w:t xml:space="preserve"> </w:t>
      </w:r>
      <w:r>
        <w:t xml:space="preserve">remains primary, because selecting covariates on the same data used for</w:t>
      </w:r>
      <w:r>
        <w:t xml:space="preserve"> </w:t>
      </w:r>
      <w:r>
        <w:t xml:space="preserve">estimation biases standard errors and p-values downward, and because with this</w:t>
      </w:r>
      <w:r>
        <w:t xml:space="preserve"> </w:t>
      </w:r>
      <w:r>
        <w:t xml:space="preserve">number of events per candidate variable the pre-specified model is estimable</w:t>
      </w:r>
      <w:r>
        <w:t xml:space="preserve"> </w:t>
      </w:r>
      <w:r>
        <w:t xml:space="preserve">without selection. Reporting both settles the question empirically rather than</w:t>
      </w:r>
      <w:r>
        <w:t xml:space="preserve"> </w:t>
      </w:r>
      <w:r>
        <w:t xml:space="preserve">by argument.</w:t>
      </w:r>
    </w:p>
    <w:p>
      <w:pPr>
        <w:pStyle w:val="BodyText"/>
      </w:pPr>
      <w:r>
        <w:rPr>
          <w:b/>
          <w:bCs/>
        </w:rPr>
        <w:t xml:space="preserve">Mediators.</w:t>
      </w:r>
      <w:r>
        <w:t xml:space="preserve"> </w:t>
      </w:r>
      <w:r>
        <w:t xml:space="preserve">Length of stay and non-home discharge are excluded from the</w:t>
      </w:r>
      <w:r>
        <w:t xml:space="preserve"> </w:t>
      </w:r>
      <w:r>
        <w:t xml:space="preserve">primary model. Both lie on the causal pathway between an in-hospital</w:t>
      </w:r>
      <w:r>
        <w:t xml:space="preserve"> </w:t>
      </w:r>
      <w:r>
        <w:t xml:space="preserve">complication and readmission, so conditioning on them removes part of the very</w:t>
      </w:r>
      <w:r>
        <w:t xml:space="preserve"> </w:t>
      </w:r>
      <w:r>
        <w:t xml:space="preserve">association the complication terms are meant to capture. They are added in a</w:t>
      </w:r>
      <w:r>
        <w:t xml:space="preserve"> </w:t>
      </w:r>
      <w:r>
        <w:t xml:space="preserve">third model reported in Table 4d so the change is visible rather than assumed.</w:t>
      </w:r>
      <w:r>
        <w:t xml:space="preserve"> </w:t>
      </w:r>
      <w:r>
        <w:t xml:space="preserve">Variance inflation factors from the fully adjusted model are reported alongside</w:t>
      </w:r>
      <w:r>
        <w:t xml:space="preserve"> </w:t>
      </w:r>
      <w:r>
        <w:t xml:space="preserve">it, so attenuation attributable to mediation can be distinguished from</w:t>
      </w:r>
      <w:r>
        <w:t xml:space="preserve"> </w:t>
      </w:r>
      <w:r>
        <w:t xml:space="preserve">instability attributable to collinearity (reviewer #4, major comment 6).</w:t>
      </w:r>
    </w:p>
    <w:p>
      <w:pPr>
        <w:pStyle w:val="BodyText"/>
      </w:pPr>
      <w:r>
        <w:rPr>
          <w:b/>
          <w:bCs/>
        </w:rPr>
        <w:t xml:space="preserve">Subgroups.</w:t>
      </w:r>
      <w:r>
        <w:t xml:space="preserve"> </w:t>
      </w:r>
      <w:r>
        <w:t xml:space="preserve">The primary model is refitted within obesity class, operation</w:t>
      </w:r>
      <w:r>
        <w:t xml:space="preserve"> </w:t>
      </w:r>
      <w:r>
        <w:t xml:space="preserve">performed, number of sites bypassed and pump status, with interaction p-values</w:t>
      </w:r>
      <w:r>
        <w:t xml:space="preserve"> </w:t>
      </w:r>
      <w:r>
        <w:t xml:space="preserve">from design-based Wald tests on the pooled model. These analyses are</w:t>
      </w:r>
      <w:r>
        <w:t xml:space="preserve"> </w:t>
      </w:r>
      <w:r>
        <w:t xml:space="preserve">exploratory, are limited to a short pre-specified list of predictors, and are</w:t>
      </w:r>
      <w:r>
        <w:t xml:space="preserve"> </w:t>
      </w:r>
      <w:r>
        <w:t xml:space="preserve">not adjusted for multiple comparisons.</w:t>
      </w:r>
    </w:p>
    <w:p>
      <w:pPr>
        <w:pStyle w:val="BodyText"/>
      </w:pPr>
      <w:r>
        <w:rPr>
          <w:b/>
          <w:bCs/>
        </w:rPr>
        <w:t xml:space="preserve">Small cells.</w:t>
      </w:r>
      <w:r>
        <w:t xml:space="preserve"> </w:t>
      </w:r>
      <w:r>
        <w:t xml:space="preserve">Binary covariates whose smallest outcome cell fell below 11</w:t>
      </w:r>
      <w:r>
        <w:t xml:space="preserve"> </w:t>
      </w:r>
      <w:r>
        <w:t xml:space="preserve">unweighted discharges were dropped from a given model to avoid quasi-complete</w:t>
      </w:r>
      <w:r>
        <w:t xml:space="preserve"> </w:t>
      </w:r>
      <w:r>
        <w:t xml:space="preserve">separation, and every such exclusion is reported in the relevant table</w:t>
      </w:r>
      <w:r>
        <w:t xml:space="preserve"> </w:t>
      </w:r>
      <w:r>
        <w:t xml:space="preserve">footnote. Multi-level variables were never dropped for this reason. Consistent</w:t>
      </w:r>
      <w:r>
        <w:t xml:space="preserve"> </w:t>
      </w:r>
      <w:r>
        <w:t xml:space="preserve">with HCUP data-use guidance, estimates based on fewer than 11 unweighted</w:t>
      </w:r>
      <w:r>
        <w:t xml:space="preserve"> </w:t>
      </w:r>
      <w:r>
        <w:t xml:space="preserve">discharges are suppressed.</w:t>
      </w:r>
    </w:p>
    <w:p>
      <w:pPr>
        <w:pStyle w:val="BodyText"/>
      </w:pPr>
      <w:r>
        <w:rPr>
          <w:b/>
          <w:bCs/>
        </w:rPr>
        <w:t xml:space="preserve">Costs and charges.</w:t>
      </w:r>
      <w:r>
        <w:t xml:space="preserve"> </w:t>
      </w:r>
      <w:r>
        <w:t xml:space="preserve">Total charges were converted to estimated hospital costs</w:t>
      </w:r>
      <w:r>
        <w:t xml:space="preserve"> </w:t>
      </w:r>
      <w:r>
        <w:t xml:space="preserve">using HCUP hospital-specific cost-to-charge ratios, and both charges and costs</w:t>
      </w:r>
      <w:r>
        <w:t xml:space="preserve"> </w:t>
      </w:r>
      <w:r>
        <w:t xml:space="preserve">were adjusted to 2017 dollars using the Consumer Price Index (2016 = 240.007;</w:t>
      </w:r>
      <w:r>
        <w:t xml:space="preserve"> </w:t>
      </w:r>
      <w:r>
        <w:t xml:space="preserve">2017 = 245.120). Both are reported; costs are the preferred measure.</w:t>
      </w:r>
    </w:p>
    <w:p>
      <w:pPr>
        <w:pStyle w:val="BodyText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The NRD is a restricted-use, licensed database. Data are</w:t>
      </w:r>
      <w:r>
        <w:t xml:space="preserve"> </w:t>
      </w:r>
      <w:r>
        <w:t xml:space="preserve">available from HCUP to investigators who complete the HCUP Data Use Agreement</w:t>
      </w:r>
      <w:r>
        <w:t xml:space="preserve"> </w:t>
      </w:r>
      <w:r>
        <w:t xml:space="preserve">training and purchase the files; the authors are not permitted to redistribute</w:t>
      </w:r>
      <w:r>
        <w:t xml:space="preserve"> </w:t>
      </w:r>
      <w:r>
        <w:t xml:space="preserve">them (reviewer #4, minor comment 3).</w:t>
      </w:r>
    </w:p>
    <w:p>
      <w:pPr>
        <w:pStyle w:val="BodyText"/>
      </w:pPr>
      <w:r>
        <w:rPr>
          <w:b/>
          <w:bCs/>
        </w:rPr>
        <w:t xml:space="preserve">Software.</w:t>
      </w:r>
      <w:r>
        <w:t xml:space="preserve"> </w:t>
      </w:r>
      <w:r>
        <w:t xml:space="preserve">R (version 4.5.0 or later; R Foundation for Statistical</w:t>
      </w:r>
      <w:r>
        <w:t xml:space="preserve"> </w:t>
      </w:r>
      <w:r>
        <w:t xml:space="preserve">Computing, Vienna, Austria), with the</w:t>
      </w:r>
      <w:r>
        <w:t xml:space="preserve"> </w:t>
      </w:r>
      <w:r>
        <w:rPr>
          <w:rStyle w:val="VerbatimChar"/>
        </w:rPr>
        <w:t xml:space="preserve">survey</w:t>
      </w:r>
      <w:r>
        <w:t xml:space="preserve">,</w:t>
      </w:r>
      <w:r>
        <w:t xml:space="preserve"> </w:t>
      </w:r>
      <w:r>
        <w:rPr>
          <w:rStyle w:val="VerbatimChar"/>
        </w:rPr>
        <w:t xml:space="preserve">srvyr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gtsummary</w:t>
      </w:r>
      <w:r>
        <w:t xml:space="preserve"> </w:t>
      </w:r>
      <w:r>
        <w:t xml:space="preserve">packages, and the in-house</w:t>
      </w:r>
      <w:r>
        <w:t xml:space="preserve"> </w:t>
      </w:r>
      <w:r>
        <w:rPr>
          <w:rStyle w:val="VerbatimChar"/>
        </w:rPr>
        <w:t xml:space="preserve">easyNRD</w:t>
      </w:r>
      <w:r>
        <w:t xml:space="preserve"> </w:t>
      </w:r>
      <w:r>
        <w:t xml:space="preserve">package for cohort</w:t>
      </w:r>
      <w:r>
        <w:t xml:space="preserve"> </w:t>
      </w:r>
      <w:r>
        <w:t xml:space="preserve">construction and readmission linkage.</w:t>
      </w:r>
    </w:p>
    <w:bookmarkEnd w:id="26"/>
    <w:bookmarkEnd w:id="27"/>
    <w:bookmarkStart w:id="28" w:name="table-0-cohort-attrition"/>
    <w:p>
      <w:pPr>
        <w:pStyle w:val="Heading2"/>
      </w:pPr>
      <w:r>
        <w:t xml:space="preserve">Table 0 — Cohort Attrition</w:t>
      </w:r>
    </w:p>
    <w:p>
      <w:pPr>
        <w:pStyle w:val="TableCaption"/>
      </w:pPr>
      <w:r>
        <w:t xml:space="preserve">Table 0. Cohort attrition, NRD 2016-2017 (unweighted discharges).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0. Cohort attrition, NRD 2016-2017 (unweighted discharges)."/>
      </w:tblPr>
      <w:tblGrid>
        <w:gridCol w:w="1105"/>
        <w:gridCol w:w="920"/>
        <w:gridCol w:w="1412"/>
        <w:gridCol w:w="1227"/>
        <w:gridCol w:w="1841"/>
        <w:gridCol w:w="14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 discharges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CABG (ICD-10-PCS 021x)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 obesity diagnosis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 age &gt;= 18 (surgical cohort)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Died during index stay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17197683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17978754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(2016-2017)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35176437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1414</w:t>
            </w:r>
          </w:p>
        </w:tc>
      </w:tr>
    </w:tbl>
    <w:bookmarkEnd w:id="28"/>
    <w:bookmarkStart w:id="29" w:name="Xafd9e527730e0368e4d481aacfbcefbd2888a76"/>
    <w:p>
      <w:pPr>
        <w:pStyle w:val="Heading2"/>
      </w:pPr>
      <w:r>
        <w:t xml:space="preserve">Table 1 — Baseline and Operative Characteristics by 30-Day Readmission Status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107,366; Unweighted n = 55303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readmission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93,221; Unweighted n = 47984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30-day readmission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14,145; Unweighted n = 7319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(58, 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(57, 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(58, 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74,884 (69.7%)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66,172 (71.0%)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8,712 (61.6%)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32,481 (30.3%)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27,048 (29.0%)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5,433 (38.4%)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36,027 (33.6%)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32,528 (34.9%)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3,499 (24.8%)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8,324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6,966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1,358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56,816 (53.0%)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48,281 (51.9%)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8,535 (60.4%)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6,072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5,333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739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 (ZIP)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30,214 (28.1%)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25,840 (27.7%)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4,374 (30.9%)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31,466 (29.3%)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27,208 (29.2%)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4,257 (30.1%)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27,092 (25.2%)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23,718 (25.4%)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3,373 (23.8%)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16,987 (15.8%)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15,046 (16.1%)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1,940 (13.7%)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1,607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1,408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Weekday (Mon-Fri)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94,464 (88.0%)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82,229 (88.2%)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12,235 (86.5%)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Weekend (Sat-Sun)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12,902 (12.0%)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10,992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1,910 (13.5%)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50,461 (47.2%)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44,496 (47.9%)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5,965 (42.3%)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56,473 (52.8%)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48,330 (52.1%)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8,143 (57.7%)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10,657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9,118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1,539 (10.9%)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70,495 (65.7%)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61,017 (65.5%)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9,478 (67.0%)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26,213 (24.4%)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23,085 (24.8%)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3,128 (22.1%)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/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19,404 (18.1%)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16,739 (18.0%)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2,665 (18.8%)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84,657 (78.8%)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73,637 (79.0%)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11,020 (77.9%)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3,305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2,845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52,793 (49.2%)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45,855 (49.2%)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6,938 (49.1%)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54,573 (50.8%)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47,366 (50.8%)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7,207 (50.9%)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 Class (ICD-10-CM BMI codes)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Class I (BMI 30-34.9)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32,387 (30.2%)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29,048 (31.2%)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3,339 (23.6%)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Class II (BMI 35-39.9)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18,662 (17.4%)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16,415 (17.6%)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2,247 (15.9%)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Class III (BMI &gt;= 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38,516 (35.9%)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32,304 (34.7%)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6,211 (43.9%)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17,801 (16.6%)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15,453 (16.6%)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2,348 (16.6%)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Operation Performed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Isolated CABG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93,150 (86.8%)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81,471 (87.4%)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11,679 (82.6%)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CABG +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14,216 (13.2%)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11,750 (12.6%)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2,466 (17.4%)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Sites Bypassed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32,129 (29.9%)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27,673 (29.7%)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4,456 (31.5%)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42,953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37,277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5,675 (40.1%)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25,099 (23.4%)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22,025 (23.6%)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3,074 (21.7%)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7,185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6,245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939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Graft Conduit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Arterial + venous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8,755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7,710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1,045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Arterial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3,013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2,643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370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/ 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8,171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7,102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1,069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Venous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87,426 (81.4%)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75,766 (81.3%)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11,661 (82.4%)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Cardiopulmonary Bypass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On-pump (CPB coded)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84,893 (79.1%)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73,655 (79.0%)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11,237 (79.4%)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Off-pump (no CPB code)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22,473 (20.9%)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19,565 (21.0%)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2,908 (20.6%)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66,170 (61.6%)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56,504 (60.6%)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9,667 (68.3%)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98,682 (91.9%)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85,608 (91.8%)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13,074 (92.4%)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90,521 (84.3%)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79,052 (84.8%)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11,469 (81.1%)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33,626 (31.3%)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27,602 (29.6%)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6,024 (42.6%)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20,480 (19.1%)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17,799 (19.1%)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2,681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7,451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6,233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1,218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25,165 (23.4%)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21,218 (22.8%)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3,947 (27.9%)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15,700 (14.6%)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13,199 (14.2%)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2,501 (17.7%)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 Coded on the Index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36,197 (33.7%)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31,085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5,112 (36.1%)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 (non-ESRD)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22,229 (20.7%)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18,416 (19.8%)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3,813 (27.0%)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End-Stage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3,273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2,398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875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21,166 (19.7%)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17,426 (18.7%)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3,740 (26.4%)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28,182 (26.2%)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24,107 (25.9%)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4,075 (28.8%)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7,621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6,084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1,537 (10.9%)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63,405 (59.1%)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54,222 (58.2%)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9,183 (64.9%)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3,292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2,711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581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3,666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3,011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Tobacco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20,245 (18.9%)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17,665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2,579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12,555 (11.7%)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10,681 (11.5%)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1,875 (13.3%)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Column headers state their own denominators; the '30-day readmission' column is by construction the smaller one. Weighted N = nationally representative estimate (DISCWT survey weights). Unweighted n = actual NRD sample size. Categorical: n (weighted %); continuous: median (IQR). p-values are design-based (Rao-Scott chi-square; design-based Kruskal-Wallis).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9"/>
    <w:bookmarkStart w:id="32" w:name="X379242bb788c4a631b4cfe0a0b6fc784dcce800"/>
    <w:p>
      <w:pPr>
        <w:pStyle w:val="Heading2"/>
      </w:pPr>
      <w:r>
        <w:t xml:space="preserve">Table 2 — Index Hospitalization Outcomes and Complications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107,366; Unweighted n = 55303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readmission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93,221; Unweighted n = 47984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30-day readmission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14,145; Unweighted n = 7319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(6, 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(6, 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(7, 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(2017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165,309 (114,943, 251,242)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160,752 (112,428, 242,096)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199,452 (135,512, 314,908)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Cost (2017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42,770 (32,570, 58,583)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41,955 (32,050, 56,983)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49,433 (36,946, 69,081)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Disposition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84,018 (78.3%)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74,718 (80.2%)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9,300 (65.7%)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23,346 (21.7%)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18,501 (19.8%)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4,845 (34.3%)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 Major In-Hospital Complication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65,416 (60.9%)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55,111 (59.1%)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10,305 (72.9%)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Bleeding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3,653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2,961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692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Infectious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7,328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5,830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1,498 (10.6%)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46,015 (42.9%)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38,741 (41.6%)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7,274 (51.4%)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26,263 (24.5%)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21,116 (22.7%)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5,147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20,554 (19.1%)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16,833 (18.1%)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3,722 (26.3%)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Neurologic / Thromboembolic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2,443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1,960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483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Postprocedural Hemorrhage or Hematoma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2,486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2,066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Red Blood Cell Transfusion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14,865 (13.8%)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12,178 (13.1%)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2,687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Hemopericardium / Pericardial Effusion / Tamponade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1,190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Postprocedural Infection (T81.4x)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Mediastinitis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Wound Disruption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1,011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1,906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1,457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449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5,145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4,188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957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24,407 (22.7%)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19,780 (21.2%)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4,628 (32.7%)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New Renal Replacement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3,440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2,478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962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Acute Respiratory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12,380 (11.5%)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10,004 (10.7%)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2,377 (16.8%)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Mechanical Ventilation &gt;= 96 hours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2,837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2,227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Tracheostomy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1,013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Pleural Effusion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9,337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7,757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1,580 (11.2%)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Atrial Fibrillation / Flutter (present at admission or new)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38,930 (36.3%)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32,712 (35.1%)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6,218 (44.0%)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Postprocedural Myocardial Infarction (I97.190, I97.790)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744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658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Cardiac Arrest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1,503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1,227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276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Cardiogenic 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5,601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4,458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1,142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Mechanical Circulatory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8,223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6,876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1,348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Ischemic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1,415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Venous Thromboembolism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1,076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872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Start w:id="30" w:name="X75be43148a8bcc4b65040c059c0e3896e1f5669"/>
    <w:p>
      <w:pPr>
        <w:pStyle w:val="Heading3"/>
      </w:pPr>
      <w:r>
        <w:t xml:space="preserve">Table 2b — Operation-Specific Mortality and Complications</w:t>
      </w:r>
    </w:p>
    <w:p>
      <w:pPr>
        <w:pStyle w:val="TableCaption"/>
      </w:pPr>
      <w:r>
        <w:t xml:space="preserve">Table 2b. In-hospital mortality, complications and readmission by operation, admission type and obesity class. Mortality and complication columns are computed on the SURGICAL cohort (which retains in-hospital deaths); the readmission column is computed on the INDEX cohort. Each column carries its own unweighted denominator. Rates are weighted, with design-based 95% confidence intervals.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b. In-hospital mortality, complications and readmission by operation, admission type and obesity class. Mortality and complication columns are computed on the SURGICAL cohort (which retains in-hospital deaths); the readmission column is computed on the INDEX cohort. Each column carries its own unweighted denominator. Rates are weighted, with design-based 95% confidence intervals."/>
      </w:tblPr>
      <w:tblGrid>
        <w:gridCol w:w="1368"/>
        <w:gridCol w:w="864"/>
        <w:gridCol w:w="792"/>
        <w:gridCol w:w="1440"/>
        <w:gridCol w:w="1476"/>
        <w:gridCol w:w="756"/>
        <w:gridCol w:w="1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Unweighted n (surgical)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 N (surgical)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In-hospital mortality (surgical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major complication (surgical cohort)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Unweighted n (index)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readmission (index cohort)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CABG in obesity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2.3% (2.2-2.5)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62.0% (61.2-62.8)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13.2% (12.8-13.5)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cabg_type: Isolated CABG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 (1.7-1.9)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59.7% (58.9-60.5)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 (12.2-12.9)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cabg_type: CABG + valve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5.6% (5.0-6.3)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76.4% (75.1-77.6)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17.3% (16.3-18.4)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n_vessels: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 (2.5-3.1)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62.9% (61.8-63.9)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 (13.2-14.5)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n_vessels: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 (2.0-2.4)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62.0% (61.0-63.0)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13.2% (12.7-13.7)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n_vessels: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(1.7-2.3)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61.0% (59.8-62.1)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12.2% (11.6-12.9)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n_vessels: 4 or more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 (1.7-2.7)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61.2% (59.1-63.3)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13.1% (11.9-14.3)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pump_status: On-pump (CPB coded)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 (2.0-2.4)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62.1% (61.2-63.0)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13.2% (12.8-13.7)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pump_status: Off-pump (no CPB code)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 (2.3-2.9)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 (60.1-62.8)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12.9% (12.2-13.7)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Admission_Type: Elective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 (1.6-2.0)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57.5% (56.4-58.5)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11.8% (11.3-12.3)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Admission_Type: Non-elective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 (2.6-3.0)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66.0% (65.2-66.8)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14.4% (13.9-14.9)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obesity_class: Class I (BMI 30-34.9)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(1.2-1.7)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58.1% (57.0-59.2)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 (9.8-10.9)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obesity_class: Class II (BMI 35-39.9)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 (1.4-2.0)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57.8% (56.4-59.1)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 (11.3-12.8)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obesity_class: Class III (BMI &gt;= 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 (2.9-3.5)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66.3% (65.3-67.3)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16.1% (15.5-16.7)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obesity_class: 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 (2.3-3.0)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64.0% (62.8-65.3)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13.2% (12.4-13.9)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In-hospital mortality in the surgical cohort was 2.3% (2.2-2.5) weighted (1,414 of 61,902 unweighted discharges). The index cohort excludes these patients by construction, so in-hospital mortality is not estimable on it and is never reported on it.</w:t>
      </w:r>
    </w:p>
    <w:bookmarkEnd w:id="30"/>
    <w:bookmarkStart w:id="31" w:name="X1290772a26b38537f5d0147cebaa0a29635a93d"/>
    <w:p>
      <w:pPr>
        <w:pStyle w:val="Heading3"/>
      </w:pPr>
      <w:r>
        <w:t xml:space="preserve">Table 2c — Readmission Hospitalization Outcomes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14,145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 at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Survived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13,773 (97.4%)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371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Disposition at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10,166 (73.8%)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3,606 (26.2%)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TableCaption"/>
      </w:pPr>
      <w:r>
        <w:t xml:space="preserve">Table 2c (continued). Timing and resource use at readmission.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c (continued). Timing and resource use at readmission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(IQR)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readmission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(5-18)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 of stay at readmission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(2-8)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Charges at readmission (2017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$36,945 ($20,194-$74,736)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at readmission (2017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$9,282 ($5,429-$17,749)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Median time from index discharge to readmission was 9 days (IQR 5-18).</w:t>
      </w:r>
    </w:p>
    <w:bookmarkEnd w:id="31"/>
    <w:bookmarkEnd w:id="32"/>
    <w:bookmarkStart w:id="33" w:name="table-3-causes-of-readmission"/>
    <w:p>
      <w:pPr>
        <w:pStyle w:val="Heading2"/>
      </w:pPr>
      <w:r>
        <w:t xml:space="preserve">Table 3 — Causes of Readmission</w:t>
      </w:r>
    </w:p>
    <w:p>
      <w:pPr>
        <w:pStyle w:val="TableCaption"/>
      </w:pPr>
      <w:r>
        <w:t xml:space="preserve">Table 3. Causes of 30-day readmission by broad clinical category (AHRQ CCSR body-system grouping of the readmission principal diagnosis).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Causes of 30-day readmission by broad clinical category (AHRQ CCSR body-system grouping of the readmission principal diagnosis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Clinical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Injury / procedural 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Gastrointestinal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 / genitourinary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Symptoms and 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Endocrine / metabolic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 / soft 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/ immune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Musculoskeletal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Neoplasm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Factors influencing health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 / behavioural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Malformations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3b. Twenty most frequent CCSR causes of 30-day readmission.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b. Twenty most frequent CCSR causes of 30-day readmission."/>
      </w:tblPr>
      <w:tblGrid>
        <w:gridCol w:w="4500"/>
        <w:gridCol w:w="1980"/>
        <w:gridCol w:w="660"/>
        <w:gridCol w:w="7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Cause of readmission (CCSR)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Complication of other surgical or medical care, injury, initial encounter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Injury / procedural 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Cardiac dysrhythmias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Septicemia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Pleurisy, pleural effusion and pulmonary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Acute pulmonary embolism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Acute and unspecified renal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 / genitourinary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Acute myocardial infarction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Pneumonia (except that caused by tuberculosis)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Postprocedural or postoperative circulatory system 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Gastrointestinal hemorrhage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Gastrointestinal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Respiratory failure; insufficiency; arrest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Pericarditis and pericardial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 and subcutaneous tissue infections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Skin / soft 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Nonspecific chest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Cerebral infarction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Complication of cardiovascular device, implant or graft, initial encounter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Injury / procedural 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Acute phlebitis; thrombophlebitis and thromboembolism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and electrolyte disorders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Endocrine / metabolic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Postprocedural or postoperative respiratory system 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3c. Fifteen most frequent individual principal diagnoses at readmission.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c. Fifteen most frequent individual principal diagnoses at readmission."/>
      </w:tblPr>
      <w:tblGrid>
        <w:gridCol w:w="1609"/>
        <w:gridCol w:w="4764"/>
        <w:gridCol w:w="708"/>
        <w:gridCol w:w="8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Principal Dx (ICD-10-CM)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(CCSR)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T814XXA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Complication of other surgical or medical care, injury, initial encounter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Pleurisy, pleural effusion and pulmonary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pulmonary embolism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Septicemia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and unspecified renal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Pneumonia (except that caused by tuberculosis)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myocardial infarction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I5023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T8131XA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Complication of other surgical or medical care, injury, initial encounter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I5033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Cardiac dysrhythmias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T8132XA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Complication of other surgical or medical care, injury, initial encounter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Cardiac dysrhythmias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3d. Leading causes of readmission stratified by whether the index hospitalization involved a bleeding or an infectious complication (reviewer #1).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d. Leading causes of readmission stratified by whether the index hospitalization involved a bleeding or an infectious complication (reviewer #1)."/>
      </w:tblPr>
      <w:tblGrid>
        <w:gridCol w:w="3013"/>
        <w:gridCol w:w="2840"/>
        <w:gridCol w:w="946"/>
        <w:gridCol w:w="11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Injury / procedural 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Gastrointestinal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Injury / procedural 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Gastrointestinal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bleeding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Injury / procedural 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Gastrointestinal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Injury / procedural 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Gastrointestinal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infectious complication: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 / genitourinary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Based on 7,318 unweighted readmissions with a recorded principal diagnosis. 9 principal diagnosis code(s) had no inpatient-default CCSR assignment and are shown as 'Not mapped'. Broad clinical categories are AHRQ's own CCSR body-system groupings, not an ad-hoc classification.</w:t>
      </w:r>
    </w:p>
    <w:bookmarkEnd w:id="33"/>
    <w:bookmarkStart w:id="37" w:name="Xa2e41f4d4c5e3a4d46084134c9dd9b9a83d1518"/>
    <w:p>
      <w:pPr>
        <w:pStyle w:val="Heading2"/>
      </w:pPr>
      <w:r>
        <w:t xml:space="preserve">Table 4 — Adjusted Predictors of 30-Day Readmission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Operation Performed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Isolated CABG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CABG +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Sites Bypassed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Cardiopulmonary Bypass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On-pump (CPB coded)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Off-pump (no CPB code)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 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Class I (BMI 30-34.9)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Class II (BMI 35-39.9)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Class III (BMI &gt;= 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 (ZIP)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Weekday (Mon-Fri)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Weekend (Sat-Sun)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/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 (non-ESRD)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End-Stage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1.39, 1.84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Tobacco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Bleeding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Infectious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Neurologic / Thromboembolic Complication Composite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Odds ratios adjusted for every covariate listed and for discharge year. Fitted on the entire index cohort (readmitted and non-readmitted). Reference categories: isolated CABG; 1 site bypassed; on-pump; obesity class I; male; private insurance; lowest income quartile; weekday; elective; small bed size. Length of stay and discharge disposition are deliberately excluded from this model as mediators (see Table 4d).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How to read the complication terms in this table.</w:t>
      </w:r>
      <w:r>
        <w:t xml:space="preserve"> </w:t>
      </w:r>
      <w:r>
        <w:t xml:space="preserve">Table 4 estimates the six</w:t>
      </w:r>
      <w:r>
        <w:t xml:space="preserve"> </w:t>
      </w:r>
      <w:r>
        <w:t xml:space="preserve">pre-specified</w:t>
      </w:r>
      <w:r>
        <w:t xml:space="preserve"> </w:t>
      </w:r>
      <w:r>
        <w:rPr>
          <w:i/>
          <w:iCs/>
        </w:rPr>
        <w:t xml:space="preserve">composites</w:t>
      </w:r>
      <w:r>
        <w:t xml:space="preserve">. The bleeding composite is the broad postprocedural</w:t>
      </w:r>
      <w:r>
        <w:t xml:space="preserve"> </w:t>
      </w:r>
      <w:r>
        <w:t xml:space="preserve">haemorrhage and haematoma family together with tamponade; the infectious</w:t>
      </w:r>
      <w:r>
        <w:t xml:space="preserve"> </w:t>
      </w:r>
      <w:r>
        <w:t xml:space="preserve">composite is postprocedural infection together with sepsis, pneumonia,</w:t>
      </w:r>
      <w:r>
        <w:t xml:space="preserve"> </w:t>
      </w:r>
      <w:r>
        <w:t xml:space="preserve">mediastinitis and wound disruption. Sensitivity analysis</w:t>
      </w:r>
      <w:r>
        <w:t xml:space="preserve"> </w:t>
      </w:r>
      <w:r>
        <w:rPr>
          <w:b/>
          <w:bCs/>
        </w:rPr>
        <w:t xml:space="preserve">S7, in Table 7</w:t>
      </w:r>
      <w:r>
        <w:t xml:space="preserve">,</w:t>
      </w:r>
      <w:r>
        <w:t xml:space="preserve"> </w:t>
      </w:r>
      <w:r>
        <w:t xml:space="preserve">re-estimates the two</w:t>
      </w:r>
      <w:r>
        <w:t xml:space="preserve"> </w:t>
      </w:r>
      <w:r>
        <w:rPr>
          <w:i/>
          <w:iCs/>
        </w:rPr>
        <w:t xml:space="preserve">narrow</w:t>
      </w:r>
      <w:r>
        <w:t xml:space="preserve"> </w:t>
      </w:r>
      <w:r>
        <w:t xml:space="preserve">exposures on which the previously submitted</w:t>
      </w:r>
      <w:r>
        <w:t xml:space="preserve"> </w:t>
      </w:r>
      <w:r>
        <w:t xml:space="preserve">version rested — postprocedural haemorrhage or haematoma alone, and</w:t>
      </w:r>
      <w:r>
        <w:t xml:space="preserve"> </w:t>
      </w:r>
      <w:r>
        <w:t xml:space="preserve">postprocedural infection (</w:t>
      </w:r>
      <w:r>
        <w:rPr>
          <w:rStyle w:val="VerbatimChar"/>
        </w:rPr>
        <w:t xml:space="preserve">T81.4x</w:t>
      </w:r>
      <w:r>
        <w:t xml:space="preserve">) alone — under this same corrected model. The</w:t>
      </w:r>
      <w:r>
        <w:t xml:space="preserve"> </w:t>
      </w:r>
      <w:r>
        <w:t xml:space="preserve">two sets of estimates are not in conflict and are not interchangeable: they are</w:t>
      </w:r>
      <w:r>
        <w:t xml:space="preserve"> </w:t>
      </w:r>
      <w:r>
        <w:t xml:space="preserve">different exposures. Table 4 is the primary result; S7 exists so that the</w:t>
      </w:r>
      <w:r>
        <w:t xml:space="preserve"> </w:t>
      </w:r>
      <w:r>
        <w:t xml:space="preserve">corrected estimate of exactly the previously reported quantity is on the record.</w:t>
      </w:r>
      <w:r>
        <w:t xml:space="preserve"> </w:t>
      </w:r>
      <w:r>
        <w:t xml:space="preserve">The single-code estimates are reported nowhere except Table 7.</w:t>
      </w:r>
    </w:p>
    <w:bookmarkStart w:id="34" w:name="X85873596920d248f1e78261b54f34e718e66cc9"/>
    <w:p>
      <w:pPr>
        <w:pStyle w:val="Heading3"/>
      </w:pPr>
      <w:r>
        <w:t xml:space="preserve">Table 4b — Univariate Screen of Every Candidate Covariate</w:t>
      </w:r>
    </w:p>
    <w:p>
      <w:pPr>
        <w:pStyle w:val="TableCaption"/>
      </w:pPr>
      <w:r>
        <w:t xml:space="preserve">Table 4b. Univariate survey-weighted logistic regression for each candidate covariate. The p-value is the joint design-based Wald test for the whole variable. The final column marks variables reaching P &lt; 0.20, the threshold requested by reviewer #2.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b. Univariate survey-weighted logistic regression for each candidate covariate. The p-value is the joint design-based Wald test for the whole variable. The final column marks variables reaching P &lt; 0.20, the threshold requested by reviewer #2."/>
      </w:tblPr>
      <w:tblGrid>
        <w:gridCol w:w="3543"/>
        <w:gridCol w:w="1597"/>
        <w:gridCol w:w="903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Unadjusted OR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Univariate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forward (p &lt; 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 (1.84-2.07)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Congestive 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 (1.67-1.86)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Expected Payer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 (1.63-2.01)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Pulmonary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 (1.53-1.72)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 (1.44-1.61)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 (1.09-1.30)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End-Stage Renal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 (2.21-2.83)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Pulmonary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 (1.47-1.66)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Cardiac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 (1.40-1.58)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Kidney Disease (non-ESRD)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 (1.41-1.59)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 (1.62-1.94)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Pulmonary Hypertension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 (1.60-1.91)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 Mellitus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 (1.33-1.48)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 (1.36-1.58)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(1.25-1.42)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(1.19-1.33)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Valvular Heart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 (1.23-1.41)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Dyslipidemia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 (0.72-0.82)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Neurologic / Thromboembolic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 (1.42-1.91)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Peripheral Vascular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 (1.20-1.41)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Bleeding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 (1.36-1.81)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Household Income Quartile (ZIP)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(0.86-0.99)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(1.01-1.01)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Liver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 (1.28-1.66)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Coagulopathy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(1.26-1.63)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 (1.18-1.46)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Obstructive Sleep Apnea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 (1.09-1.24)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(1.09-1.26)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 (1.09-1.28)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Bed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(0.83-1.02)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Coronary Sites Bypassed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(0.89-1.01)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 (0.98-1.21)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Tobacco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(0.89-1.03)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Location / Teaching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 (0.87-1.02)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Cardiopulmonary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 (0.91-1.05)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Myocardial Infarction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(0.93-1.06)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(0.94-1.07)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4"/>
    <w:bookmarkStart w:id="35" w:name="Xd08d8d1f684acee12db38a109f60f70b6794df0"/>
    <w:p>
      <w:pPr>
        <w:pStyle w:val="Heading3"/>
      </w:pPr>
      <w:r>
        <w:t xml:space="preserve">Table 4c — A-Priori Model vs Screened Model</w:t>
      </w:r>
    </w:p>
    <w:p>
      <w:pPr>
        <w:pStyle w:val="TableCaption"/>
      </w:pPr>
      <w:r>
        <w:t xml:space="preserve">Table 4c. Adjusted odds ratios from the pre-specified model and from the model restricted to variables reaching P &lt; 0.20 in univariate analysis, for every term the two models share.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c. Adjusted odds ratios from the pre-specified model and from the model restricted to variables reaching P &lt; 0.20 in univariate analysis, for every term the two models share.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A-priori model OR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Screened model OR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cabg_typeCABG + valve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(1.14-1.39)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(1.14-1.39)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(0.93-1.07)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(0.93-1.07)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(0.87-1.04)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(0.88-1.04)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n_vessels4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 (0.94-1.18)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(0.94-1.19)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obesity_classClass II (BMI 35-39.9)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(1.07-1.28)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(1.07-1.28)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obesity_classClass III (BMI &gt;= 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(1.27-1.46)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(1.27-1.47)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obesity_classUnspecified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 (1.07-1.27)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(1.07-1.27)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(0.99-1.00)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(1.28-1.44)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(1.28-1.44)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PAY1Medicaid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 (1.34-1.66)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 (1.34-1.65)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PAY1Medicare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(1.26-1.46)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(1.26-1.46)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PAY1Other/self-pay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 (1.01-1.33)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 (1.01-1.32)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ZIPINC_QRTL26th to 50th 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(0.91-1.05)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(0.91-1.05)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ZIPINC_QRTL51st to 75th 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(0.85-1.00)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(0.85-0.99)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ZIPINC_QRTL76th to 100th 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(0.80-0.95)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 (0.79-0.95)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ZIPINC_QRTLMissing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(0.75-1.15)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(0.75-1.15)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AWEEKENDWeekend (Sat-Sun)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 (0.94-1.10)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 (0.94-1.10)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Admission_TypeNon-elective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 (1.06-1.20)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 (1.06-1.20)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HOSP_BEDSIZELarge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(0.80-0.97)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(0.81-0.98)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HOSP_BEDSIZEMedium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 (0.73-0.91)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 (0.73-0.90)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is_dmYes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 (1.13-1.28)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 (1.13-1.28)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is_htnYes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(0.89-1.12)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(0.89-1.12)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is_dyslipidemiaYes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 (0.80-0.93)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 (0.80-0.92)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is_chfYes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 (1.17-1.32)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 (1.16-1.32)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is_prior_strokeYes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 (1.05-1.31)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(1.05-1.31)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is_valve_diseaseYes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(0.88-1.04)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(0.87-1.04)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is_pvdYes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 (1.04-1.22)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 (1.04-1.22)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is_ckd_nonesrdYes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 (1.03-1.19)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 (1.03-1.19)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is_esrdYes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 (1.39-1.84)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 (1.39-1.84)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is_copdYes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 (1.25-1.43)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 (1.25-1.43)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is_osaYes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 (1.03-1.18)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 (1.03-1.17)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is_pulm_htnYes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 (1.05-1.27)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 (1.05-1.27)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is_anemiaYes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 (1.02-1.15)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 (1.02-1.15)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is_coagulopathyYes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 (0.95-1.25)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 (0.95-1.25)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is_liverYes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 (1.03-1.35)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 (1.03-1.35)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is_smokingYes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(0.86-1.00)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(0.86-1.00)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is_depressionYes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(0.94-1.12)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(0.94-1.12)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comp_bleedingYes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 (1.02-1.38)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 (1.02-1.37)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comp_infectiousYes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(0.96-1.18)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(0.96-1.18)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comp_cardiacYes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 (1.17-1.33)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 (1.17-1.33)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comp_renalYes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 (1.26-1.45)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 (1.26-1.44)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comp_pulmonaryYes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 (1.05-1.19)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 (1.05-1.20)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comp_neuroYes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 (1.05-1.43)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 (1.05-1.44)</w:t>
            </w:r>
          </w:p>
        </w:tc>
      </w:tr>
    </w:tbl>
    <w:bookmarkEnd w:id="35"/>
    <w:bookmarkStart w:id="36" w:name="Xdfeff9dde336071d8dfc4724673d6b2b5f58ea5"/>
    <w:p>
      <w:pPr>
        <w:pStyle w:val="Heading3"/>
      </w:pPr>
      <w:r>
        <w:t xml:space="preserve">Table 4d — Complications: Sequential Model Specifications and Collinearity</w:t>
      </w:r>
    </w:p>
    <w:p>
      <w:pPr>
        <w:pStyle w:val="TableCaption"/>
      </w:pPr>
      <w:r>
        <w:t xml:space="preserve">Table 4d. Each complication composite estimated unadjusted, adjusted without mediators (the primary model), and adjusted with length of stay and discharge disposition added.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d. Each complication composite estimated unadjusted, adjusted without mediators (the primary model), and adjusted with length of stay and discharge disposition added."/>
      </w:tblPr>
      <w:tblGrid>
        <w:gridCol w:w="2766"/>
        <w:gridCol w:w="1247"/>
        <w:gridCol w:w="1735"/>
        <w:gridCol w:w="21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Unadjusted OR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Adjusted, no mediators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+ LOS and disposition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Bleeding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 (1.36-1.81)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 (1.02-1.38)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 (0.95-1.30)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 (1.62-1.94)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(0.96-1.18)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(0.83-1.03)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Cardiac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 (1.40-1.58)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 (1.17-1.33)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(1.13-1.29)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 (1.84-2.07)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 (1.26-1.45)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 (1.19-1.37)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Pulmonary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 (1.53-1.72)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 (1.05-1.19)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 (0.97-1.11)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Neurologic / Thromboembolic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 (1.42-1.91)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 (1.05-1.43)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(0.88-1.21)</w:t>
            </w:r>
          </w:p>
        </w:tc>
      </w:tr>
    </w:tbl>
    <w:p>
      <w:pPr>
        <w:pStyle w:val="TableCaption"/>
      </w:pPr>
      <w:r>
        <w:t xml:space="preserve">Table 4d (continued). Fifteen highest variance inflation factors, fully adjusted model.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d (continued). Fifteen highest variance inflation factors, fully adjusted mode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HOSP_BEDSIZELarge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HOSP_BEDSIZEMedium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PAY1Medicare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cabg_typeCABG + valve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is_valve_diseaseYes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obesity_classClass III (BMI &gt;= 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ZIPINC_QRTL51st to 75th percentile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n_vessels2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ZIPINC_QRTL26th to 50th percentile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n_vessels3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comp_renalYes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ZIPINC_QRTL76th to 100th percentile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obesity_classUnspecified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Highest variance inflation factor in the fully adjusted model: 3.09. Values below 5 indicate no material multicollinearity, so any attenuation of the complication estimates between the third and fourth columns of Table 4d reflects mediation (length of stay and non-home discharge lie on the pathway from an in-hospital complication to readmission), not unstable estimation.</w:t>
      </w:r>
    </w:p>
    <w:bookmarkEnd w:id="36"/>
    <w:bookmarkEnd w:id="37"/>
    <w:bookmarkStart w:id="38" w:name="table-5-subgroup-rates"/>
    <w:p>
      <w:pPr>
        <w:pStyle w:val="Heading2"/>
      </w:pPr>
      <w:r>
        <w:t xml:space="preserve">Table 5 — Subgroup Rates</w:t>
      </w:r>
    </w:p>
    <w:p>
      <w:pPr>
        <w:pStyle w:val="TableCaption"/>
      </w:pPr>
      <w:r>
        <w:t xml:space="preserve">Table 5. Weighted readmission, mortality and complication rates by obesity class, operation performed, number of coronary sites bypassed and pump status, with design-based 95% confidence intervals. Readmission is computed on the index cohort and mortality and complications on the surgical cohort; the unweighted denominator for each is printed in its own column.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Weighted readmission, mortality and complication rates by obesity class, operation performed, number of coronary sites bypassed and pump status, with design-based 95% confidence intervals. Readmission is computed on the index cohort and mortality and complications on the surgical cohort; the unweighted denominator for each is printed in its own column."/>
      </w:tblPr>
      <w:tblGrid>
        <w:gridCol w:w="841"/>
        <w:gridCol w:w="806"/>
        <w:gridCol w:w="735"/>
        <w:gridCol w:w="665"/>
        <w:gridCol w:w="1191"/>
        <w:gridCol w:w="841"/>
        <w:gridCol w:w="1401"/>
        <w:gridCol w:w="1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Unweighted n (index)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 N (index)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readmission (index cohort)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Unweighted n (surgical)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In-hospital mortality (surgical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major complication (surgical cohort)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 (BMI 30-34.9)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 (9.8-10.9)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(1.2-1.7)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58.1% (57.0-59.2)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 (BMI 35-39.9)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 (11.3-12.8)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 (1.4-2.0)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57.8% (56.4-59.1)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III (BMI &gt;= 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16.1% (15.5-16.7)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 (2.9-3.5)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66.3% (65.3-67.3)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13.2% (12.4-13.9)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 (2.3-3.0)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64.0% (62.8-65.3)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CABG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 (12.2-12.9)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 (1.7-1.9)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59.7% (58.9-60.5)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CABG + valve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17.3% (16.3-18.4)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5.6% (5.0-6.3)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76.4% (75.1-77.6)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Coronary sites bypassed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 (13.2-14.5)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 (2.5-3.1)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62.9% (61.8-63.9)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Coronary sites bypassed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13.2% (12.7-13.7)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 (2.0-2.4)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62.0% (61.0-63.0)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Coronary sites bypassed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12.2% (11.6-12.9)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(1.7-2.3)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61.0% (59.8-62.1)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Coronary sites bypassed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or more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13.1% (11.9-14.3)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 (1.7-2.7)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61.2% (59.1-63.3)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Cardiopulmonary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On-pump (CPB coded)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13.2% (12.8-13.7)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 (2.0-2.4)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62.1% (61.2-63.0)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Cardiopulmonary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Off-pump (no CPB code)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12.9% (12.2-13.7)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 (2.3-2.9)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 (60.1-62.8)</w:t>
            </w:r>
          </w:p>
        </w:tc>
      </w:tr>
    </w:tbl>
    <w:bookmarkEnd w:id="38"/>
    <w:bookmarkStart w:id="43" w:name="X08b091f312e27bfcb38cdd5b32d69f4b800fd31"/>
    <w:p>
      <w:pPr>
        <w:pStyle w:val="Heading2"/>
      </w:pPr>
      <w:r>
        <w:t xml:space="preserve">Table 6 — Subgroup-Specific Adjusted Odds Ratios</w:t>
      </w:r>
    </w:p>
    <w:bookmarkStart w:id="39" w:name="obesity-class-1"/>
    <w:p>
      <w:pPr>
        <w:pStyle w:val="Heading3"/>
      </w:pPr>
      <w:r>
        <w:t xml:space="preserve">Obesity class</w:t>
      </w:r>
    </w:p>
    <w:p>
      <w:pPr>
        <w:pStyle w:val="TableCaption"/>
      </w:pPr>
      <w:r>
        <w:t xml:space="preserve">Adjusted odds ratios refitted within each level of obesity class. Interaction p-values are design-based Wald tests on the pooled model. Exploratory; not adjusted for multiple comparisons.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djusted odds ratios refitted within each level of obesity class. Interaction p-values are design-based Wald tests on the pooled model. Exploratory; not adjusted for multiple comparisons."/>
      </w:tblPr>
      <w:tblGrid>
        <w:gridCol w:w="2127"/>
        <w:gridCol w:w="1300"/>
        <w:gridCol w:w="1359"/>
        <w:gridCol w:w="1300"/>
        <w:gridCol w:w="1004"/>
        <w:gridCol w:w="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 (BMI 30-34.9)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 (BMI 35-39.9)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III (BMI &gt;= 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Bleeding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(0.91-1.62)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 (0.76-1.64)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 (0.91-1.41)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(1.03-1.81)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 (0.96-1.48)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 (0.80-1.53)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(0.86-1.17)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 (0.87-1.34)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 (1.08-1.45)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 (1.14-1.66)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 (1.25-1.54)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(1.16-1.61)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Congestive 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 (0.91-1.21)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 (1.17-1.61)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 (1.19-1.44)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(1.08-1.48)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kidney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 (1.00-1.35)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(0.88-1.28)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 (1.03-1.28)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 (0.82-1.14)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income quartile (vs 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(0.76-1.09)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(0.70-1.16)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(0.73-0.96)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(0.73-1.09)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(per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(0.98-1.00)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(0.99-1.00)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(0.99-1.01)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</w:tr>
    </w:tbl>
    <w:bookmarkEnd w:id="39"/>
    <w:bookmarkStart w:id="40" w:name="operation-performed"/>
    <w:p>
      <w:pPr>
        <w:pStyle w:val="Heading3"/>
      </w:pPr>
      <w:r>
        <w:t xml:space="preserve">Operation performed</w:t>
      </w:r>
    </w:p>
    <w:p>
      <w:pPr>
        <w:pStyle w:val="TableCaption"/>
      </w:pPr>
      <w:r>
        <w:t xml:space="preserve">Adjusted odds ratios refitted within each level of operation performed. Interaction p-values are design-based Wald tests on the pooled model. Exploratory; not adjusted for multiple comparisons.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djusted odds ratios refitted within each level of operation performed. Interaction p-values are design-based Wald tests on the pooled model. Exploratory; not adjusted for multiple comparisons."/>
      </w:tblPr>
      <w:tblGrid>
        <w:gridCol w:w="3394"/>
        <w:gridCol w:w="1602"/>
        <w:gridCol w:w="1602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CABG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CABG + valve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Bleeding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(0.90-1.25)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 (1.23-2.11)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 (0.99-1.24)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(0.72-1.14)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 (1.25-1.46)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 (1.16-1.60)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Congestive 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 (1.17-1.34)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 (1.00-1.34)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kidney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 (1.04-1.22)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 (0.87-1.20)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income quartile (vs 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(0.79-0.96)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(0.73-1.11)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(per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(0.99-1.00)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(0.99-1.02)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0.376</w:t>
            </w:r>
          </w:p>
        </w:tc>
      </w:tr>
    </w:tbl>
    <w:bookmarkEnd w:id="40"/>
    <w:bookmarkStart w:id="41" w:name="coronary-sites-bypassed"/>
    <w:p>
      <w:pPr>
        <w:pStyle w:val="Heading3"/>
      </w:pPr>
      <w:r>
        <w:t xml:space="preserve">Coronary sites bypassed</w:t>
      </w:r>
    </w:p>
    <w:p>
      <w:pPr>
        <w:pStyle w:val="TableCaption"/>
      </w:pPr>
      <w:r>
        <w:t xml:space="preserve">Adjusted odds ratios refitted within each level of coronary sites bypassed. Interaction p-values are design-based Wald tests on the pooled model. Exploratory; not adjusted for multiple comparisons.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djusted odds ratios refitted within each level of coronary sites bypassed. Interaction p-values are design-based Wald tests on the pooled model. Exploratory; not adjusted for multiple comparisons."/>
      </w:tblPr>
      <w:tblGrid>
        <w:gridCol w:w="2416"/>
        <w:gridCol w:w="1141"/>
        <w:gridCol w:w="1141"/>
        <w:gridCol w:w="1141"/>
        <w:gridCol w:w="1141"/>
        <w:gridCol w:w="9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Bleeding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(1.06-1.75)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(0.79-1.26)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 (0.93-1.64)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(0.76-2.08)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 (0.94-1.39)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 (0.88-1.23)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(0.85-1.26)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(0.57-1.25)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 (1.15-1.50)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 (1.24-1.56)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 (1.17-1.56)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 (1.03-1.67)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Congestive 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(1.05-1.32)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 (1.18-1.44)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 (1.05-1.37)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 (1.12-1.76)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kidney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 (0.91-1.19)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 (1.05-1.33)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 (0.94-1.29)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(0.76-1.31)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income quartile (vs 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(0.78-1.05)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(0.74-0.99)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(0.75-1.09)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 (0.49-0.97)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(per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(0.99-1.01)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(0.98-1.00)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(0.99-1.01)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(0.98-1.00)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0.423</w:t>
            </w:r>
          </w:p>
        </w:tc>
      </w:tr>
    </w:tbl>
    <w:bookmarkEnd w:id="41"/>
    <w:bookmarkStart w:id="42" w:name="cardiopulmonary-bypass"/>
    <w:p>
      <w:pPr>
        <w:pStyle w:val="Heading3"/>
      </w:pPr>
      <w:r>
        <w:t xml:space="preserve">Cardiopulmonary bypass</w:t>
      </w:r>
    </w:p>
    <w:p>
      <w:pPr>
        <w:pStyle w:val="TableCaption"/>
      </w:pPr>
      <w:r>
        <w:t xml:space="preserve">Adjusted odds ratios refitted within each level of cardiopulmonary bypass. Interaction p-values are design-based Wald tests on the pooled model. Exploratory; not adjusted for multiple comparisons.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djusted odds ratios refitted within each level of cardiopulmonary bypass. Interaction p-values are design-based Wald tests on the pooled model. Exploratory; not adjusted for multiple comparisons."/>
      </w:tblPr>
      <w:tblGrid>
        <w:gridCol w:w="3065"/>
        <w:gridCol w:w="1703"/>
        <w:gridCol w:w="1958"/>
        <w:gridCol w:w="1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On-pump (CPB coded)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Off-pump (no CPB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Bleeding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 (1.03-1.46)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(0.74-1.35)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(0.88-1.11)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 (1.15-1.71)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 complication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 (1.24-1.45)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 (1.18-1.57)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Congestive 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(1.13-1.30)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 (1.22-1.55)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kidney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 (1.02-1.19)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 (0.96-1.31)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income quartile (vs 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 (0.78-0.96)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(0.75-1.11)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(per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</w:t>
            </w:r>
          </w:p>
        </w:tc>
      </w:tr>
    </w:tbl>
    <w:bookmarkEnd w:id="42"/>
    <w:bookmarkEnd w:id="43"/>
    <w:bookmarkStart w:id="44" w:name="table-7-sensitivity-analyses"/>
    <w:p>
      <w:pPr>
        <w:pStyle w:val="Heading2"/>
      </w:pPr>
      <w:r>
        <w:t xml:space="preserve">Table 7 — Sensitivity Analyses</w:t>
      </w:r>
    </w:p>
    <w:p>
      <w:pPr>
        <w:pStyle w:val="FirstParagraph"/>
      </w:pPr>
      <w:r>
        <w:t xml:space="preserve">Row S7 contains the adjusted odds ratios for the two narrow single-code</w:t>
      </w:r>
      <w:r>
        <w:t xml:space="preserve"> </w:t>
      </w:r>
      <w:r>
        <w:t xml:space="preserve">exposures (postprocedural haemorrhage or haematoma; postprocedural infection,</w:t>
      </w:r>
      <w:r>
        <w:t xml:space="preserve"> </w:t>
      </w:r>
      <w:r>
        <w:rPr>
          <w:rStyle w:val="VerbatimChar"/>
        </w:rPr>
        <w:t xml:space="preserve">T81.4x</w:t>
      </w:r>
      <w:r>
        <w:t xml:space="preserve">). These are the corrected counterparts of the withdrawn v1 hazard</w:t>
      </w:r>
      <w:r>
        <w:t xml:space="preserve"> </w:t>
      </w:r>
      <w:r>
        <w:t xml:space="preserve">ratios. They do not appear in Tables 4, 4b, 4c or 4d, which report the</w:t>
      </w:r>
      <w:r>
        <w:t xml:space="preserve"> </w:t>
      </w:r>
      <w:r>
        <w:t xml:space="preserve">composites only.</w:t>
      </w:r>
    </w:p>
    <w:p>
      <w:pPr>
        <w:pStyle w:val="TableCaption"/>
      </w:pPr>
      <w:r>
        <w:t xml:space="preserve">Table 7. Pre-specified sensitivity analyses.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 Pre-specified sensitivity analyses.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 Cox model, full cohort, censored at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7,319 events and 47,984 censored observations in the risk set. Global Schoenfeld residual test p = &lt;0.001. Computed on an unweighted Cox fit with the same formula, since cox.zph() is not defined for survey-weighted models; interpret as an approximate diagnostic.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S2. Isolated CABG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47,946; rate 12.5% (12.2-12.9); bleeding complication composite OR 1.06 (0.90-1.25); infectious complication composite OR 1.11 (0.99-1.24).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S3. Elective index admissions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25,465; rate 11.8% (11.3-12.3); bleeding complication composite OR 1.43 (1.14-1.79); infectious complication composite OR 1.08 (0.91-1.29).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S4. Unplanned readmission as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55,303; rate 12.1% (11.8-12.5); bleeding complication composite OR 1.13 (0.97-1.31); infectious complication composite OR 1.04 (0.93-1.15).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S5. Income quartile x payer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p = 0.595 – no evidence that the income association differs by payer.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S6. Obesity class from Z68 BMI codes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43,782; rate 13.0% (12.6-13.4); class III vs I OR 1.42 (1.31-1.55).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S7. Narrow v1 exposures under the corrected model: postprocedural haemorrhage or haematoma (v1 bleeding definition) and postprocedural infection (T81.4x)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Postprocedural haemorrhage or haematoma, v1 bleeding definition: OR 1.11 (0.91-1.35) (p = 0.302); postprocedural infection (T81.4x): OR 1.40 (1.08-1.82) (p = 0.012). These are NARROW single-code exposures and are not the same variables as the bleeding and infectious complication COMPOSITES of Table 4, which additionally contain tamponade, sepsis, pneumonia, mediastinitis and wound disruption.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7b. Income quartile: main effect, joint test, and interaction with payer.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b. Income quartile: main effect, joint test, and interaction with payer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vs lowest income quartile, adjusted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0.87 (0.80-0.95)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quartile, joint design-based Wald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quartile x primary payer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0.595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7c. Survey-weighted Cox proportional hazards model, fitted on the FULL index cohort with administrative censoring at 30 days. Reported as a sensitivity analysis only. This is the corrected counterpart of Table 3 of the previously submitted manuscript.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c. Survey-weighted Cox proportional hazards model, fitted on the FULL index cohort with administrative censoring at 30 days. Reported as a sensitivity analysis only. This is the corrected counterpart of Table 3 of the previously submitted manuscrip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cabg_typeCABG + valve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n_vessels4 or more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pump_statusOff-pump (no CPB code)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obesity_classClass II (BMI 35-39.9)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obesity_classClass III (BMI &gt;= 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obesity_classUnspecified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PAY1Medicaid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PAY1Medicare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PAY1Other/self-pay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ZIPINC_QRTL26th to 50th percentile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ZIPINC_QRTL51st to 75th percentile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ZIPINC_QRTL76th to 100th percentile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ZIPINC_QRTLMissing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AWEEKENDWeekend (Sat-Sun)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Admission_TypeNon-elective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HOSP_BEDSIZELarge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HOSP_BEDSIZEMedium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HOSP_UR_TEACHMetropolitan, teaching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HOSP_UR_TEACHNon-metropolitan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is_dmYes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is_htnYes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is_dyslipidemiaYes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is_chfYes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is_prior_miYes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is_prior_strokeYes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is_valve_diseaseYes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is_pvdYes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is_ckd_nonesrdYes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is_esrdYes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is_copdYes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is_osaYes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is_pulm_htnYes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is_anemiaYes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is_coagulopathyYes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is_liverYes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is_smokingYes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is_depressionYes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comp_bleedingYes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comp_infectiousYes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comp_cardiacYes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comp_renalYes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comp_pulmonaryYes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comp_neuroYes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Global Schoenfeld residual test p = &lt;0.001. Computed on an unweighted Cox fit with the same formula, since cox.zph() is not defined for survey-weighted models; interpret as an approximate diagnostic.</w:t>
      </w:r>
    </w:p>
    <w:bookmarkEnd w:id="44"/>
    <w:bookmarkStart w:id="45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LC_COLLATE=English_United States.utf8 </w:t>
      </w:r>
      <w:r>
        <w:br/>
      </w:r>
      <w:r>
        <w:rPr>
          <w:rStyle w:val="VerbatimChar"/>
        </w:rPr>
        <w:t xml:space="preserve">[2] LC_CTYPE=English_United States.utf8   </w:t>
      </w:r>
      <w:r>
        <w:br/>
      </w:r>
      <w:r>
        <w:rPr>
          <w:rStyle w:val="VerbatimChar"/>
        </w:rPr>
        <w:t xml:space="preserve">[3] LC_MONETARY=English_United States.utf8</w:t>
      </w:r>
      <w:r>
        <w:br/>
      </w:r>
      <w:r>
        <w:rPr>
          <w:rStyle w:val="VerbatimChar"/>
        </w:rPr>
        <w:t xml:space="preserve">[4] LC_NUMERIC=C                          </w:t>
      </w:r>
      <w:r>
        <w:br/>
      </w:r>
      <w:r>
        <w:rPr>
          <w:rStyle w:val="VerbatimChar"/>
        </w:rPr>
        <w:t xml:space="preserve">[5] LC_TIME=English_United States.utf8    </w:t>
      </w:r>
      <w:r>
        <w:br/>
      </w:r>
      <w:r>
        <w:br/>
      </w:r>
      <w:r>
        <w:rPr>
          <w:rStyle w:val="VerbatimChar"/>
        </w:rPr>
        <w:t xml:space="preserve">time zone: Asia/Karachi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grid      stats     graphics  grDevices datasets  utils     methods  </w:t>
      </w:r>
      <w:r>
        <w:br/>
      </w:r>
      <w:r>
        <w:rPr>
          <w:rStyle w:val="VerbatimChar"/>
        </w:rPr>
        <w:t xml:space="preserve">[8]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scales_1.4.0         broom.helpers_1.22.0 gtsummary_2.5.1     </w:t>
      </w:r>
      <w:r>
        <w:br/>
      </w:r>
      <w:r>
        <w:rPr>
          <w:rStyle w:val="VerbatimChar"/>
        </w:rPr>
        <w:t xml:space="preserve"> [4] srvyr_1.3.1          survey_4.5           survival_3.8-3      </w:t>
      </w:r>
      <w:r>
        <w:br/>
      </w:r>
      <w:r>
        <w:rPr>
          <w:rStyle w:val="VerbatimChar"/>
        </w:rPr>
        <w:t xml:space="preserve"> [7] Matrix_1.7-3         arrow_25.0.0         lubridate_1.9.5     </w:t>
      </w:r>
      <w:r>
        <w:br/>
      </w:r>
      <w:r>
        <w:rPr>
          <w:rStyle w:val="VerbatimChar"/>
        </w:rPr>
        <w:t xml:space="preserve">[10] forcats_1.0.1        stringr_1.6.0        dplyr_1.2.1         </w:t>
      </w:r>
      <w:r>
        <w:br/>
      </w:r>
      <w:r>
        <w:rPr>
          <w:rStyle w:val="VerbatimChar"/>
        </w:rPr>
        <w:t xml:space="preserve">[13] purrr_1.2.2          readr_2.2.0          tidyr_1.3.2         </w:t>
      </w:r>
      <w:r>
        <w:br/>
      </w:r>
      <w:r>
        <w:rPr>
          <w:rStyle w:val="VerbatimChar"/>
        </w:rPr>
        <w:t xml:space="preserve">[16] tibble_3.3.1         ggplot2_4.0.3        tidyverse_2.0.0  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gtable_0.3.6       xfun_0.60          lattice_0.22-7     tzdb_0.5.0        </w:t>
      </w:r>
      <w:r>
        <w:br/>
      </w:r>
      <w:r>
        <w:rPr>
          <w:rStyle w:val="VerbatimChar"/>
        </w:rPr>
        <w:t xml:space="preserve"> [5] vctrs_0.7.3        tools_4.5.1        generics_0.1.4     pkgconfig_2.0.3   </w:t>
      </w:r>
      <w:r>
        <w:br/>
      </w:r>
      <w:r>
        <w:rPr>
          <w:rStyle w:val="VerbatimChar"/>
        </w:rPr>
        <w:t xml:space="preserve"> [9] RColorBrewer_1.1-3 S7_0.2.2           assertthat_0.2.1   gt_1.3.0          </w:t>
      </w:r>
      <w:r>
        <w:br/>
      </w:r>
      <w:r>
        <w:rPr>
          <w:rStyle w:val="VerbatimChar"/>
        </w:rPr>
        <w:t xml:space="preserve">[13] lifecycle_1.0.5    compiler_4.5.1     farver_2.1.2       mitools_2.4       </w:t>
      </w:r>
      <w:r>
        <w:br/>
      </w:r>
      <w:r>
        <w:rPr>
          <w:rStyle w:val="VerbatimChar"/>
        </w:rPr>
        <w:t xml:space="preserve">[17] codetools_0.2-20   htmltools_0.5.9    yaml_2.3.12        pillar_1.11.1     </w:t>
      </w:r>
      <w:r>
        <w:br/>
      </w:r>
      <w:r>
        <w:rPr>
          <w:rStyle w:val="VerbatimChar"/>
        </w:rPr>
        <w:t xml:space="preserve">[21] commonmark_2.0.0   tidyselect_1.2.1   digest_0.6.39      stringi_1.8.9     </w:t>
      </w:r>
      <w:r>
        <w:br/>
      </w:r>
      <w:r>
        <w:rPr>
          <w:rStyle w:val="VerbatimChar"/>
        </w:rPr>
        <w:t xml:space="preserve">[25] splines_4.5.1      labelled_2.16.0    fastmap_1.2.0      cli_3.6.6         </w:t>
      </w:r>
      <w:r>
        <w:br/>
      </w:r>
      <w:r>
        <w:rPr>
          <w:rStyle w:val="VerbatimChar"/>
        </w:rPr>
        <w:t xml:space="preserve">[29] magrittr_2.0.5     cards_0.8.1        broom_1.0.13       withr_3.0.3       </w:t>
      </w:r>
      <w:r>
        <w:br/>
      </w:r>
      <w:r>
        <w:rPr>
          <w:rStyle w:val="VerbatimChar"/>
        </w:rPr>
        <w:t xml:space="preserve">[33] backports_1.5.1    bit64_4.8.2        cardx_0.3.4        timechange_0.4.0  </w:t>
      </w:r>
      <w:r>
        <w:br/>
      </w:r>
      <w:r>
        <w:rPr>
          <w:rStyle w:val="VerbatimChar"/>
        </w:rPr>
        <w:t xml:space="preserve">[37] rmarkdown_2.31     bit_4.6.0          otel_0.2.0         hms_1.1.4         </w:t>
      </w:r>
      <w:r>
        <w:br/>
      </w:r>
      <w:r>
        <w:rPr>
          <w:rStyle w:val="VerbatimChar"/>
        </w:rPr>
        <w:t xml:space="preserve">[41] evaluate_1.0.5     haven_2.5.5        knitr_1.51         rlang_1.3.0       </w:t>
      </w:r>
      <w:r>
        <w:br/>
      </w:r>
      <w:r>
        <w:rPr>
          <w:rStyle w:val="VerbatimChar"/>
        </w:rPr>
        <w:t xml:space="preserve">[45] Rcpp_1.1.2         glue_1.8.1         DBI_1.3.0          xml2_1.6.0        </w:t>
      </w:r>
      <w:r>
        <w:br/>
      </w:r>
      <w:r>
        <w:rPr>
          <w:rStyle w:val="VerbatimChar"/>
        </w:rPr>
        <w:t xml:space="preserve">[49] renv_1.1.4         rstudioapi_0.19.0  jsonlite_2.0.0     R6_2.6.1          </w:t>
      </w:r>
      <w:r>
        <w:br/>
      </w:r>
      <w:r>
        <w:rPr>
          <w:rStyle w:val="VerbatimChar"/>
        </w:rPr>
        <w:t xml:space="preserve">[53] fs_2.1.0          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Thirty-Day Readmission After Coronary Artery Bypass Grafting in Patients With Obesity: A Nationwide Analysis</dc:title>
  <dc:creator>Muhammad Saad; Adeena Jamil</dc:creator>
  <cp:keywords/>
  <dcterms:created xsi:type="dcterms:W3CDTF">2026-09-01T21:14:05Z</dcterms:created>
  <dcterms:modified xsi:type="dcterms:W3CDTF">2026-09-01T21:14:05Z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RCOP NRD A28 — rebuilt analysis (v2), Nationwide Readmissions Database 2016–2017</vt:lpwstr>
  </property>
  <property fmtid="{D5CDD505-2E9C-101B-9397-08002B2CF9AE}" pid="12" name="toc-title">
    <vt:lpwstr>Table of contents</vt:lpwstr>
  </property>
</Properties>
</file>