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Thirty-Day</w:t>
      </w:r>
      <w:r>
        <w:t xml:space="preserve"> </w:t>
      </w:r>
      <w:r>
        <w:t xml:space="preserve">Readmission</w:t>
      </w:r>
      <w:r>
        <w:t xml:space="preserve"> </w:t>
      </w:r>
      <w:r>
        <w:t xml:space="preserve">Rates,</w:t>
      </w:r>
      <w:r>
        <w:t xml:space="preserve"> </w:t>
      </w:r>
      <w:r>
        <w:t xml:space="preserve">Timing,</w:t>
      </w:r>
      <w:r>
        <w:t xml:space="preserve"> </w:t>
      </w:r>
      <w:r>
        <w:t xml:space="preserve">Predictors,</w:t>
      </w:r>
      <w:r>
        <w:t xml:space="preserve"> </w:t>
      </w:r>
      <w:r>
        <w:t xml:space="preserve">and</w:t>
      </w:r>
      <w:r>
        <w:t xml:space="preserve"> </w:t>
      </w:r>
      <w:r>
        <w:t xml:space="preserve">Costs</w:t>
      </w:r>
      <w:r>
        <w:t xml:space="preserve"> </w:t>
      </w:r>
      <w:r>
        <w:t xml:space="preserve">After</w:t>
      </w:r>
      <w:r>
        <w:t xml:space="preserve"> </w:t>
      </w:r>
      <w:r>
        <w:t xml:space="preserve">Coronary</w:t>
      </w:r>
      <w:r>
        <w:t xml:space="preserve"> </w:t>
      </w:r>
      <w:r>
        <w:t xml:space="preserve">Artery</w:t>
      </w:r>
      <w:r>
        <w:t xml:space="preserve"> </w:t>
      </w:r>
      <w:r>
        <w:t xml:space="preserve">Bypass</w:t>
      </w:r>
      <w:r>
        <w:t xml:space="preserve"> </w:t>
      </w:r>
      <w:r>
        <w:t xml:space="preserve">Graft</w:t>
      </w:r>
      <w:r>
        <w:t xml:space="preserve"> </w:t>
      </w:r>
      <w:r>
        <w:t xml:space="preserve">Surgery</w:t>
      </w:r>
      <w:r>
        <w:t xml:space="preserve"> </w:t>
      </w:r>
      <w:r>
        <w:t xml:space="preserve">in</w:t>
      </w:r>
      <w:r>
        <w:t xml:space="preserve"> </w:t>
      </w:r>
      <w:r>
        <w:t xml:space="preserve">Obese</w:t>
      </w:r>
      <w:r>
        <w:t xml:space="preserve"> </w:t>
      </w:r>
      <w:r>
        <w:t xml:space="preserve">Patients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A28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Adeena</w:t>
      </w:r>
      <w:r>
        <w:t xml:space="preserve"> </w:t>
      </w:r>
      <w:r>
        <w:t xml:space="preserve">Jamil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Kim et al., 2018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Yeo et al., 2019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evaluate 30-day all-cause hospital readmissions following coronary artery bypass grafting (CABG) among patients with obesity, using a nationally representative sample of U.S. hospitalizations. Specifically, the study aims to:</w:t>
      </w:r>
    </w:p>
    <w:p>
      <w:pPr>
        <w:numPr>
          <w:ilvl w:val="1"/>
          <w:numId w:val="1003"/>
        </w:numPr>
      </w:pPr>
      <w:r>
        <w:t xml:space="preserve">Describe demographic, clinical, and hospital-level characteristics of patients undergoing CABG who are obese.</w:t>
      </w:r>
    </w:p>
    <w:p>
      <w:pPr>
        <w:numPr>
          <w:ilvl w:val="1"/>
          <w:numId w:val="1003"/>
        </w:numPr>
      </w:pPr>
      <w:r>
        <w:t xml:space="preserve">Quantify 30-day readmission rates and timing.</w:t>
      </w:r>
    </w:p>
    <w:p>
      <w:pPr>
        <w:numPr>
          <w:ilvl w:val="1"/>
          <w:numId w:val="1003"/>
        </w:numPr>
      </w:pPr>
      <w:r>
        <w:t xml:space="preserve">Compare in-hospital mortality and healthcare utilization between index and readmission hospitalizations.</w:t>
      </w:r>
    </w:p>
    <w:p>
      <w:pPr>
        <w:numPr>
          <w:ilvl w:val="1"/>
          <w:numId w:val="1003"/>
        </w:numPr>
      </w:pPr>
      <w:r>
        <w:t xml:space="preserve">Identify predictors of readmission in this surgical cohort.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defined using the following criteria:</w:t>
      </w:r>
    </w:p>
    <w:p>
      <w:pPr>
        <w:numPr>
          <w:ilvl w:val="1"/>
          <w:numId w:val="1004"/>
        </w:numPr>
      </w:pPr>
      <w:r>
        <w:t xml:space="preserve">Adults aged ≥18 years</w:t>
      </w:r>
    </w:p>
    <w:p>
      <w:pPr>
        <w:numPr>
          <w:ilvl w:val="1"/>
          <w:numId w:val="1004"/>
        </w:numPr>
      </w:pPr>
      <w:r>
        <w:t xml:space="preserve">Diagnosed with obesity, identified by ICD-10-CM codes:</w:t>
      </w:r>
    </w:p>
    <w:p>
      <w:pPr>
        <w:pStyle w:val="Compact"/>
        <w:numPr>
          <w:ilvl w:val="2"/>
          <w:numId w:val="1005"/>
        </w:numPr>
      </w:pPr>
      <w:r>
        <w:t xml:space="preserve">E6601, E6609, E661, E662, E668, E66811, E66812, E66813, E6689, E669, Z6830–Z6845</w:t>
      </w:r>
    </w:p>
    <w:p>
      <w:pPr>
        <w:numPr>
          <w:ilvl w:val="1"/>
          <w:numId w:val="1004"/>
        </w:numPr>
      </w:pPr>
      <w:r>
        <w:t xml:space="preserve">Underwent CABG, identified by ICD-10-PCS procedure codes</w:t>
      </w:r>
    </w:p>
    <w:p>
      <w:pPr>
        <w:numPr>
          <w:ilvl w:val="1"/>
          <w:numId w:val="1004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4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6"/>
        </w:numPr>
      </w:pPr>
      <w:r>
        <w:t xml:space="preserve">Primary Outcome:</w:t>
      </w:r>
    </w:p>
    <w:p>
      <w:pPr>
        <w:pStyle w:val="Compact"/>
        <w:numPr>
          <w:ilvl w:val="2"/>
          <w:numId w:val="1007"/>
        </w:numPr>
      </w:pPr>
      <w:r>
        <w:t xml:space="preserve">All-cause 30-day readmission (Yes/No), flagged using NRD linkage variables</w:t>
      </w:r>
    </w:p>
    <w:p>
      <w:pPr>
        <w:numPr>
          <w:ilvl w:val="1"/>
          <w:numId w:val="1006"/>
        </w:numPr>
      </w:pPr>
      <w:r>
        <w:t xml:space="preserve">Secondary Outcomes (index admission):</w:t>
      </w:r>
    </w:p>
    <w:p>
      <w:pPr>
        <w:numPr>
          <w:ilvl w:val="2"/>
          <w:numId w:val="1008"/>
        </w:numPr>
      </w:pPr>
      <w:r>
        <w:t xml:space="preserve">In-hospital mortality (DIED)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8"/>
        </w:numPr>
      </w:pPr>
      <w:r>
        <w:t xml:space="preserve">Non-home discharge</w:t>
      </w:r>
    </w:p>
    <w:p>
      <w:pPr>
        <w:numPr>
          <w:ilvl w:val="1"/>
          <w:numId w:val="1006"/>
        </w:numPr>
      </w:pPr>
      <w:r>
        <w:t xml:space="preserve">Readmission Characteristics:</w:t>
      </w:r>
    </w:p>
    <w:p>
      <w:pPr>
        <w:numPr>
          <w:ilvl w:val="2"/>
          <w:numId w:val="1009"/>
        </w:numPr>
      </w:pPr>
      <w:r>
        <w:t xml:space="preserve">In-hospital mortality</w:t>
      </w:r>
    </w:p>
    <w:p>
      <w:pPr>
        <w:numPr>
          <w:ilvl w:val="2"/>
          <w:numId w:val="1009"/>
        </w:numPr>
      </w:pPr>
      <w:r>
        <w:t xml:space="preserve">Length of stay (LOS, in days)</w:t>
      </w:r>
    </w:p>
    <w:p>
      <w:pPr>
        <w:numPr>
          <w:ilvl w:val="2"/>
          <w:numId w:val="1009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0"/>
        </w:numPr>
      </w:pPr>
      <w:r>
        <w:t xml:space="preserve">Readmission:</w:t>
      </w:r>
    </w:p>
    <w:p>
      <w:pPr>
        <w:numPr>
          <w:ilvl w:val="2"/>
          <w:numId w:val="1011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1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0"/>
        </w:numPr>
      </w:pPr>
      <w:r>
        <w:t xml:space="preserve">Mortality:</w:t>
      </w:r>
    </w:p>
    <w:p>
      <w:pPr>
        <w:pStyle w:val="Compact"/>
        <w:numPr>
          <w:ilvl w:val="2"/>
          <w:numId w:val="1012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0"/>
        </w:numPr>
      </w:pPr>
      <w:r>
        <w:t xml:space="preserve">LOS:</w:t>
      </w:r>
    </w:p>
    <w:p>
      <w:pPr>
        <w:pStyle w:val="Compact"/>
        <w:numPr>
          <w:ilvl w:val="2"/>
          <w:numId w:val="1013"/>
        </w:numPr>
      </w:pPr>
      <w:r>
        <w:t xml:space="preserve">Reported in days; modeled as count outcome</w:t>
      </w:r>
    </w:p>
    <w:p>
      <w:pPr>
        <w:numPr>
          <w:ilvl w:val="1"/>
          <w:numId w:val="1010"/>
        </w:numPr>
      </w:pPr>
      <w:r>
        <w:t xml:space="preserve">Charge:</w:t>
      </w:r>
    </w:p>
    <w:p>
      <w:pPr>
        <w:pStyle w:val="Compact"/>
        <w:numPr>
          <w:ilvl w:val="2"/>
          <w:numId w:val="1014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10"/>
        </w:numPr>
      </w:pPr>
      <w:r>
        <w:t xml:space="preserve">Non-Home Discharge:</w:t>
      </w:r>
    </w:p>
    <w:p>
      <w:pPr>
        <w:numPr>
          <w:ilvl w:val="2"/>
          <w:numId w:val="1015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6"/>
        </w:numPr>
      </w:pPr>
      <w:r>
        <w:t xml:space="preserve">Transfer to another short-term hospital</w:t>
      </w:r>
    </w:p>
    <w:p>
      <w:pPr>
        <w:numPr>
          <w:ilvl w:val="3"/>
          <w:numId w:val="1016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6"/>
        </w:numPr>
      </w:pPr>
      <w:r>
        <w:t xml:space="preserve">Left against medical advice</w:t>
      </w:r>
    </w:p>
    <w:p>
      <w:pPr>
        <w:numPr>
          <w:ilvl w:val="3"/>
          <w:numId w:val="1016"/>
        </w:numPr>
      </w:pPr>
      <w:r>
        <w:t xml:space="preserve">Died in hospital</w:t>
      </w:r>
    </w:p>
    <w:p>
      <w:pPr>
        <w:numPr>
          <w:ilvl w:val="3"/>
          <w:numId w:val="1016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7"/>
        </w:numPr>
      </w:pPr>
      <w:r>
        <w:t xml:space="preserve">Demographic &amp; Socioeconomic Factors:</w:t>
      </w:r>
    </w:p>
    <w:p>
      <w:pPr>
        <w:numPr>
          <w:ilvl w:val="2"/>
          <w:numId w:val="1018"/>
        </w:numPr>
      </w:pPr>
      <w:r>
        <w:t xml:space="preserve">Age (continuous)</w:t>
      </w:r>
    </w:p>
    <w:p>
      <w:pPr>
        <w:numPr>
          <w:ilvl w:val="2"/>
          <w:numId w:val="1018"/>
        </w:numPr>
      </w:pPr>
      <w:r>
        <w:t xml:space="preserve">Sex (FEMALE; ref = Male)</w:t>
      </w:r>
    </w:p>
    <w:p>
      <w:pPr>
        <w:numPr>
          <w:ilvl w:val="2"/>
          <w:numId w:val="1018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8"/>
        </w:numPr>
      </w:pPr>
      <w:r>
        <w:t xml:space="preserve">Income quartile based on ZIP code (ZIPINC_QRTL)</w:t>
      </w:r>
    </w:p>
    <w:p>
      <w:pPr>
        <w:numPr>
          <w:ilvl w:val="2"/>
          <w:numId w:val="1018"/>
        </w:numPr>
      </w:pPr>
      <w:r>
        <w:t xml:space="preserve">Weekend vs weekday admission (AWEEKEND)</w:t>
      </w:r>
    </w:p>
    <w:p>
      <w:pPr>
        <w:numPr>
          <w:ilvl w:val="2"/>
          <w:numId w:val="1018"/>
        </w:numPr>
      </w:pPr>
      <w:r>
        <w:t xml:space="preserve">Elective vs non-elective admission</w:t>
      </w:r>
    </w:p>
    <w:p>
      <w:pPr>
        <w:numPr>
          <w:ilvl w:val="1"/>
          <w:numId w:val="1017"/>
        </w:numPr>
      </w:pPr>
      <w:r>
        <w:t xml:space="preserve">Clinical Variables:</w:t>
      </w:r>
    </w:p>
    <w:p>
      <w:pPr>
        <w:numPr>
          <w:ilvl w:val="2"/>
          <w:numId w:val="1019"/>
        </w:numPr>
      </w:pPr>
      <w:r>
        <w:t xml:space="preserve">Elixhauser Comorbidity Index (elixsum), modeled as a continuous variable</w:t>
      </w:r>
    </w:p>
    <w:p>
      <w:pPr>
        <w:numPr>
          <w:ilvl w:val="2"/>
          <w:numId w:val="1019"/>
        </w:numPr>
      </w:pPr>
      <w:r>
        <w:t xml:space="preserve">In-Hospital/Postoperative complications:</w:t>
      </w:r>
    </w:p>
    <w:p>
      <w:pPr>
        <w:numPr>
          <w:ilvl w:val="3"/>
          <w:numId w:val="1020"/>
        </w:numPr>
      </w:pPr>
      <w:r>
        <w:t xml:space="preserve">Infection</w:t>
      </w:r>
    </w:p>
    <w:p>
      <w:pPr>
        <w:numPr>
          <w:ilvl w:val="3"/>
          <w:numId w:val="1020"/>
        </w:numPr>
      </w:pPr>
      <w:r>
        <w:t xml:space="preserve">Bleeding</w:t>
      </w:r>
    </w:p>
    <w:p>
      <w:pPr>
        <w:numPr>
          <w:ilvl w:val="3"/>
          <w:numId w:val="1020"/>
        </w:numPr>
      </w:pPr>
      <w:r>
        <w:t xml:space="preserve">Acute kidney injury</w:t>
      </w:r>
    </w:p>
    <w:p>
      <w:pPr>
        <w:numPr>
          <w:ilvl w:val="3"/>
          <w:numId w:val="1020"/>
        </w:numPr>
      </w:pPr>
      <w:r>
        <w:t xml:space="preserve">Ischemic stroke</w:t>
      </w:r>
    </w:p>
    <w:p>
      <w:pPr>
        <w:numPr>
          <w:ilvl w:val="1"/>
          <w:numId w:val="1017"/>
        </w:numPr>
      </w:pPr>
      <w:r>
        <w:t xml:space="preserve">Hospital Characteristics:</w:t>
      </w:r>
    </w:p>
    <w:p>
      <w:pPr>
        <w:numPr>
          <w:ilvl w:val="2"/>
          <w:numId w:val="1021"/>
        </w:numPr>
      </w:pPr>
      <w:r>
        <w:t xml:space="preserve">Hospital bed size (Small, Medium, Large)</w:t>
      </w:r>
    </w:p>
    <w:p>
      <w:pPr>
        <w:numPr>
          <w:ilvl w:val="2"/>
          <w:numId w:val="1021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7"/>
        </w:numPr>
      </w:pPr>
      <w:r>
        <w:t xml:space="preserve">Disposition and Severity:</w:t>
      </w:r>
    </w:p>
    <w:p>
      <w:pPr>
        <w:numPr>
          <w:ilvl w:val="2"/>
          <w:numId w:val="1022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2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3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4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3"/>
        </w:numPr>
      </w:pPr>
      <w:r>
        <w:t xml:space="preserve">Descriptive Analyses:</w:t>
      </w:r>
    </w:p>
    <w:p>
      <w:pPr>
        <w:numPr>
          <w:ilvl w:val="2"/>
          <w:numId w:val="1025"/>
        </w:numPr>
      </w:pPr>
      <w:r>
        <w:t xml:space="preserve">Baseline characteristics were summarized by readmission status using survey-weighted means/proportions.</w:t>
      </w:r>
    </w:p>
    <w:p>
      <w:pPr>
        <w:numPr>
          <w:ilvl w:val="2"/>
          <w:numId w:val="1025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3"/>
        </w:numPr>
      </w:pPr>
      <w:r>
        <w:t xml:space="preserve">Multivariable Modeling:</w:t>
      </w:r>
    </w:p>
    <w:p>
      <w:pPr>
        <w:numPr>
          <w:ilvl w:val="2"/>
          <w:numId w:val="1026"/>
        </w:numPr>
      </w:pPr>
      <w:r>
        <w:t xml:space="preserve">A survey-weighted Cox proportional hazards model was fitted to assess predictors of 30-day readmission.</w:t>
      </w:r>
    </w:p>
    <w:p>
      <w:pPr>
        <w:numPr>
          <w:ilvl w:val="2"/>
          <w:numId w:val="1026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6"/>
        </w:numPr>
      </w:pPr>
      <w:r>
        <w:t xml:space="preserve">Hazard ratios (HRs) with 95% confidence intervals (CIs) were reported</w:t>
      </w:r>
    </w:p>
    <w:p>
      <w:pPr>
        <w:numPr>
          <w:ilvl w:val="1"/>
          <w:numId w:val="1023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7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2"/>
    <w:bookmarkStart w:id="23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109,925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100,781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9,144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76,359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70,427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5,932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33,566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30,354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3,211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34,329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8,519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7,702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817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58,513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52,852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31,022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28,201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32,269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27,676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25,492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16,038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96,597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88,706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7,890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13,328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51,371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47,470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58,101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52,887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5,214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9,924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72,175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66,043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6,133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19,893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18,184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86,657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79,526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7,131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3,375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67,731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61,695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6,035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26,496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42,154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37,691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27,639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24,616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17,196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876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806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2,337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26,078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23,082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1,617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8" w:name="unadjusted-outcomes"/>
    <w:p>
      <w:pPr>
        <w:pStyle w:val="Heading2"/>
      </w:pPr>
      <w:r>
        <w:t xml:space="preserve">Unadjusted Outcomes</w:t>
      </w:r>
    </w:p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109,925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100,781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9,144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167,281 (115,709, 256,321)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164,869 (114,407, 251,289)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197,399 (134,243, 312,709)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25,883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22,805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day-readmission-timing"/>
    <w:p>
      <w:pPr>
        <w:pStyle w:val="Heading3"/>
      </w:pPr>
      <w:r>
        <w:t xml:space="preserve">30-Day Readmission Timing</w:t>
      </w:r>
    </w:p>
    <w:p>
      <w:pPr>
        <w:pStyle w:val="FirstParagraph"/>
      </w:pPr>
      <w:r>
        <w:t xml:space="preserve">The median time to 30-day readmission following index hospitalization was 9 days (IQR: 4–17).</w:t>
      </w:r>
    </w:p>
    <w:bookmarkEnd w:id="25"/>
    <w:bookmarkStart w:id="26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8"/>
        </w:numPr>
      </w:pPr>
      <w:r>
        <w:t xml:space="preserve">Deaths (n): 2538</w:t>
      </w:r>
    </w:p>
    <w:p>
      <w:pPr>
        <w:numPr>
          <w:ilvl w:val="0"/>
          <w:numId w:val="1028"/>
        </w:numPr>
      </w:pPr>
      <w:r>
        <w:t xml:space="preserve">Death Rate (%): 2.31%</w:t>
      </w:r>
    </w:p>
    <w:p>
      <w:pPr>
        <w:numPr>
          <w:ilvl w:val="0"/>
          <w:numId w:val="1028"/>
        </w:numPr>
      </w:pPr>
      <w:r>
        <w:t xml:space="preserve">Death Rate (95% CI): 2.14% to 2.48%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9"/>
        </w:numPr>
      </w:pPr>
      <w:r>
        <w:t xml:space="preserve">Deaths (n): 208</w:t>
      </w:r>
    </w:p>
    <w:p>
      <w:pPr>
        <w:numPr>
          <w:ilvl w:val="0"/>
          <w:numId w:val="1029"/>
        </w:numPr>
      </w:pPr>
      <w:r>
        <w:t xml:space="preserve">Death Rate (%): 2.3%</w:t>
      </w:r>
    </w:p>
    <w:p>
      <w:pPr>
        <w:numPr>
          <w:ilvl w:val="0"/>
          <w:numId w:val="1029"/>
        </w:numPr>
      </w:pPr>
      <w:r>
        <w:t xml:space="preserve">Death Rate (95% CI): 1.74% to 2.85%</w:t>
      </w:r>
    </w:p>
    <w:bookmarkEnd w:id="26"/>
    <w:bookmarkStart w:id="27" w:name="Xa58a080a93584af925ec9e44de8b6d28621e3de"/>
    <w:p>
      <w:pPr>
        <w:pStyle w:val="Heading3"/>
      </w:pPr>
      <w:r>
        <w:t xml:space="preserve">Resource Utilization for Readmission (LOS, Cost)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0"/>
        </w:numPr>
      </w:pPr>
      <w:r>
        <w:t xml:space="preserve">Median Length of Stay (IQR), days: 4 (IQR: 2–6)</w:t>
      </w:r>
    </w:p>
    <w:p>
      <w:pPr>
        <w:numPr>
          <w:ilvl w:val="0"/>
          <w:numId w:val="1030"/>
        </w:numPr>
      </w:pPr>
      <w:r>
        <w:t xml:space="preserve">Median Total Charges (IQR): $31,385 (IQR: $18,275–$59,171)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Xc3dd9450622ca6a79fdfe146281f7a6f8e6031c"/>
    <w:p>
      <w:pPr>
        <w:pStyle w:val="Heading3"/>
      </w:pPr>
      <w:r>
        <w:t xml:space="preserve">Multivariable Predictors of 30-Day Readmission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(1077) clusters.</w:t>
      </w:r>
      <w:r>
        <w:br/>
      </w:r>
      <w:r>
        <w:rPr>
          <w:rStyle w:val="VerbatimChar"/>
        </w:rPr>
        <w:t xml:space="preserve">subset(nrd_design, IndexEvent == 1)</w:t>
      </w:r>
      <w:r>
        <w:br/>
      </w:r>
      <w:r>
        <w:rPr>
          <w:rStyle w:val="VerbatimChar"/>
        </w:rPr>
        <w:t xml:space="preserve">Sampling variables:</w:t>
      </w:r>
      <w:r>
        <w:br/>
      </w:r>
      <w:r>
        <w:rPr>
          <w:rStyle w:val="VerbatimChar"/>
        </w:rPr>
        <w:t xml:space="preserve">  - ids: HOSP_NRD </w:t>
      </w:r>
      <w:r>
        <w:br/>
      </w:r>
      <w:r>
        <w:rPr>
          <w:rStyle w:val="VerbatimChar"/>
        </w:rPr>
        <w:t xml:space="preserve">  - strata: NRD_STRATUM </w:t>
      </w:r>
      <w:r>
        <w:br/>
      </w:r>
      <w:r>
        <w:rPr>
          <w:rStyle w:val="VerbatimChar"/>
        </w:rPr>
        <w:t xml:space="preserve">  - weights: DISCWT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www.ahajournals.org/doi/10.1161/JAHA.118.0098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www.ahajournals.org/doi/10.1161/JAHA.118.0098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Thirty-Day Readmission Rates, Timing, Predictors, and Costs After Coronary Artery Bypass Graft Surgery in Obese Patients</dc:title>
  <dc:creator>Muhammad Saad; Adeena Jamil</dc:creator>
  <cp:keywords/>
  <dcterms:created xsi:type="dcterms:W3CDTF">2025-07-22T23:09:35Z</dcterms:created>
  <dcterms:modified xsi:type="dcterms:W3CDTF">2025-07-22T23:09:35Z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A28</vt:lpwstr>
  </property>
  <property fmtid="{D5CDD505-2E9C-101B-9397-08002B2CF9AE}" pid="12" name="toc-title">
    <vt:lpwstr>Table of contents</vt:lpwstr>
  </property>
</Properties>
</file>