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Association</w:t>
      </w:r>
      <w:r>
        <w:t xml:space="preserve"> </w:t>
      </w:r>
      <w:r>
        <w:t xml:space="preserve">Between</w:t>
      </w:r>
      <w:r>
        <w:t xml:space="preserve"> </w:t>
      </w:r>
      <w:r>
        <w:t xml:space="preserve">Obesity</w:t>
      </w:r>
      <w:r>
        <w:t xml:space="preserve"> </w:t>
      </w:r>
      <w:r>
        <w:t xml:space="preserve">and</w:t>
      </w:r>
      <w:r>
        <w:t xml:space="preserve"> </w:t>
      </w:r>
      <w:r>
        <w:t xml:space="preserve">30-Day</w:t>
      </w:r>
      <w:r>
        <w:t xml:space="preserve"> </w:t>
      </w:r>
      <w:r>
        <w:t xml:space="preserve">Readmissions</w:t>
      </w:r>
      <w:r>
        <w:t xml:space="preserve"> </w:t>
      </w:r>
      <w:r>
        <w:t xml:space="preserve">Following</w:t>
      </w:r>
      <w:r>
        <w:t xml:space="preserve"> </w:t>
      </w:r>
      <w:r>
        <w:t xml:space="preserve">Atrial</w:t>
      </w:r>
      <w:r>
        <w:t xml:space="preserve"> </w:t>
      </w:r>
      <w:r>
        <w:t xml:space="preserve">Fibrillation</w:t>
      </w:r>
      <w:r>
        <w:t xml:space="preserve"> </w:t>
      </w:r>
      <w:r>
        <w:t xml:space="preserve">Ablation</w:t>
      </w:r>
    </w:p>
    <w:p>
      <w:pPr>
        <w:pStyle w:val="Subtitle"/>
      </w:pPr>
      <w:r>
        <w:t xml:space="preserve">RCOP</w:t>
      </w:r>
      <w:r>
        <w:t xml:space="preserve"> </w:t>
      </w:r>
      <w:r>
        <w:t xml:space="preserve">NRD</w:t>
      </w:r>
      <w:r>
        <w:t xml:space="preserve"> </w:t>
      </w:r>
      <w:r>
        <w:t xml:space="preserve">A9</w:t>
      </w:r>
    </w:p>
    <w:p>
      <w:pPr>
        <w:pStyle w:val="Author"/>
      </w:pPr>
      <w:r>
        <w:t xml:space="preserve">Muhammad</w:t>
      </w:r>
      <w:r>
        <w:t xml:space="preserve"> </w:t>
      </w:r>
      <w:r>
        <w:t xml:space="preserve">Saad</w:t>
      </w:r>
    </w:p>
    <w:p>
      <w:pPr>
        <w:pStyle w:val="Author"/>
      </w:pPr>
      <w:r>
        <w:t xml:space="preserve">Adeena</w:t>
      </w:r>
      <w:r>
        <w:t xml:space="preserve"> </w:t>
      </w:r>
      <w:r>
        <w:t xml:space="preserve">Jamil</w:t>
      </w:r>
    </w:p>
    <w:bookmarkStart w:id="23" w:name="preamble"/>
    <w:p>
      <w:pPr>
        <w:pStyle w:val="Heading2"/>
      </w:pPr>
      <w:r>
        <w:t xml:space="preserve">Preamble: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Reference Studies:</w:t>
      </w:r>
    </w:p>
    <w:p>
      <w:pPr>
        <w:numPr>
          <w:ilvl w:val="1"/>
          <w:numId w:val="1002"/>
        </w:numPr>
      </w:pPr>
      <w:hyperlink r:id="rId20">
        <w:r>
          <w:rPr>
            <w:rStyle w:val="Hyperlink"/>
          </w:rPr>
          <w:t xml:space="preserve">Ullah et al., 2023</w:t>
        </w:r>
      </w:hyperlink>
    </w:p>
    <w:p>
      <w:pPr>
        <w:numPr>
          <w:ilvl w:val="1"/>
          <w:numId w:val="1002"/>
        </w:numPr>
      </w:pPr>
      <w:hyperlink r:id="rId21">
        <w:r>
          <w:rPr>
            <w:rStyle w:val="Hyperlink"/>
          </w:rPr>
          <w:t xml:space="preserve">Wu et al., 2022</w:t>
        </w:r>
      </w:hyperlink>
    </w:p>
    <w:p>
      <w:pPr>
        <w:numPr>
          <w:ilvl w:val="1"/>
          <w:numId w:val="1002"/>
        </w:numPr>
      </w:pPr>
      <w:hyperlink r:id="rId22">
        <w:r>
          <w:rPr>
            <w:rStyle w:val="Hyperlink"/>
          </w:rPr>
          <w:t xml:space="preserve">Yeo et al., 2019</w:t>
        </w:r>
      </w:hyperlink>
    </w:p>
    <w:p>
      <w:pPr>
        <w:numPr>
          <w:ilvl w:val="0"/>
          <w:numId w:val="1001"/>
        </w:numPr>
      </w:pPr>
      <w:r>
        <w:rPr>
          <w:b/>
          <w:bCs/>
        </w:rPr>
        <w:t xml:space="preserve">Study Objective:</w:t>
      </w:r>
    </w:p>
    <w:p>
      <w:pPr>
        <w:numPr>
          <w:ilvl w:val="0"/>
          <w:numId w:val="1000"/>
        </w:numPr>
      </w:pPr>
      <w:r>
        <w:t xml:space="preserve">To evaluate the association between obesity and 30-day all-cause hospital readmission following catheter ablation (CA) for atrial fibrillation (AF) among adults in the United States. Secondary objectives included:</w:t>
      </w:r>
    </w:p>
    <w:p>
      <w:pPr>
        <w:numPr>
          <w:ilvl w:val="1"/>
          <w:numId w:val="1003"/>
        </w:numPr>
      </w:pPr>
      <w:r>
        <w:t xml:space="preserve">Comparing demographic, clinical, and hospital-level characteristics by obesity category</w:t>
      </w:r>
    </w:p>
    <w:p>
      <w:pPr>
        <w:numPr>
          <w:ilvl w:val="1"/>
          <w:numId w:val="1003"/>
        </w:numPr>
      </w:pPr>
      <w:r>
        <w:t xml:space="preserve">Assessing differences in index hospitalization outcomes (mortality, LOS, charges, disposition) by obesity</w:t>
      </w:r>
    </w:p>
    <w:p>
      <w:pPr>
        <w:numPr>
          <w:ilvl w:val="1"/>
          <w:numId w:val="1003"/>
        </w:numPr>
      </w:pPr>
      <w:r>
        <w:t xml:space="preserve">Characterizing in-hospital outcomes and resource utilization among readmitted patients</w:t>
      </w:r>
    </w:p>
    <w:p>
      <w:pPr>
        <w:numPr>
          <w:ilvl w:val="1"/>
          <w:numId w:val="1003"/>
        </w:numPr>
      </w:pPr>
      <w:r>
        <w:t xml:space="preserve">Identifying independent predictors of 30-day readmission using survey-weighted Cox regression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Data Source:</w:t>
      </w:r>
    </w:p>
    <w:p>
      <w:pPr>
        <w:numPr>
          <w:ilvl w:val="0"/>
          <w:numId w:val="1000"/>
        </w:numPr>
      </w:pPr>
      <w:r>
        <w:t xml:space="preserve">This retrospective cohort study used data from the 2016–2017 Nationwide Readmissions Database (NRD), developed by the Healthcare Cost and Utilization Project (HCUP). The NRD is a nationally representative, all-payer database of U.S. hospitalizations that allows linkage of patients across hospital stays within a calendar year. Survey weights, stratification, and clustering variables support complex sampling design for national estimates.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Cohort Definition:</w:t>
      </w:r>
    </w:p>
    <w:p>
      <w:pPr>
        <w:numPr>
          <w:ilvl w:val="0"/>
          <w:numId w:val="1000"/>
        </w:numPr>
      </w:pPr>
      <w:r>
        <w:t xml:space="preserve">Index hospitalizations were defined using the following criteria:</w:t>
      </w:r>
    </w:p>
    <w:p>
      <w:pPr>
        <w:numPr>
          <w:ilvl w:val="1"/>
          <w:numId w:val="1004"/>
        </w:numPr>
      </w:pPr>
      <w:r>
        <w:t xml:space="preserve">Adults aged ≥18 years</w:t>
      </w:r>
    </w:p>
    <w:p>
      <w:pPr>
        <w:numPr>
          <w:ilvl w:val="1"/>
          <w:numId w:val="1004"/>
        </w:numPr>
      </w:pPr>
      <w:r>
        <w:t xml:space="preserve">Principal diagnosis of atrial fibrillation, identified using ICD-10-CM codes:</w:t>
      </w:r>
    </w:p>
    <w:p>
      <w:pPr>
        <w:pStyle w:val="Compact"/>
        <w:numPr>
          <w:ilvl w:val="2"/>
          <w:numId w:val="1005"/>
        </w:numPr>
      </w:pPr>
      <w:r>
        <w:t xml:space="preserve">I480, I481, I4811, I4819, I482, I4820, I4821, I4891</w:t>
      </w:r>
    </w:p>
    <w:p>
      <w:pPr>
        <w:numPr>
          <w:ilvl w:val="1"/>
          <w:numId w:val="1004"/>
        </w:numPr>
      </w:pPr>
      <w:r>
        <w:t xml:space="preserve">Underwent catheter ablation during the same hospitalization, identified using ICD-10-PCS procedure codes:</w:t>
      </w:r>
    </w:p>
    <w:p>
      <w:pPr>
        <w:pStyle w:val="Compact"/>
        <w:numPr>
          <w:ilvl w:val="2"/>
          <w:numId w:val="1006"/>
        </w:numPr>
      </w:pPr>
      <w:r>
        <w:t xml:space="preserve">02583ZZ, 02563ZZ, 02573ZZ, 025T3ZZ, 025S3ZZ</w:t>
      </w:r>
    </w:p>
    <w:p>
      <w:pPr>
        <w:numPr>
          <w:ilvl w:val="1"/>
          <w:numId w:val="1004"/>
        </w:numPr>
      </w:pPr>
      <w:r>
        <w:t xml:space="preserve">Index discharge by the end of November to allow for a complete 30-day follow-up period</w:t>
      </w:r>
    </w:p>
    <w:p>
      <w:pPr>
        <w:numPr>
          <w:ilvl w:val="1"/>
          <w:numId w:val="1004"/>
        </w:numPr>
      </w:pPr>
      <w:r>
        <w:t xml:space="preserve">Complete data on LOS and NRD_DAYSTOEVENT, required to compute discharge dates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Exposure Definition: Obesity</w:t>
      </w:r>
    </w:p>
    <w:p>
      <w:pPr>
        <w:numPr>
          <w:ilvl w:val="0"/>
          <w:numId w:val="1000"/>
        </w:numPr>
      </w:pPr>
      <w:r>
        <w:t xml:space="preserve">Obesity was defined using secondary diagnosis fields containing ICD-10-CM codes:</w:t>
      </w:r>
    </w:p>
    <w:p>
      <w:pPr>
        <w:numPr>
          <w:ilvl w:val="1"/>
          <w:numId w:val="1007"/>
        </w:numPr>
      </w:pPr>
      <w:r>
        <w:t xml:space="preserve">E6601, E6609, E661, E662, E668, E66811–E66813, E6689, E669</w:t>
      </w:r>
    </w:p>
    <w:p>
      <w:pPr>
        <w:numPr>
          <w:ilvl w:val="1"/>
          <w:numId w:val="1007"/>
        </w:numPr>
      </w:pPr>
      <w:r>
        <w:t xml:space="preserve">Z6830–Z6839, Z6841–Z6845</w:t>
      </w:r>
    </w:p>
    <w:p>
      <w:pPr>
        <w:numPr>
          <w:ilvl w:val="0"/>
          <w:numId w:val="1000"/>
        </w:numPr>
      </w:pPr>
      <w:r>
        <w:t xml:space="preserve">Patients were classified into</w:t>
      </w:r>
      <w:r>
        <w:t xml:space="preserve"> </w:t>
      </w:r>
      <w:r>
        <w:t xml:space="preserve">“</w:t>
      </w:r>
      <w:r>
        <w:t xml:space="preserve">Obese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Non-Obese</w:t>
      </w:r>
      <w:r>
        <w:t xml:space="preserve">”</w:t>
      </w:r>
      <w:r>
        <w:t xml:space="preserve"> </w:t>
      </w:r>
      <w:r>
        <w:t xml:space="preserve">based on the presence or absence of these codes.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Outcomes of Interest:</w:t>
      </w:r>
    </w:p>
    <w:p>
      <w:pPr>
        <w:numPr>
          <w:ilvl w:val="1"/>
          <w:numId w:val="1008"/>
        </w:numPr>
      </w:pPr>
      <w:r>
        <w:t xml:space="preserve">Primary Outcome:</w:t>
      </w:r>
    </w:p>
    <w:p>
      <w:pPr>
        <w:pStyle w:val="Compact"/>
        <w:numPr>
          <w:ilvl w:val="2"/>
          <w:numId w:val="1009"/>
        </w:numPr>
      </w:pPr>
      <w:r>
        <w:t xml:space="preserve">All-cause 30-day readmission (Yes/No), flagged using NRD linkage variables</w:t>
      </w:r>
    </w:p>
    <w:p>
      <w:pPr>
        <w:numPr>
          <w:ilvl w:val="1"/>
          <w:numId w:val="1008"/>
        </w:numPr>
      </w:pPr>
      <w:r>
        <w:t xml:space="preserve">Secondary Outcomes (index admission):</w:t>
      </w:r>
    </w:p>
    <w:p>
      <w:pPr>
        <w:numPr>
          <w:ilvl w:val="2"/>
          <w:numId w:val="1010"/>
        </w:numPr>
      </w:pPr>
      <w:r>
        <w:t xml:space="preserve">In-hospital mortality (DIED)</w:t>
      </w:r>
    </w:p>
    <w:p>
      <w:pPr>
        <w:numPr>
          <w:ilvl w:val="2"/>
          <w:numId w:val="1010"/>
        </w:numPr>
      </w:pPr>
      <w:r>
        <w:t xml:space="preserve">Length of stay (LOS, in days)</w:t>
      </w:r>
    </w:p>
    <w:p>
      <w:pPr>
        <w:numPr>
          <w:ilvl w:val="2"/>
          <w:numId w:val="1010"/>
        </w:numPr>
      </w:pPr>
      <w:r>
        <w:t xml:space="preserve">Total hospitalization charges (TOTCHG), inflation-adjusted to 2017 USD</w:t>
      </w:r>
    </w:p>
    <w:p>
      <w:pPr>
        <w:numPr>
          <w:ilvl w:val="2"/>
          <w:numId w:val="1010"/>
        </w:numPr>
      </w:pPr>
      <w:r>
        <w:t xml:space="preserve">Non-home discharge</w:t>
      </w:r>
    </w:p>
    <w:p>
      <w:pPr>
        <w:numPr>
          <w:ilvl w:val="1"/>
          <w:numId w:val="1008"/>
        </w:numPr>
      </w:pPr>
      <w:r>
        <w:t xml:space="preserve">Readmission Characteristics:</w:t>
      </w:r>
    </w:p>
    <w:p>
      <w:pPr>
        <w:numPr>
          <w:ilvl w:val="2"/>
          <w:numId w:val="1011"/>
        </w:numPr>
      </w:pPr>
      <w:r>
        <w:t xml:space="preserve">In-hospital mortality</w:t>
      </w:r>
    </w:p>
    <w:p>
      <w:pPr>
        <w:numPr>
          <w:ilvl w:val="2"/>
          <w:numId w:val="1011"/>
        </w:numPr>
      </w:pPr>
      <w:r>
        <w:t xml:space="preserve">Length of stay (LOS, in days)</w:t>
      </w:r>
    </w:p>
    <w:p>
      <w:pPr>
        <w:numPr>
          <w:ilvl w:val="2"/>
          <w:numId w:val="1011"/>
        </w:numPr>
      </w:pPr>
      <w:r>
        <w:t xml:space="preserve">Total hospitalization charges (inflation-adjusted to 2017 USD)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Outcome Definitions:</w:t>
      </w:r>
    </w:p>
    <w:p>
      <w:pPr>
        <w:numPr>
          <w:ilvl w:val="1"/>
          <w:numId w:val="1012"/>
        </w:numPr>
      </w:pPr>
      <w:r>
        <w:t xml:space="preserve">Readmission:</w:t>
      </w:r>
    </w:p>
    <w:p>
      <w:pPr>
        <w:numPr>
          <w:ilvl w:val="2"/>
          <w:numId w:val="1013"/>
        </w:numPr>
      </w:pPr>
      <w:r>
        <w:t xml:space="preserve">Defined using HCUP NRD’s methodology. Readmissions were identified only among patients with qualifying index events.</w:t>
      </w:r>
    </w:p>
    <w:p>
      <w:pPr>
        <w:numPr>
          <w:ilvl w:val="2"/>
          <w:numId w:val="1013"/>
        </w:numPr>
      </w:pPr>
      <w:r>
        <w:t xml:space="preserve">Trauma-related hospitalizations were excluded only from the readmission pool to avoid unrelated admissions.</w:t>
      </w:r>
    </w:p>
    <w:p>
      <w:pPr>
        <w:numPr>
          <w:ilvl w:val="1"/>
          <w:numId w:val="1012"/>
        </w:numPr>
      </w:pPr>
      <w:r>
        <w:t xml:space="preserve">Mortality:</w:t>
      </w:r>
    </w:p>
    <w:p>
      <w:pPr>
        <w:pStyle w:val="Compact"/>
        <w:numPr>
          <w:ilvl w:val="2"/>
          <w:numId w:val="1014"/>
        </w:numPr>
      </w:pPr>
      <w:r>
        <w:t xml:space="preserve">In-hospital death recorded during index or readmission (DIED = 1)</w:t>
      </w:r>
    </w:p>
    <w:p>
      <w:pPr>
        <w:numPr>
          <w:ilvl w:val="1"/>
          <w:numId w:val="1012"/>
        </w:numPr>
      </w:pPr>
      <w:r>
        <w:t xml:space="preserve">LOS:</w:t>
      </w:r>
    </w:p>
    <w:p>
      <w:pPr>
        <w:pStyle w:val="Compact"/>
        <w:numPr>
          <w:ilvl w:val="2"/>
          <w:numId w:val="1015"/>
        </w:numPr>
      </w:pPr>
      <w:r>
        <w:t xml:space="preserve">Reported in days; modeled as count outcome</w:t>
      </w:r>
    </w:p>
    <w:p>
      <w:pPr>
        <w:numPr>
          <w:ilvl w:val="1"/>
          <w:numId w:val="1012"/>
        </w:numPr>
      </w:pPr>
      <w:r>
        <w:t xml:space="preserve">Charge:</w:t>
      </w:r>
    </w:p>
    <w:p>
      <w:pPr>
        <w:pStyle w:val="Compact"/>
        <w:numPr>
          <w:ilvl w:val="2"/>
          <w:numId w:val="1016"/>
        </w:numPr>
      </w:pPr>
      <w:r>
        <w:t xml:space="preserve">Derived from HCUP’s TOTCHG variable and adjusted to 2017 dollars using Consumer Price Index (CPI) data</w:t>
      </w:r>
    </w:p>
    <w:p>
      <w:pPr>
        <w:numPr>
          <w:ilvl w:val="1"/>
          <w:numId w:val="1012"/>
        </w:numPr>
      </w:pPr>
      <w:r>
        <w:t xml:space="preserve">Non-Home Discharge:</w:t>
      </w:r>
    </w:p>
    <w:p>
      <w:pPr>
        <w:numPr>
          <w:ilvl w:val="2"/>
          <w:numId w:val="1017"/>
        </w:numPr>
      </w:pPr>
      <w:r>
        <w:t xml:space="preserve">Defined as any disposition other than home/self-care, specifically:</w:t>
      </w:r>
    </w:p>
    <w:p>
      <w:pPr>
        <w:numPr>
          <w:ilvl w:val="3"/>
          <w:numId w:val="1018"/>
        </w:numPr>
      </w:pPr>
      <w:r>
        <w:t xml:space="preserve">Transfer to another short-term hospital</w:t>
      </w:r>
    </w:p>
    <w:p>
      <w:pPr>
        <w:numPr>
          <w:ilvl w:val="3"/>
          <w:numId w:val="1018"/>
        </w:numPr>
      </w:pPr>
      <w:r>
        <w:t xml:space="preserve">Transfer to skilled nursing facility (SNF), intermediate, or other facility</w:t>
      </w:r>
    </w:p>
    <w:p>
      <w:pPr>
        <w:numPr>
          <w:ilvl w:val="3"/>
          <w:numId w:val="1018"/>
        </w:numPr>
      </w:pPr>
      <w:r>
        <w:t xml:space="preserve">Left against medical advice</w:t>
      </w:r>
    </w:p>
    <w:p>
      <w:pPr>
        <w:numPr>
          <w:ilvl w:val="3"/>
          <w:numId w:val="1018"/>
        </w:numPr>
      </w:pPr>
      <w:r>
        <w:t xml:space="preserve">Died in hospital</w:t>
      </w:r>
    </w:p>
    <w:p>
      <w:pPr>
        <w:numPr>
          <w:ilvl w:val="3"/>
          <w:numId w:val="1018"/>
        </w:numPr>
      </w:pPr>
      <w:r>
        <w:t xml:space="preserve">Alive, destination unknown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Covariates and Variable Construction:</w:t>
      </w:r>
    </w:p>
    <w:p>
      <w:pPr>
        <w:numPr>
          <w:ilvl w:val="1"/>
          <w:numId w:val="1019"/>
        </w:numPr>
      </w:pPr>
      <w:r>
        <w:t xml:space="preserve">Demographic &amp; Socioeconomic Factors:</w:t>
      </w:r>
    </w:p>
    <w:p>
      <w:pPr>
        <w:numPr>
          <w:ilvl w:val="2"/>
          <w:numId w:val="1020"/>
        </w:numPr>
      </w:pPr>
      <w:r>
        <w:t xml:space="preserve">Age (continuous)</w:t>
      </w:r>
    </w:p>
    <w:p>
      <w:pPr>
        <w:numPr>
          <w:ilvl w:val="2"/>
          <w:numId w:val="1020"/>
        </w:numPr>
      </w:pPr>
      <w:r>
        <w:t xml:space="preserve">Sex (FEMALE; ref = Male)</w:t>
      </w:r>
    </w:p>
    <w:p>
      <w:pPr>
        <w:numPr>
          <w:ilvl w:val="2"/>
          <w:numId w:val="1020"/>
        </w:numPr>
      </w:pPr>
      <w:r>
        <w:t xml:space="preserve">Primary expected payer (Insurance; Medicare, Medicaid, Private, Other)</w:t>
      </w:r>
    </w:p>
    <w:p>
      <w:pPr>
        <w:numPr>
          <w:ilvl w:val="2"/>
          <w:numId w:val="1020"/>
        </w:numPr>
      </w:pPr>
      <w:r>
        <w:t xml:space="preserve">Income quartile based on ZIP code (ZIPINC_QRTL)</w:t>
      </w:r>
    </w:p>
    <w:p>
      <w:pPr>
        <w:numPr>
          <w:ilvl w:val="2"/>
          <w:numId w:val="1020"/>
        </w:numPr>
      </w:pPr>
      <w:r>
        <w:t xml:space="preserve">Weekend admission (AWEEKEND)</w:t>
      </w:r>
    </w:p>
    <w:p>
      <w:pPr>
        <w:numPr>
          <w:ilvl w:val="2"/>
          <w:numId w:val="1020"/>
        </w:numPr>
      </w:pPr>
      <w:r>
        <w:t xml:space="preserve">Admission type (ELECTIVE: Elective vs. Non-elective)</w:t>
      </w:r>
    </w:p>
    <w:p>
      <w:pPr>
        <w:numPr>
          <w:ilvl w:val="1"/>
          <w:numId w:val="1019"/>
        </w:numPr>
      </w:pPr>
      <w:r>
        <w:t xml:space="preserve">Comorbidities and Clinical Covariates</w:t>
      </w:r>
    </w:p>
    <w:p>
      <w:pPr>
        <w:numPr>
          <w:ilvl w:val="2"/>
          <w:numId w:val="1021"/>
        </w:numPr>
      </w:pPr>
      <w:r>
        <w:t xml:space="preserve">Diabetes</w:t>
      </w:r>
    </w:p>
    <w:p>
      <w:pPr>
        <w:numPr>
          <w:ilvl w:val="2"/>
          <w:numId w:val="1021"/>
        </w:numPr>
      </w:pPr>
      <w:r>
        <w:t xml:space="preserve">Renal failure</w:t>
      </w:r>
    </w:p>
    <w:p>
      <w:pPr>
        <w:numPr>
          <w:ilvl w:val="2"/>
          <w:numId w:val="1021"/>
        </w:numPr>
      </w:pPr>
      <w:r>
        <w:t xml:space="preserve">Congestive heart failure (CHF)</w:t>
      </w:r>
    </w:p>
    <w:p>
      <w:pPr>
        <w:numPr>
          <w:ilvl w:val="2"/>
          <w:numId w:val="1021"/>
        </w:numPr>
      </w:pPr>
      <w:r>
        <w:t xml:space="preserve">Chronic pulmonary disease</w:t>
      </w:r>
    </w:p>
    <w:p>
      <w:pPr>
        <w:numPr>
          <w:ilvl w:val="2"/>
          <w:numId w:val="1021"/>
        </w:numPr>
      </w:pPr>
      <w:r>
        <w:t xml:space="preserve">Depression</w:t>
      </w:r>
    </w:p>
    <w:p>
      <w:pPr>
        <w:numPr>
          <w:ilvl w:val="2"/>
          <w:numId w:val="1021"/>
        </w:numPr>
      </w:pPr>
      <w:r>
        <w:t xml:space="preserve">Liver disease</w:t>
      </w:r>
    </w:p>
    <w:p>
      <w:pPr>
        <w:numPr>
          <w:ilvl w:val="2"/>
          <w:numId w:val="1021"/>
        </w:numPr>
      </w:pPr>
      <w:r>
        <w:t xml:space="preserve">Hypertension</w:t>
      </w:r>
    </w:p>
    <w:p>
      <w:pPr>
        <w:numPr>
          <w:ilvl w:val="2"/>
          <w:numId w:val="1021"/>
        </w:numPr>
      </w:pPr>
      <w:r>
        <w:t xml:space="preserve">Myocardial infarction (MI)</w:t>
      </w:r>
    </w:p>
    <w:p>
      <w:pPr>
        <w:numPr>
          <w:ilvl w:val="2"/>
          <w:numId w:val="1021"/>
        </w:numPr>
      </w:pPr>
      <w:r>
        <w:t xml:space="preserve">History of stroke or TIA</w:t>
      </w:r>
    </w:p>
    <w:p>
      <w:pPr>
        <w:numPr>
          <w:ilvl w:val="1"/>
          <w:numId w:val="1019"/>
        </w:numPr>
      </w:pPr>
      <w:r>
        <w:t xml:space="preserve">Hospital Characteristics:</w:t>
      </w:r>
    </w:p>
    <w:p>
      <w:pPr>
        <w:numPr>
          <w:ilvl w:val="2"/>
          <w:numId w:val="1022"/>
        </w:numPr>
      </w:pPr>
      <w:r>
        <w:t xml:space="preserve">Hospital bed size (Small, Medium, Large)</w:t>
      </w:r>
    </w:p>
    <w:p>
      <w:pPr>
        <w:numPr>
          <w:ilvl w:val="2"/>
          <w:numId w:val="1022"/>
        </w:numPr>
      </w:pPr>
      <w:r>
        <w:t xml:space="preserve">Urban/rural teaching status (Metropolitan, teaching vs non-teaching, etc.)</w:t>
      </w:r>
    </w:p>
    <w:p>
      <w:pPr>
        <w:numPr>
          <w:ilvl w:val="1"/>
          <w:numId w:val="1019"/>
        </w:numPr>
      </w:pPr>
      <w:r>
        <w:t xml:space="preserve">Disposition and Severity:</w:t>
      </w:r>
    </w:p>
    <w:p>
      <w:pPr>
        <w:numPr>
          <w:ilvl w:val="2"/>
          <w:numId w:val="1023"/>
        </w:numPr>
      </w:pPr>
      <w:r>
        <w:t xml:space="preserve">Non-home discharge (e.g., SNF, hospice, other facilities, or death)</w:t>
      </w:r>
    </w:p>
    <w:p>
      <w:pPr>
        <w:numPr>
          <w:ilvl w:val="2"/>
          <w:numId w:val="1023"/>
        </w:numPr>
      </w:pPr>
      <w:r>
        <w:t xml:space="preserve">Length of stay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Statistical Methods:</w:t>
      </w:r>
    </w:p>
    <w:p>
      <w:pPr>
        <w:numPr>
          <w:ilvl w:val="1"/>
          <w:numId w:val="1024"/>
        </w:numPr>
      </w:pPr>
      <w:r>
        <w:t xml:space="preserve">Survey Design and Weighting:</w:t>
      </w:r>
    </w:p>
    <w:p>
      <w:pPr>
        <w:pStyle w:val="Compact"/>
        <w:numPr>
          <w:ilvl w:val="2"/>
          <w:numId w:val="1025"/>
        </w:numPr>
      </w:pPr>
      <w:r>
        <w:t xml:space="preserve">All analyses accounted for NRD’s complex survey design using weights (DISCWT), strata (NRD_STRATUM), and clustering (HOSP_NRD). Survey-adjusted methods were implemented via survey and srvyr packages.</w:t>
      </w:r>
    </w:p>
    <w:p>
      <w:pPr>
        <w:numPr>
          <w:ilvl w:val="1"/>
          <w:numId w:val="1024"/>
        </w:numPr>
      </w:pPr>
      <w:r>
        <w:t xml:space="preserve">Descriptive Analyses:</w:t>
      </w:r>
    </w:p>
    <w:p>
      <w:pPr>
        <w:numPr>
          <w:ilvl w:val="2"/>
          <w:numId w:val="1026"/>
        </w:numPr>
      </w:pPr>
      <w:r>
        <w:t xml:space="preserve">Baseline characteristics were summarized across obese vs. non-obese groups using survey-weighted means/proportions.</w:t>
      </w:r>
    </w:p>
    <w:p>
      <w:pPr>
        <w:numPr>
          <w:ilvl w:val="2"/>
          <w:numId w:val="1026"/>
        </w:numPr>
      </w:pPr>
      <w:r>
        <w:t xml:space="preserve">P-values from design-based statistical tests (Rao–Scott adjusted chi-square for categorical variables; design-based Kruskal–Wallis test for continuous variables).</w:t>
      </w:r>
    </w:p>
    <w:p>
      <w:pPr>
        <w:numPr>
          <w:ilvl w:val="1"/>
          <w:numId w:val="1024"/>
        </w:numPr>
      </w:pPr>
      <w:r>
        <w:t xml:space="preserve">Multivariable Regression:</w:t>
      </w:r>
    </w:p>
    <w:p>
      <w:pPr>
        <w:numPr>
          <w:ilvl w:val="2"/>
          <w:numId w:val="1027"/>
        </w:numPr>
      </w:pPr>
      <w:r>
        <w:t xml:space="preserve">A survey-weighted Cox proportional hazards model was used to evaluate the association between obesity and 30-day readmission.</w:t>
      </w:r>
    </w:p>
    <w:p>
      <w:pPr>
        <w:numPr>
          <w:ilvl w:val="2"/>
          <w:numId w:val="1027"/>
        </w:numPr>
      </w:pPr>
      <w:r>
        <w:t xml:space="preserve">The model included demographic, clinical, hospital-level, and index-stay factors.</w:t>
      </w:r>
    </w:p>
    <w:p>
      <w:pPr>
        <w:numPr>
          <w:ilvl w:val="2"/>
          <w:numId w:val="1027"/>
        </w:numPr>
      </w:pPr>
      <w:r>
        <w:t xml:space="preserve">Hazard ratios (HRs) with 95% confidence intervals (CIs) were reported</w:t>
      </w:r>
    </w:p>
    <w:p>
      <w:pPr>
        <w:numPr>
          <w:ilvl w:val="1"/>
          <w:numId w:val="1024"/>
        </w:numPr>
      </w:pPr>
      <w:r>
        <w:t xml:space="preserve">Readmission Characteristics:</w:t>
      </w:r>
    </w:p>
    <w:p>
      <w:pPr>
        <w:pStyle w:val="Compact"/>
        <w:numPr>
          <w:ilvl w:val="2"/>
          <w:numId w:val="1028"/>
        </w:numPr>
      </w:pPr>
      <w:r>
        <w:t xml:space="preserve">A sub-analysis among patients with 30-day readmissions summarized readmission hospitalization characteristics descriptively using weighted survey statistics.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Software:</w:t>
      </w:r>
      <w:r>
        <w:t xml:space="preserve"> </w:t>
      </w:r>
      <w:r>
        <w:t xml:space="preserve">All analyses were conducted in R Statistical Language (Version 4.5.0; R Foundation for Statistical Computing, Vienna, Austria).</w:t>
      </w:r>
    </w:p>
    <w:bookmarkEnd w:id="23"/>
    <w:bookmarkStart w:id="26" w:name="descriptive-analyses"/>
    <w:p>
      <w:pPr>
        <w:pStyle w:val="Heading2"/>
      </w:pPr>
      <w:r>
        <w:t xml:space="preserve">Descriptive Analyses</w:t>
      </w:r>
    </w:p>
    <w:bookmarkStart w:id="24" w:name="baseline-characteristics"/>
    <w:p>
      <w:pPr>
        <w:pStyle w:val="Heading3"/>
      </w:pPr>
      <w:r>
        <w:t xml:space="preserve">Baseline Characteristics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34,186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Non-Obese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25,974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Obese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8,212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 (12)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 (12)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19,356 (57%)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14,722 (57%)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4,634 (56%)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14,830 (43%)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11,253 (43%)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3,578 (44%)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 Expected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9,911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6,960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2,951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1,636 (4.8%)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1,120 (4.3%)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516 (6.3%)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21,555 (63%)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17,103 (66%)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4,452 (54%)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1,071 (3.1%)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781 (3.0%)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291 (3.5%)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 Household Income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0-25th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7,952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5,903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2,049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26th to 50th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8,686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6,523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2,163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51st to 75th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8,463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6,356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2,107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76th to 100th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8,585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6,780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1,805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Admission Day (Weekend vs Weekday)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Monday-Friday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30,647 (90%)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23,251 (90%)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7,396 (90%)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Saturday-Sunday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3,539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2,723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816 (9.9%)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Admission Type (Elective vs Non-Elective)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Elective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17,844 (52%)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13,333 (52%)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4,512 (55%)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Non-elective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16,167 (48%)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12,509 (48%)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3,658 (45%)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 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1,755 (5.1%)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1,296 (5.0%)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459 (5.6%)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23,058 (67%)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17,509 (67%)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5,549 (68%)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9,374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7,170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2,204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 and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Metropolitan,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4,860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3,767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1,092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Metropolitan,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28,536 (83%)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21,573 (83%)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6,963 (85%)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Non-metropolitan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791 (2.3%)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634 (2.4%)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156 (1.9%)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8,713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5,545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3,167 (39%)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Renal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5,571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4,149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1,421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Congestive 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14,914 (44%)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10,841 (42%)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4,073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7,963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5,563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2,400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Depression or Anxiety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2,854 (8.3%)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1,924 (7.4%)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930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Liver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765 (2.2%)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536 (2.1%)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228 (2.8%)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25,842 (76%)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18,872 (73%)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6,970 (85%)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Previous Stroke or 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3,184 (9.3%)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2,545 (9.8%)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640 (7.8%)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Myocardial Infarction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3,005 (8.8%)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2,249 (8.7%)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757 (9.2%)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Mean (SD); n (%)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Design-based KruskalWallis test; Pearson's X^2: Rao &amp; Scott adjustment</w:t>
            </w:r>
          </w:p>
        </w:tc>
      </w:tr>
    </w:tbl>
    <w:bookmarkEnd w:id="24"/>
    <w:bookmarkStart w:id="25" w:name="outcomes-of-index-hospitalizations"/>
    <w:p>
      <w:pPr>
        <w:pStyle w:val="Heading3"/>
      </w:pPr>
      <w:r>
        <w:t xml:space="preserve">Outcomes of Index Hospitalizations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34,186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Non-Obese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25,974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Obese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8,212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30-Day Readmission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3,327 (9.7%)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2,467 (9.5%)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860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In-Hospital Mortality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176 (0.5%)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146 (0.6%)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 (0.4%)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Length of Stay (days)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 (1.0, 5.0)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 (1.0, 5.0)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 (2.0, 5.0)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Inflation-Adjusted Total Charges ($)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129,344 (87,201, 186,864)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126,753 (85,056, 183,902)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136,856 (93,526, 196,268)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Discharged to Non-Home Setting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2,341 (6.8%)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1,847 (7.1%)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494 (6.0%)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(%); Median (Q1, Q3)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Pearson's X^2: Rao &amp; Scott adjustment; Design-based KruskalWallis test</w:t>
            </w:r>
          </w:p>
        </w:tc>
      </w:tr>
    </w:tbl>
    <w:bookmarkEnd w:id="25"/>
    <w:bookmarkEnd w:id="26"/>
    <w:bookmarkStart w:id="29" w:name="X7d0a1c2a05e84965e19936ca624ae03f9f9afcd"/>
    <w:p>
      <w:pPr>
        <w:pStyle w:val="Heading2"/>
      </w:pPr>
      <w:r>
        <w:t xml:space="preserve">Readmission Hospitalization Characteristics</w:t>
      </w:r>
    </w:p>
    <w:bookmarkStart w:id="27" w:name="Xa37a556a6d20fd6b07c73bea42073aeff147ee8"/>
    <w:p>
      <w:pPr>
        <w:pStyle w:val="Heading3"/>
      </w:pPr>
      <w:r>
        <w:t xml:space="preserve">In-Hospital Mortality Among Readmitted Patients</w:t>
      </w:r>
    </w:p>
    <w:p>
      <w:pPr>
        <w:pStyle w:val="FirstParagraph"/>
      </w:pPr>
      <w:r>
        <w:t xml:space="preserve">Readmission hospitalizations resulted in:</w:t>
      </w:r>
    </w:p>
    <w:p>
      <w:pPr>
        <w:numPr>
          <w:ilvl w:val="0"/>
          <w:numId w:val="1029"/>
        </w:numPr>
      </w:pPr>
      <w:r>
        <w:t xml:space="preserve">Deaths (n): 111</w:t>
      </w:r>
    </w:p>
    <w:p>
      <w:pPr>
        <w:numPr>
          <w:ilvl w:val="0"/>
          <w:numId w:val="1029"/>
        </w:numPr>
      </w:pPr>
      <w:r>
        <w:t xml:space="preserve">Death Rate (%): 3.36%</w:t>
      </w:r>
    </w:p>
    <w:p>
      <w:pPr>
        <w:numPr>
          <w:ilvl w:val="0"/>
          <w:numId w:val="1029"/>
        </w:numPr>
      </w:pPr>
      <w:r>
        <w:t xml:space="preserve">Death Rate (95% CI): 2.44% to 4.28%</w:t>
      </w:r>
    </w:p>
    <w:bookmarkEnd w:id="27"/>
    <w:bookmarkStart w:id="28" w:name="resource-utilization-during-readmission"/>
    <w:p>
      <w:pPr>
        <w:pStyle w:val="Heading3"/>
      </w:pPr>
      <w:r>
        <w:t xml:space="preserve">Resource Utilization During Readmission</w:t>
      </w:r>
    </w:p>
    <w:p>
      <w:pPr>
        <w:pStyle w:val="FirstParagraph"/>
      </w:pPr>
      <w:r>
        <w:t xml:space="preserve">Readmission hospitalizations resulted in:</w:t>
      </w:r>
    </w:p>
    <w:p>
      <w:pPr>
        <w:numPr>
          <w:ilvl w:val="0"/>
          <w:numId w:val="1030"/>
        </w:numPr>
      </w:pPr>
      <w:r>
        <w:t xml:space="preserve">Median Length of Stay (IQR), days: 3 (IQR: 2–5)</w:t>
      </w:r>
    </w:p>
    <w:p>
      <w:pPr>
        <w:numPr>
          <w:ilvl w:val="0"/>
          <w:numId w:val="1030"/>
        </w:numPr>
      </w:pPr>
      <w:r>
        <w:t xml:space="preserve">Median Total Charges (IQR): $30,381 (IQR: $16,703–$58,019)</w:t>
      </w:r>
    </w:p>
    <w:bookmarkEnd w:id="28"/>
    <w:bookmarkEnd w:id="29"/>
    <w:bookmarkStart w:id="31" w:name="multivariable-analyses"/>
    <w:p>
      <w:pPr>
        <w:pStyle w:val="Heading2"/>
      </w:pPr>
      <w:r>
        <w:t xml:space="preserve">Multivariable Analyses</w:t>
      </w:r>
    </w:p>
    <w:bookmarkStart w:id="30" w:name="Xc3dd9450622ca6a79fdfe146281f7a6f8e6031c"/>
    <w:p>
      <w:pPr>
        <w:pStyle w:val="Heading3"/>
      </w:pPr>
      <w:r>
        <w:t xml:space="preserve">Multivariable Predictors of 30-Day Readmission</w:t>
      </w:r>
    </w:p>
    <w:p>
      <w:pPr>
        <w:pStyle w:val="SourceCode"/>
      </w:pPr>
      <w:r>
        <w:rPr>
          <w:rStyle w:val="VerbatimChar"/>
        </w:rPr>
        <w:t xml:space="preserve">Stratified 1 - level Cluster Sampling design (with replacement)</w:t>
      </w:r>
      <w:r>
        <w:br/>
      </w:r>
      <w:r>
        <w:rPr>
          <w:rStyle w:val="VerbatimChar"/>
        </w:rPr>
        <w:t xml:space="preserve">With (671) clusters.</w:t>
      </w:r>
      <w:r>
        <w:br/>
      </w:r>
      <w:r>
        <w:rPr>
          <w:rStyle w:val="VerbatimChar"/>
        </w:rPr>
        <w:t xml:space="preserve">subset(nrd_design, IndexEvent == 1)</w:t>
      </w:r>
      <w:r>
        <w:br/>
      </w:r>
      <w:r>
        <w:rPr>
          <w:rStyle w:val="VerbatimChar"/>
        </w:rPr>
        <w:t xml:space="preserve">Sampling variables:</w:t>
      </w:r>
      <w:r>
        <w:br/>
      </w:r>
      <w:r>
        <w:rPr>
          <w:rStyle w:val="VerbatimChar"/>
        </w:rPr>
        <w:t xml:space="preserve">  - ids: HOSP_NRD </w:t>
      </w:r>
      <w:r>
        <w:br/>
      </w:r>
      <w:r>
        <w:rPr>
          <w:rStyle w:val="VerbatimChar"/>
        </w:rPr>
        <w:t xml:space="preserve">  - strata: NRD_STRATUM </w:t>
      </w:r>
      <w:r>
        <w:br/>
      </w:r>
      <w:r>
        <w:rPr>
          <w:rStyle w:val="VerbatimChar"/>
        </w:rPr>
        <w:t xml:space="preserve">  - weights: DISCWT 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HR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 Categories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Non-Obese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Obese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0.84, 1.05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0.99, 1.01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0.87, 1.08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 Expected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0.79, 1.30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0.88, 1.20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0.66, 1.30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 Household Income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0-25th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26th to 50th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0.86, 1.14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51st to 75th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0.98, 1.33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76th to 100th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1.01, 1.34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Admission Day (Weekend vs Weekday)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Monday-Friday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Saturday-Sunday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0.93, 1.19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Admission Type (Elective vs Non-Elective)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Elective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Non-elective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0.85, 1.06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 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0.95, 1.61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0.89, 1.55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 and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Metropolitan,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Metropolitan,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0.74, 1.00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Non-metropolitan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0.65, 1.21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0.92, 1.14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Renal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0.90, 1.15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Congestive 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0.83, 1.04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0.93, 1.17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Depression or Anxiety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0.90, 1.27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Liver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1.01, 1.90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0.88, 1.14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Previous Stroke or 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0.79, 1.08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Myocardial Infarction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0.80, 1.09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Length of Stay (days)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0.99, 1.01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Discharged to Non-Home Setting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0.70, 0.99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Abbreviations: CI = Confidence Interval, HR = Hazard Ratio</w:t>
            </w:r>
          </w:p>
        </w:tc>
      </w:tr>
    </w:tbl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doi.org/10.1001/jamanetworkopen.2019.12208" TargetMode="External" /><Relationship Type="http://schemas.openxmlformats.org/officeDocument/2006/relationships/hyperlink" Id="rId20" Target="https://doi.org/10.1093/ehjopen/oead026" TargetMode="External" /><Relationship Type="http://schemas.openxmlformats.org/officeDocument/2006/relationships/hyperlink" Id="rId21" Target="https://doi.org/10.1111/pace.1454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doi.org/10.1001/jamanetworkopen.2019.12208" TargetMode="External" /><Relationship Type="http://schemas.openxmlformats.org/officeDocument/2006/relationships/hyperlink" Id="rId20" Target="https://doi.org/10.1093/ehjopen/oead026" TargetMode="External" /><Relationship Type="http://schemas.openxmlformats.org/officeDocument/2006/relationships/hyperlink" Id="rId21" Target="https://doi.org/10.1111/pace.1454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Association Between Obesity and 30-Day Readmissions Following Atrial Fibrillation Ablation</dc:title>
  <dc:creator>Muhammad Saad; Adeena Jamil</dc:creator>
  <cp:keywords/>
  <dcterms:created xsi:type="dcterms:W3CDTF">2025-07-24T00:23:22Z</dcterms:created>
  <dcterms:modified xsi:type="dcterms:W3CDTF">2025-07-24T00:23:22Z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RCOP NRD A9</vt:lpwstr>
  </property>
  <property fmtid="{D5CDD505-2E9C-101B-9397-08002B2CF9AE}" pid="12" name="toc-title">
    <vt:lpwstr>Table of contents</vt:lpwstr>
  </property>
</Properties>
</file>