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1.png" ContentType="image/png"/>
  <Override PartName="/word/media/rId48.png" ContentType="image/png"/>
  <Override PartName="/word/media/rId44.png" ContentType="image/png"/>
  <Override PartName="/word/media/rId40.png" ContentType="image/png"/>
  <Override PartName="/word/media/rId52.png" ContentType="image/png"/>
  <Override PartName="/word/media/rId25.png" ContentType="image/png"/>
  <Override PartName="/word/media/rId28.png" ContentType="image/png"/>
  <Override PartName="/word/media/rId58.png" ContentType="image/png"/>
  <Override PartName="/word/media/rId3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Thirty-day readmission after percutaneous left atrial appendage occlusion in dialysis-dependent kidney failure</w:t>
      </w:r>
    </w:p>
    <w:p>
      <w:pPr>
        <w:pStyle w:val="Subtitle"/>
      </w:pPr>
      <w:r>
        <w:t xml:space="preserve">Nationwide Readmissions Database, 2016–2022 — statistical report</w:t>
      </w:r>
    </w:p>
    <w:p>
      <w:pPr>
        <w:pStyle w:val="Author"/>
      </w:pPr>
      <w:r>
        <w:t xml:space="preserve">Statistical analysis: Saad</w:t>
      </w:r>
    </w:p>
    <w:p>
      <w:pPr>
        <w:pStyle w:val="Date"/>
      </w:pPr>
      <w:r>
        <w:t xml:space="preserve">2026-09-28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provenance"/>
    <w:p>
      <w:pPr>
        <w:pStyle w:val="Heading1"/>
      </w:pPr>
      <w:r>
        <w:t xml:space="preserve">1. Provenance</w:t>
      </w:r>
    </w:p>
    <w:p>
      <w:pPr>
        <w:pStyle w:val="TableCaption"/>
      </w:pPr>
      <w:r>
        <w:t xml:space="preserve">Run provenance.</w:t>
      </w:r>
    </w:p>
    <w:tbl>
      <w:tblPr>
        <w:tblStyle w:val="Table"/>
        <w:tblW w:type="pct" w:w="5000"/>
        <w:tblLayout w:type="fixed"/>
        <w:tblLook w:firstRow="1" w:lastRow="0" w:firstColumn="0" w:lastColumn="0" w:noHBand="0" w:noVBand="0" w:val="0020"/>
        <w:tblCaption w:val="Run provenance."/>
      </w:tblPr>
      <w:tblGrid>
        <w:gridCol w:w="1188"/>
        <w:gridCol w:w="6732"/>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Study</w:t>
            </w:r>
          </w:p>
        </w:tc>
        <w:tc>
          <w:tcPr/>
          <w:p>
            <w:pPr>
              <w:pStyle w:val="Compact"/>
            </w:pPr>
            <w:r>
              <w:t xml:space="preserve">NRD_Saad_LAAO_ESKD</w:t>
            </w:r>
          </w:p>
        </w:tc>
      </w:tr>
      <w:tr>
        <w:tc>
          <w:tcPr/>
          <w:p>
            <w:pPr>
              <w:pStyle w:val="Compact"/>
            </w:pPr>
            <w:r>
              <w:t xml:space="preserve">Run at</w:t>
            </w:r>
          </w:p>
        </w:tc>
        <w:tc>
          <w:tcPr/>
          <w:p>
            <w:pPr>
              <w:pStyle w:val="Compact"/>
            </w:pPr>
            <w:r>
              <w:t xml:space="preserve">2026-09-28 00:20:13 PKT</w:t>
            </w:r>
          </w:p>
        </w:tc>
      </w:tr>
      <w:tr>
        <w:tc>
          <w:tcPr/>
          <w:p>
            <w:pPr>
              <w:pStyle w:val="Compact"/>
            </w:pPr>
            <w:r>
              <w:t xml:space="preserve">R version</w:t>
            </w:r>
          </w:p>
        </w:tc>
        <w:tc>
          <w:tcPr/>
          <w:p>
            <w:pPr>
              <w:pStyle w:val="Compact"/>
            </w:pPr>
            <w:r>
              <w:t xml:space="preserve">R version 4.6.1 (2026-06-24 ucrt)</w:t>
            </w:r>
          </w:p>
        </w:tc>
      </w:tr>
      <w:tr>
        <w:tc>
          <w:tcPr/>
          <w:p>
            <w:pPr>
              <w:pStyle w:val="Compact"/>
            </w:pPr>
            <w:r>
              <w:t xml:space="preserve">survey package</w:t>
            </w:r>
          </w:p>
        </w:tc>
        <w:tc>
          <w:tcPr/>
          <w:p>
            <w:pPr>
              <w:pStyle w:val="Compact"/>
            </w:pPr>
            <w:r>
              <w:t xml:space="preserve">4.5</w:t>
            </w:r>
          </w:p>
        </w:tc>
      </w:tr>
      <w:tr>
        <w:tc>
          <w:tcPr/>
          <w:p>
            <w:pPr>
              <w:pStyle w:val="Compact"/>
            </w:pPr>
            <w:r>
              <w:t xml:space="preserve">Platform</w:t>
            </w:r>
          </w:p>
        </w:tc>
        <w:tc>
          <w:tcPr/>
          <w:p>
            <w:pPr>
              <w:pStyle w:val="Compact"/>
            </w:pPr>
            <w:r>
              <w:t xml:space="preserve">x86_64-w64-mingw32</w:t>
            </w:r>
          </w:p>
        </w:tc>
      </w:tr>
      <w:tr>
        <w:tc>
          <w:tcPr/>
          <w:p>
            <w:pPr>
              <w:pStyle w:val="Compact"/>
            </w:pPr>
            <w:r>
              <w:t xml:space="preserve">Elapsed</w:t>
            </w:r>
          </w:p>
        </w:tc>
        <w:tc>
          <w:tcPr/>
          <w:p>
            <w:pPr>
              <w:pStyle w:val="Compact"/>
            </w:pPr>
            <w:r>
              <w:t xml:space="preserve">3.38 minutes</w:t>
            </w:r>
          </w:p>
        </w:tc>
      </w:tr>
      <w:tr>
        <w:tc>
          <w:tcPr/>
          <w:p>
            <w:pPr>
              <w:pStyle w:val="Compact"/>
            </w:pPr>
            <w:r>
              <w:t xml:space="preserve">Stages completed</w:t>
            </w:r>
          </w:p>
        </w:tc>
        <w:tc>
          <w:tcPr/>
          <w:p>
            <w:pPr>
              <w:pStyle w:val="Compact"/>
            </w:pPr>
            <w:r>
              <w:t xml:space="preserve">baseline, outcomes, regression, causes, subgroups, trends, diagnostics, sensitivity, figures, guards</w:t>
            </w:r>
          </w:p>
        </w:tc>
      </w:tr>
      <w:tr>
        <w:tc>
          <w:tcPr/>
          <w:p>
            <w:pPr>
              <w:pStyle w:val="Compact"/>
            </w:pPr>
            <w:r>
              <w:t xml:space="preserve">Data</w:t>
            </w:r>
          </w:p>
        </w:tc>
        <w:tc>
          <w:tcPr/>
          <w:p>
            <w:pPr>
              <w:pStyle w:val="Compact"/>
            </w:pPr>
            <w:r>
              <w:t xml:space="preserve">HCUP Nationwide Readmissions Database 2016-2022</w:t>
            </w:r>
          </w:p>
        </w:tc>
      </w:tr>
    </w:tbl>
    <w:bookmarkEnd w:id="9"/>
    <w:bookmarkStart w:id="15" w:name="methods"/>
    <w:p>
      <w:pPr>
        <w:pStyle w:val="Heading1"/>
      </w:pPr>
      <w:r>
        <w:t xml:space="preserve">2. Methods</w:t>
      </w:r>
    </w:p>
    <w:p>
      <w:pPr>
        <w:pStyle w:val="FirstParagraph"/>
      </w:pPr>
      <w:r>
        <w:rPr>
          <w:i/>
          <w:iCs/>
        </w:rPr>
        <w:t xml:space="preserve">The subsections below are written as manuscript prose and are intended to be</w:t>
      </w:r>
      <w:r>
        <w:rPr>
          <w:i/>
          <w:iCs/>
        </w:rPr>
        <w:t xml:space="preserve"> </w:t>
      </w:r>
      <w:r>
        <w:rPr>
          <w:i/>
          <w:iCs/>
        </w:rPr>
        <w:t xml:space="preserve">moved into the Methods section of the paper with minimal editing. They are</w:t>
      </w:r>
      <w:r>
        <w:rPr>
          <w:i/>
          <w:iCs/>
        </w:rPr>
        <w:t xml:space="preserve"> </w:t>
      </w:r>
      <w:r>
        <w:rPr>
          <w:i/>
          <w:iCs/>
        </w:rPr>
        <w:t xml:space="preserve">deliberately self-contained: nothing in them depends on having read the rest of</w:t>
      </w:r>
      <w:r>
        <w:rPr>
          <w:i/>
          <w:iCs/>
        </w:rPr>
        <w:t xml:space="preserve"> </w:t>
      </w:r>
      <w:r>
        <w:rPr>
          <w:i/>
          <w:iCs/>
        </w:rPr>
        <w:t xml:space="preserve">this report.</w:t>
      </w:r>
    </w:p>
    <w:bookmarkStart w:id="10" w:name="data-source"/>
    <w:p>
      <w:pPr>
        <w:pStyle w:val="Heading2"/>
      </w:pPr>
      <w:r>
        <w:t xml:space="preserve">2.1 Data source</w:t>
      </w:r>
    </w:p>
    <w:p>
      <w:pPr>
        <w:pStyle w:val="FirstParagraph"/>
      </w:pPr>
      <w:r>
        <w:t xml:space="preserve">We analysed the Healthcare Cost and Utilization Project (HCUP) Nationwide Readmissions Database (NRD) for discharge years 2016 to 2022. The NRD is a nationally representative all-payer administrative database constructed from HCUP State Inpatient Databases in participating states, containing verified patient linkage numbers that permit a patient to be tracked across hospitals within a single calendar year. It does not link patients across calendar years, does not contain geographic identifiers below the level of the nation, and does not contain a race or ethnicity variable; none of these limitations can be circumvented and each is addressed explicitly in the Limitations. Discharge weights supplied with the data, together with the sampling stratum and the hospital identifier, were used to produce nationally representative estimates. The Nationwide Readmissions Database contains de-identified, publicly available administrative data and this analysis was therefore determined to be non-human-subjects research and exempt from institutional review board review. The HCUP Data Use Agreement was executed before any data were accessed. Reporting follows STROBE, with the RECORD extension for routinely collected health data.</w:t>
      </w:r>
    </w:p>
    <w:bookmarkEnd w:id="10"/>
    <w:bookmarkStart w:id="11" w:name="cohort"/>
    <w:p>
      <w:pPr>
        <w:pStyle w:val="Heading2"/>
      </w:pPr>
      <w:r>
        <w:t xml:space="preserve">2.2 Cohort</w:t>
      </w:r>
    </w:p>
    <w:p>
      <w:pPr>
        <w:pStyle w:val="FirstParagraph"/>
      </w:pPr>
      <w:r>
        <w:t xml:space="preserve">We identified all adult hospitalizations with an any-listed ICD-10-PCS code for percutaneous left atrial appendage occlusion with an intraluminal device (02L73DK). Discharges coded with an extraluminal device (02L73CK) or with an unspecified device (02L73ZK) were excluded from the cohort definition: these denote different procedures with different complication profiles, and their number is reported in the cohort flow. We then excluded hospitalizations of patients younger than 18 years; hospitalizations ending in in-hospital death, because a decedent cannot be readmitted; hospitalizations ending in transfer to another short-term acute care hospital, because the discharge does not end the episode of care and a subsequent admission would be an artefact of the transfer; December discharges, because NRD linkage does not cross calendar years and a 30-day window would be incomplete by construction; records without the identifiers required for linkage; and hospitalizations with concomitant coronary artery bypass grafting, a surgical or transcatheter valve procedure, or an open or thoracoscopic left atrial appendage operation, because these change length of stay and the complication structure entirely. All code lists are published in full in the supplement. Analyses were performed at the level of the hospitalization; a small number of patients contributed more than one qualifying admission within a calendar year, and restricting to the first such admission per patient-year is a pre-specified sensitivity analysis.</w:t>
      </w:r>
    </w:p>
    <w:bookmarkEnd w:id="11"/>
    <w:bookmarkStart w:id="12" w:name="exposure"/>
    <w:p>
      <w:pPr>
        <w:pStyle w:val="Heading2"/>
      </w:pPr>
      <w:r>
        <w:t xml:space="preserve">2.3 Exposure</w:t>
      </w:r>
    </w:p>
    <w:p>
      <w:pPr>
        <w:pStyle w:val="FirstParagraph"/>
      </w:pPr>
      <w:r>
        <w:t xml:space="preserve">The exposure was</w:t>
      </w:r>
      <w:r>
        <w:t xml:space="preserve"> </w:t>
      </w:r>
      <w:r>
        <w:rPr>
          <w:b/>
          <w:bCs/>
        </w:rPr>
        <w:t xml:space="preserve">dialysis-dependent kidney failure</w:t>
      </w:r>
      <w:r>
        <w:t xml:space="preserve">, defined as the conjunction of an any-listed ICD-10-CM diagnosis of end-stage renal disease (N18.6)</w:t>
      </w:r>
      <w:r>
        <w:t xml:space="preserve"> </w:t>
      </w:r>
      <w:r>
        <w:rPr>
          <w:b/>
          <w:bCs/>
        </w:rPr>
        <w:t xml:space="preserve">and</w:t>
      </w:r>
      <w:r>
        <w:t xml:space="preserve"> </w:t>
      </w:r>
      <w:r>
        <w:t xml:space="preserve">at least one marker of dialysis dependence: dependence on renal dialysis (Z99.2), an encounter for fitting, adjustment or adequacy testing of a dialysis catheter (Z49.01, Z49.02, Z49.31, Z49.32), performance of urinary filtration (5A1D60Z, 5A1D70Z, 5A1D80Z), or peritoneal dialysis (3E1M39Z). The code 5A1D90Z, which denotes continuous urinary filtration for more than 18 hours per day, was deliberately</w:t>
      </w:r>
      <w:r>
        <w:t xml:space="preserve"> </w:t>
      </w:r>
      <w:r>
        <w:rPr>
          <w:b/>
          <w:bCs/>
        </w:rPr>
        <w:t xml:space="preserve">not</w:t>
      </w:r>
      <w:r>
        <w:t xml:space="preserve"> </w:t>
      </w:r>
      <w:r>
        <w:t xml:space="preserve">treated as a marker of dialysis dependence: it identifies continuous renal replacement therapy in a critically ill patient with acute kidney injury rather than maintenance dialysis, and including it would contaminate the exposed arm and invert the clinical meaning of the exposure. Requiring both components is what makes the exposure dialysis dependence rather than coded kidney failure; the wider definition, an N18.6 diagnosis with or without a dialysis marker, is reported as a pre-specified sensitivity analysis.</w:t>
      </w:r>
    </w:p>
    <w:bookmarkEnd w:id="12"/>
    <w:bookmarkStart w:id="13" w:name="outcomes"/>
    <w:p>
      <w:pPr>
        <w:pStyle w:val="Heading2"/>
      </w:pPr>
      <w:r>
        <w:t xml:space="preserve">2.4 Outcomes</w:t>
      </w:r>
    </w:p>
    <w:p>
      <w:pPr>
        <w:pStyle w:val="FirstParagraph"/>
      </w:pPr>
      <w:r>
        <w:t xml:space="preserve">The primary outcome was all-cause readmission to any hospital within 30 days of discharge from the index hospitalization. Secondary outcomes, forming a single pre-specified family, were: readmission with a bleeding principal diagnosis (AHRQ DXCCSR category DIG021, or an intracranial haemorrhage code I60-I62, or acute posthaemorrhagic anaemia D62); readmission with an ischaemic stroke principal diagnosis (DXCCSR CIR020); unplanned (non-elective) readmission; in-hospital death during the readmission; pericardial effusion or tamponade during the index hospitalization; pericardial drainage during the index hospitalization; and non-home discharge from the index hospitalization. Acute kidney injury during the index hospitalization is reported descriptively in the unexposed arm only: on a maintenance-dialysis background an N17 code does not carry its usual meaning and a between-arm comparison would be uninterpretable rather than merely imprecise. Index in-hospital mortality is reported on the full procedural cohort, before the discharge-survivor restriction, because that is the only denominator on which it is interpretable. Costs were obtained by multiplying total charges by the HCUP hospital-specific cost-to-charge ratio and were inflation-adjusted to 2022 US dollars using the CPI-U, All Items, U.S. city average, not seasonally adjusted, annual average (BLS series CUUR0000SA0).</w:t>
      </w:r>
    </w:p>
    <w:bookmarkEnd w:id="13"/>
    <w:bookmarkStart w:id="14" w:name="statistical-analysis"/>
    <w:p>
      <w:pPr>
        <w:pStyle w:val="Heading2"/>
      </w:pPr>
      <w:r>
        <w:t xml:space="preserve">2.5 Statistical analysis</w:t>
      </w:r>
    </w:p>
    <w:p>
      <w:pPr>
        <w:pStyle w:val="FirstParagraph"/>
      </w:pPr>
      <w:r>
        <w:t xml:space="preserve">All analyses accounted for the complex survey design using the discharge weight, the sampling stratum and the hospital as the primary sampling unit. Because stratum and hospital identifiers are re-issued in each data year and do not refer to the same unit across years, year-unique stratum and cluster identifiers were constructed before the design was specified; a single survey design object was built once on the complete cohort and every subsequent analysis was taken as a subset of it, so that stratum information required for variance estimation was never discarded. Strata containing a single primary sampling unit were centred at the grand mean rather than dropped.</w:t>
      </w:r>
    </w:p>
    <w:p>
      <w:pPr>
        <w:pStyle w:val="BodyText"/>
      </w:pPr>
      <w:r>
        <w:t xml:space="preserve">Baseline characteristics are reported as design-weighted percentages with unweighted counts, and are compared using standardized mean differences rather than p-values, because in a cohort of this size every p-value would be small and none would describe the magnitude of an imbalance.</w:t>
      </w:r>
    </w:p>
    <w:p>
      <w:pPr>
        <w:pStyle w:val="BodyText"/>
      </w:pPr>
      <w:r>
        <w:t xml:space="preserve">The primary model was a survey-weighted logistic regression of 30-day all-cause readmission on dialysis-dependent kidney failure. Age was modelled as a restricted cubic spline rather than as a linear or categorical term. The covariate block was deliberately compact and fixed a priori: sex, primary expected payer, ZIP-code median income quartile, NCHS urban-rural residence, admission type, hospital bed size, hospital location and teaching status, discharge year, hospital left atrial appendage occlusion volume tertile computed within year on the full procedural population before exclusions, the components of the CHA₂DS₂-VASc score, the bleeding-relevant components of HAS-BLED, and a residual Elixhauser comorbidity count. Renal failure was excluded from that count because it is collinear with the exposure by construction, and so was every comorbidity entered individually, so that no comorbidity contributes twice. No stepwise or data-driven variable selection was performed at any point.</w:t>
      </w:r>
    </w:p>
    <w:p>
      <w:pPr>
        <w:pStyle w:val="BodyText"/>
      </w:pPr>
      <w:r>
        <w:t xml:space="preserve">Because 30-day readmission is common in this population, odds ratios materially overstate risk ratios, so adjusted absolute risks were obtained by marginal standardization (g-computation) over the observed covariate distribution of the whole analytic cohort, with variance by the delta method on the design-based covariance matrix and t critical values on the design degrees of freedom. A propensity-score overlap-weighted (ATO) estimate was treated as</w:t>
      </w:r>
      <w:r>
        <w:t xml:space="preserve"> </w:t>
      </w:r>
      <w:r>
        <w:rPr>
          <w:b/>
          <w:bCs/>
        </w:rPr>
        <w:t xml:space="preserve">co-primary</w:t>
      </w:r>
      <w:r>
        <w:t xml:space="preserve"> </w:t>
      </w:r>
      <w:r>
        <w:t xml:space="preserve">rather than as a sensitivity analysis: it reduces the outcome model to a single exposure term while balancing the full covariate set through the propensity score, which is the appropriate response to a study whose exposed arm is small. The outcome model was refitted on the overlap-weighted design, making that estimator doubly robust; the design-based variance treats the estimated weights as fixed, which is standard practice and mildly conservative for overlap weights.</w:t>
      </w:r>
    </w:p>
    <w:p>
      <w:pPr>
        <w:pStyle w:val="BodyText"/>
      </w:pPr>
      <w:r>
        <w:t xml:space="preserve">An E-value was computed on the risk ratio scale to quantify the strength of unmeasured confounding that would be required to explain the finding. A pre-specified negative control outcome with no plausible causal link to the exposure was analysed using the identical model. Secondary outcomes were adjusted for multiplicity within their pre-specified family using the Benjamini-Hochberg procedure; the primary outcome was tested once, unadjusted, and is the only confirmatory test in the paper. Sensitivity analyses were not multiplicity-corrected and are judged on movement of the point estimate. Subgroup analyses were exploratory, were assessed by design-based interaction tests rather than by comparing subgroup confidence intervals, and are not reported in the Conclusions. Cells representing fewer than 11 unweighted discharges are suppressed throughout in accordance with the HCUP Data Use Agreement. Analyses were performed in R version 4.6.1 (2026-06-24 ucrt) using the survey package version 4.5.</w:t>
      </w:r>
    </w:p>
    <w:bookmarkEnd w:id="14"/>
    <w:bookmarkEnd w:id="15"/>
    <w:bookmarkStart w:id="19" w:name="cohort-construction"/>
    <w:p>
      <w:pPr>
        <w:pStyle w:val="Heading1"/>
      </w:pPr>
      <w:r>
        <w:t xml:space="preserve">3. Cohort construction</w:t>
      </w:r>
    </w:p>
    <w:p>
      <w:pPr>
        <w:pStyle w:val="TableCaption"/>
      </w:pPr>
      <w:r>
        <w:t xml:space="preserve">Cohort construction (unweighted discharge records).</w:t>
      </w:r>
    </w:p>
    <w:tbl>
      <w:tblPr>
        <w:tblStyle w:val="Table"/>
        <w:tblW w:type="pct" w:w="5000"/>
        <w:tblLayout w:type="fixed"/>
        <w:tblLook w:firstRow="1" w:lastRow="0" w:firstColumn="0" w:lastColumn="0" w:noHBand="0" w:noVBand="0" w:val="0020"/>
        <w:tblCaption w:val="Cohort construction (unweighted discharge records)."/>
      </w:tblPr>
      <w:tblGrid>
        <w:gridCol w:w="241"/>
        <w:gridCol w:w="5427"/>
        <w:gridCol w:w="1326"/>
        <w:gridCol w:w="924"/>
      </w:tblGrid>
      <w:tr>
        <w:trPr>
          <w:tblHeader w:val="on"/>
        </w:trPr>
        <w:tc>
          <w:tcPr/>
          <w:p>
            <w:pPr>
              <w:pStyle w:val="Compact"/>
            </w:pPr>
            <w:r>
              <w:t xml:space="preserve">Step</w:t>
            </w:r>
          </w:p>
        </w:tc>
        <w:tc>
          <w:tcPr/>
          <w:p>
            <w:pPr>
              <w:pStyle w:val="Compact"/>
            </w:pPr>
            <w:r>
              <w:t xml:space="preserve">Cohort definition step</w:t>
            </w:r>
          </w:p>
        </w:tc>
        <w:tc>
          <w:tcPr/>
          <w:p>
            <w:pPr>
              <w:pStyle w:val="Compact"/>
            </w:pPr>
            <w:r>
              <w:t xml:space="preserve">Unweighted discharges remaining</w:t>
            </w:r>
          </w:p>
        </w:tc>
        <w:tc>
          <w:tcPr/>
          <w:p>
            <w:pPr>
              <w:pStyle w:val="Compact"/>
            </w:pPr>
            <w:r>
              <w:t xml:space="preserve">Excluded at this step</w:t>
            </w:r>
          </w:p>
        </w:tc>
      </w:tr>
      <w:tr>
        <w:tc>
          <w:tcPr/>
          <w:p>
            <w:pPr>
              <w:pStyle w:val="Compact"/>
            </w:pPr>
            <w:r>
              <w:t xml:space="preserve">0</w:t>
            </w:r>
          </w:p>
        </w:tc>
        <w:tc>
          <w:tcPr/>
          <w:p>
            <w:pPr>
              <w:pStyle w:val="Compact"/>
            </w:pPr>
            <w:r>
              <w:t xml:space="preserve">All NRD discharges, 2016-2022</w:t>
            </w:r>
          </w:p>
        </w:tc>
        <w:tc>
          <w:tcPr/>
          <w:p>
            <w:pPr>
              <w:pStyle w:val="Compact"/>
            </w:pPr>
            <w:r>
              <w:t xml:space="preserve">121,011,259</w:t>
            </w:r>
          </w:p>
        </w:tc>
        <w:tc>
          <w:tcPr/>
          <w:p>
            <w:pPr>
              <w:pStyle w:val="Compact"/>
            </w:pPr>
          </w:p>
        </w:tc>
      </w:tr>
      <w:tr>
        <w:tc>
          <w:tcPr/>
          <w:p>
            <w:pPr>
              <w:pStyle w:val="Compact"/>
            </w:pPr>
            <w:r>
              <w:t xml:space="preserve">1</w:t>
            </w:r>
          </w:p>
        </w:tc>
        <w:tc>
          <w:tcPr/>
          <w:p>
            <w:pPr>
              <w:pStyle w:val="Compact"/>
            </w:pPr>
            <w:r>
              <w:t xml:space="preserve">Any-listed percutaneous LAA occlusion with an intraluminal device (02L73DK)</w:t>
            </w:r>
          </w:p>
        </w:tc>
        <w:tc>
          <w:tcPr/>
          <w:p>
            <w:pPr>
              <w:pStyle w:val="Compact"/>
            </w:pPr>
            <w:r>
              <w:t xml:space="preserve">112,890</w:t>
            </w:r>
          </w:p>
        </w:tc>
        <w:tc>
          <w:tcPr/>
          <w:p>
            <w:pPr>
              <w:pStyle w:val="Compact"/>
            </w:pPr>
            <w:r>
              <w:t xml:space="preserve">120,898,369</w:t>
            </w:r>
          </w:p>
        </w:tc>
      </w:tr>
      <w:tr>
        <w:tc>
          <w:tcPr/>
          <w:p>
            <w:pPr>
              <w:pStyle w:val="Compact"/>
            </w:pPr>
            <w:r>
              <w:t xml:space="preserve">2</w:t>
            </w:r>
          </w:p>
        </w:tc>
        <w:tc>
          <w:tcPr/>
          <w:p>
            <w:pPr>
              <w:pStyle w:val="Compact"/>
            </w:pPr>
            <w:r>
              <w:t xml:space="preserve">Age &gt;= 18 years</w:t>
            </w:r>
          </w:p>
        </w:tc>
        <w:tc>
          <w:tcPr/>
          <w:p>
            <w:pPr>
              <w:pStyle w:val="Compact"/>
            </w:pPr>
            <w:r>
              <w:t xml:space="preserve">112,868</w:t>
            </w:r>
          </w:p>
        </w:tc>
        <w:tc>
          <w:tcPr/>
          <w:p>
            <w:pPr>
              <w:pStyle w:val="Compact"/>
            </w:pPr>
            <w:r>
              <w:t xml:space="preserve">22</w:t>
            </w:r>
          </w:p>
        </w:tc>
      </w:tr>
      <w:tr>
        <w:tc>
          <w:tcPr/>
          <w:p>
            <w:pPr>
              <w:pStyle w:val="Compact"/>
            </w:pPr>
            <w:r>
              <w:t xml:space="preserve">3</w:t>
            </w:r>
          </w:p>
        </w:tc>
        <w:tc>
          <w:tcPr/>
          <w:p>
            <w:pPr>
              <w:pStyle w:val="Compact"/>
            </w:pPr>
            <w:r>
              <w:t xml:space="preserve">Survived the index admission (DIED = 0)</w:t>
            </w:r>
          </w:p>
        </w:tc>
        <w:tc>
          <w:tcPr/>
          <w:p>
            <w:pPr>
              <w:pStyle w:val="Compact"/>
            </w:pPr>
            <w:r>
              <w:t xml:space="preserve">112,712</w:t>
            </w:r>
          </w:p>
        </w:tc>
        <w:tc>
          <w:tcPr/>
          <w:p>
            <w:pPr>
              <w:pStyle w:val="Compact"/>
            </w:pPr>
            <w:r>
              <w:t xml:space="preserve">156</w:t>
            </w:r>
          </w:p>
        </w:tc>
      </w:tr>
      <w:tr>
        <w:tc>
          <w:tcPr/>
          <w:p>
            <w:pPr>
              <w:pStyle w:val="Compact"/>
            </w:pPr>
            <w:r>
              <w:t xml:space="preserve">4</w:t>
            </w:r>
          </w:p>
        </w:tc>
        <w:tc>
          <w:tcPr/>
          <w:p>
            <w:pPr>
              <w:pStyle w:val="Compact"/>
            </w:pPr>
            <w:r>
              <w:t xml:space="preserve">Not transferred to another short-term hospital</w:t>
            </w:r>
          </w:p>
        </w:tc>
        <w:tc>
          <w:tcPr/>
          <w:p>
            <w:pPr>
              <w:pStyle w:val="Compact"/>
            </w:pPr>
            <w:r>
              <w:t xml:space="preserve">112,637</w:t>
            </w:r>
          </w:p>
        </w:tc>
        <w:tc>
          <w:tcPr/>
          <w:p>
            <w:pPr>
              <w:pStyle w:val="Compact"/>
            </w:pPr>
            <w:r>
              <w:t xml:space="preserve">75</w:t>
            </w:r>
          </w:p>
        </w:tc>
      </w:tr>
      <w:tr>
        <w:tc>
          <w:tcPr/>
          <w:p>
            <w:pPr>
              <w:pStyle w:val="Compact"/>
            </w:pPr>
            <w:r>
              <w:t xml:space="preserve">5</w:t>
            </w:r>
          </w:p>
        </w:tc>
        <w:tc>
          <w:tcPr/>
          <w:p>
            <w:pPr>
              <w:pStyle w:val="Compact"/>
            </w:pPr>
            <w:r>
              <w:t xml:space="preserve">Discharged in months 1-11 (complete 30-day follow-up window)</w:t>
            </w:r>
          </w:p>
        </w:tc>
        <w:tc>
          <w:tcPr/>
          <w:p>
            <w:pPr>
              <w:pStyle w:val="Compact"/>
            </w:pPr>
            <w:r>
              <w:t xml:space="preserve">102,141</w:t>
            </w:r>
          </w:p>
        </w:tc>
        <w:tc>
          <w:tcPr/>
          <w:p>
            <w:pPr>
              <w:pStyle w:val="Compact"/>
            </w:pPr>
            <w:r>
              <w:t xml:space="preserve">10,496</w:t>
            </w:r>
          </w:p>
        </w:tc>
      </w:tr>
      <w:tr>
        <w:tc>
          <w:tcPr/>
          <w:p>
            <w:pPr>
              <w:pStyle w:val="Compact"/>
            </w:pPr>
            <w:r>
              <w:t xml:space="preserve">6–7</w:t>
            </w:r>
          </w:p>
        </w:tc>
        <w:tc>
          <w:tcPr/>
          <w:p>
            <w:pPr>
              <w:pStyle w:val="Compact"/>
            </w:pPr>
            <w:r>
              <w:t xml:space="preserve">Linkable (NRD_VISITLINK, NRD_DAYSTOEVENT and LOS all recorded); No concomitant cardiac surgery, valve procedure or open LAA operation</w:t>
            </w:r>
          </w:p>
        </w:tc>
        <w:tc>
          <w:tcPr/>
          <w:p>
            <w:pPr>
              <w:pStyle w:val="Compact"/>
            </w:pPr>
            <w:r>
              <w:t xml:space="preserve">101,865</w:t>
            </w:r>
          </w:p>
        </w:tc>
        <w:tc>
          <w:tcPr/>
          <w:p>
            <w:pPr>
              <w:pStyle w:val="Compact"/>
            </w:pPr>
            <w:r>
              <w:t xml:space="preserve">276</w:t>
            </w:r>
          </w:p>
        </w:tc>
      </w:tr>
      <w:tr>
        <w:tc>
          <w:tcPr/>
          <w:p>
            <w:pPr>
              <w:pStyle w:val="Compact"/>
            </w:pPr>
            <w:r>
              <w:t xml:space="preserve">8</w:t>
            </w:r>
          </w:p>
        </w:tc>
        <w:tc>
          <w:tcPr/>
          <w:p>
            <w:pPr>
              <w:pStyle w:val="Compact"/>
            </w:pPr>
            <w:r>
              <w:t xml:space="preserve">Complete on every primary-model covariate</w:t>
            </w:r>
          </w:p>
        </w:tc>
        <w:tc>
          <w:tcPr/>
          <w:p>
            <w:pPr>
              <w:pStyle w:val="Compact"/>
            </w:pPr>
            <w:r>
              <w:t xml:space="preserve">101,813</w:t>
            </w:r>
          </w:p>
        </w:tc>
        <w:tc>
          <w:tcPr/>
          <w:p>
            <w:pPr>
              <w:pStyle w:val="Compact"/>
            </w:pPr>
            <w:r>
              <w:t xml:space="preserve">52</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A step that excluded between 1 and 10 discharges is merged with its neighbour so that no small exclusion can be recovered by subtraction.</w:t>
            </w:r>
          </w:p>
        </w:tc>
      </w:tr>
    </w:tbl>
    <w:p>
      <w:pPr>
        <w:pStyle w:val="TableCaption"/>
      </w:pPr>
      <w:r>
        <w:t xml:space="preserve">Device-code and concomitant-procedure accounting.</w:t>
      </w:r>
    </w:p>
    <w:tbl>
      <w:tblPr>
        <w:tblStyle w:val="Table"/>
        <w:tblW w:type="pct" w:w="5000"/>
        <w:tblLayout w:type="fixed"/>
        <w:tblLook w:firstRow="1" w:lastRow="0" w:firstColumn="0" w:lastColumn="0" w:noHBand="0" w:noVBand="0" w:val="0020"/>
        <w:tblCaption w:val="Device-code and concomitant-procedure accounting."/>
      </w:tblPr>
      <w:tblGrid>
        <w:gridCol w:w="6680"/>
        <w:gridCol w:w="1239"/>
      </w:tblGrid>
      <w:tr>
        <w:trPr>
          <w:tblHeader w:val="on"/>
        </w:trPr>
        <w:tc>
          <w:tcPr/>
          <w:p>
            <w:pPr>
              <w:pStyle w:val="Compact"/>
            </w:pPr>
            <w:r>
              <w:t xml:space="preserve">Item</w:t>
            </w:r>
          </w:p>
        </w:tc>
        <w:tc>
          <w:tcPr/>
          <w:p>
            <w:pPr>
              <w:pStyle w:val="Compact"/>
            </w:pPr>
            <w:r>
              <w:t xml:space="preserve">Unweighted N</w:t>
            </w:r>
          </w:p>
        </w:tc>
      </w:tr>
      <w:tr>
        <w:tc>
          <w:tcPr/>
          <w:p>
            <w:pPr>
              <w:pStyle w:val="Compact"/>
            </w:pPr>
            <w:r>
              <w:t xml:space="preserve">Discharges with 02L73CK or 02L73ZK and no 02L73DK (excluded from the cohort definition)</w:t>
            </w:r>
          </w:p>
        </w:tc>
        <w:tc>
          <w:tcPr/>
          <w:p>
            <w:pPr>
              <w:pStyle w:val="Compact"/>
            </w:pPr>
            <w:r>
              <w:t xml:space="preserve">2,448</w:t>
            </w:r>
          </w:p>
        </w:tc>
      </w:tr>
      <w:tr>
        <w:tc>
          <w:tcPr/>
          <w:p>
            <w:pPr>
              <w:pStyle w:val="Compact"/>
            </w:pPr>
            <w:r>
              <w:t xml:space="preserve">02L73DK discharges in which it is the PRINCIPAL procedure (I10_PR1)</w:t>
            </w:r>
          </w:p>
        </w:tc>
        <w:tc>
          <w:tcPr/>
          <w:p>
            <w:pPr>
              <w:pStyle w:val="Compact"/>
            </w:pPr>
            <w:r>
              <w:t xml:space="preserve">104,748</w:t>
            </w:r>
          </w:p>
        </w:tc>
      </w:tr>
      <w:tr>
        <w:tc>
          <w:tcPr/>
          <w:p>
            <w:pPr>
              <w:pStyle w:val="Compact"/>
            </w:pPr>
            <w:r>
              <w:t xml:space="preserve">02L73DK discharges with a concomitant CABG</w:t>
            </w:r>
          </w:p>
        </w:tc>
        <w:tc>
          <w:tcPr/>
          <w:p>
            <w:pPr>
              <w:pStyle w:val="Compact"/>
            </w:pPr>
            <w:r>
              <w:t xml:space="preserve">39</w:t>
            </w:r>
          </w:p>
        </w:tc>
      </w:tr>
      <w:tr>
        <w:tc>
          <w:tcPr/>
          <w:p>
            <w:pPr>
              <w:pStyle w:val="Compact"/>
            </w:pPr>
            <w:r>
              <w:t xml:space="preserve">02L73DK discharges with a concomitant valve procedure</w:t>
            </w:r>
          </w:p>
        </w:tc>
        <w:tc>
          <w:tcPr/>
          <w:p>
            <w:pPr>
              <w:pStyle w:val="Compact"/>
            </w:pPr>
            <w:r>
              <w:t xml:space="preserve">224</w:t>
            </w:r>
          </w:p>
        </w:tc>
      </w:tr>
      <w:tr>
        <w:tc>
          <w:tcPr/>
          <w:p>
            <w:pPr>
              <w:pStyle w:val="Compact"/>
            </w:pPr>
            <w:r>
              <w:t xml:space="preserve">of which transcatheter aortic valve replacement</w:t>
            </w:r>
          </w:p>
        </w:tc>
        <w:tc>
          <w:tcPr/>
          <w:p>
            <w:pPr>
              <w:pStyle w:val="Compact"/>
            </w:pPr>
            <w:r>
              <w:t xml:space="preserve">127</w:t>
            </w:r>
          </w:p>
        </w:tc>
      </w:tr>
      <w:tr>
        <w:tc>
          <w:tcPr/>
          <w:p>
            <w:pPr>
              <w:pStyle w:val="Compact"/>
            </w:pPr>
            <w:r>
              <w:t xml:space="preserve">02L73DK discharges with a concomitant open or thoracoscopic LAA operation</w:t>
            </w:r>
          </w:p>
        </w:tc>
        <w:tc>
          <w:tcPr/>
          <w:p>
            <w:pPr>
              <w:pStyle w:val="Compact"/>
            </w:pPr>
            <w:r>
              <w:t xml:space="preserve">51</w:t>
            </w:r>
          </w:p>
        </w:tc>
      </w:tr>
      <w:tr>
        <w:tc>
          <w:tcPr/>
          <w:p>
            <w:pPr>
              <w:pStyle w:val="Compact"/>
            </w:pPr>
            <w:r>
              <w:t xml:space="preserve">Discharges carrying 5A1D90Z (CRRT) with no maintenance-dialysis marker (NOT counted as exposed)</w:t>
            </w:r>
          </w:p>
        </w:tc>
        <w:tc>
          <w:tcPr/>
          <w:p>
            <w:pPr>
              <w:pStyle w:val="Compact"/>
            </w:pPr>
            <w:r>
              <w:t xml:space="preserve">&lt;11 (suppressed)</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Codes 02L73CK (extraluminal device) and 02L73ZK (unspecified device) lie outside the cohort definition and are counted here rather than in the attrition ladder. ICD-10-PCS cannot identify the device model, so no device-generation comparison is possible from these data.</w:t>
            </w:r>
          </w:p>
        </w:tc>
      </w:tr>
    </w:tbl>
    <w:p>
      <w:pPr>
        <w:pStyle w:val="TableCaption"/>
      </w:pPr>
      <w:r>
        <w:t xml:space="preserve">Missingness on primary-model covariates (index cohort).</w:t>
      </w:r>
    </w:p>
    <w:tbl>
      <w:tblPr>
        <w:tblStyle w:val="Table"/>
        <w:tblW w:type="auto" w:w="0"/>
        <w:tblLook w:firstRow="1" w:lastRow="0" w:firstColumn="0" w:lastColumn="0" w:noHBand="0" w:noVBand="0" w:val="0020"/>
        <w:tblCaption w:val="Missingness on primary-model covariates (index cohort)."/>
      </w:tblPr>
      <w:tblGrid>
        <w:gridCol w:w="1980"/>
        <w:gridCol w:w="1980"/>
        <w:gridCol w:w="1980"/>
        <w:gridCol w:w="1980"/>
      </w:tblGrid>
      <w:tr>
        <w:trPr>
          <w:tblHeader w:val="on"/>
        </w:trPr>
        <w:tc>
          <w:tcPr/>
          <w:p>
            <w:pPr>
              <w:pStyle w:val="Compact"/>
            </w:pPr>
            <w:r>
              <w:t xml:space="preserve">Variable</w:t>
            </w:r>
          </w:p>
        </w:tc>
        <w:tc>
          <w:tcPr/>
          <w:p>
            <w:pPr>
              <w:pStyle w:val="Compact"/>
            </w:pPr>
            <w:r>
              <w:t xml:space="preserve">Missing n</w:t>
            </w:r>
          </w:p>
        </w:tc>
        <w:tc>
          <w:tcPr/>
          <w:p>
            <w:pPr>
              <w:pStyle w:val="Compact"/>
            </w:pPr>
            <w:r>
              <w:t xml:space="preserve">Missing %</w:t>
            </w:r>
          </w:p>
        </w:tc>
        <w:tc>
          <w:tcPr/>
          <w:p>
            <w:pPr>
              <w:pStyle w:val="Compact"/>
            </w:pPr>
            <w:r>
              <w:t xml:space="preserve">Handling</w:t>
            </w:r>
          </w:p>
        </w:tc>
      </w:tr>
      <w:tr>
        <w:tc>
          <w:tcPr/>
          <w:p>
            <w:pPr>
              <w:pStyle w:val="Compact"/>
            </w:pPr>
            <w:r>
              <w:t xml:space="preserve">Admission type</w:t>
            </w:r>
          </w:p>
        </w:tc>
        <w:tc>
          <w:tcPr/>
          <w:p>
            <w:pPr>
              <w:pStyle w:val="Compact"/>
            </w:pPr>
            <w:r>
              <w:t xml:space="preserve">52</w:t>
            </w:r>
          </w:p>
        </w:tc>
        <w:tc>
          <w:tcPr/>
          <w:p>
            <w:pPr>
              <w:pStyle w:val="Compact"/>
            </w:pPr>
            <w:r>
              <w:t xml:space="preserve">0.05%</w:t>
            </w:r>
          </w:p>
        </w:tc>
        <w:tc>
          <w:tcPr/>
          <w:p>
            <w:pPr>
              <w:pStyle w:val="Compact"/>
            </w:pPr>
            <w:r>
              <w:t xml:space="preserve">Complete case</w:t>
            </w:r>
          </w:p>
        </w:tc>
      </w:tr>
    </w:tbl>
    <w:p>
      <w:pPr>
        <w:pStyle w:val="CaptionedFigure"/>
      </w:pPr>
      <w:r>
        <w:drawing>
          <wp:inline>
            <wp:extent cx="5334000" cy="6744929"/>
            <wp:effectExtent b="0" l="0" r="0" t="0"/>
            <wp:docPr descr="Figure 1. Cohort construction." title="" id="17" name="Picture"/>
            <a:graphic>
              <a:graphicData uri="http://schemas.openxmlformats.org/drawingml/2006/picture">
                <pic:pic>
                  <pic:nvPicPr>
                    <pic:cNvPr descr="C:/Users/saada/Documents/Biostatistics/AliFam-Nerds/RCOP_NRD/NRD_Saad_LAAO_ESKD/figures/Figure1_cohort_flow.png" id="18" name="Picture"/>
                    <pic:cNvPicPr>
                      <a:picLocks noChangeArrowheads="1" noChangeAspect="1"/>
                    </pic:cNvPicPr>
                  </pic:nvPicPr>
                  <pic:blipFill>
                    <a:blip r:embed="rId16"/>
                    <a:stretch>
                      <a:fillRect/>
                    </a:stretch>
                  </pic:blipFill>
                  <pic:spPr bwMode="auto">
                    <a:xfrm>
                      <a:off x="0" y="0"/>
                      <a:ext cx="5334000" cy="6744929"/>
                    </a:xfrm>
                    <a:prstGeom prst="rect">
                      <a:avLst/>
                    </a:prstGeom>
                    <a:noFill/>
                    <a:ln w="9525">
                      <a:noFill/>
                      <a:headEnd/>
                      <a:tailEnd/>
                    </a:ln>
                  </pic:spPr>
                </pic:pic>
              </a:graphicData>
            </a:graphic>
          </wp:inline>
        </w:drawing>
      </w:r>
    </w:p>
    <w:p>
      <w:pPr>
        <w:pStyle w:val="ImageCaption"/>
      </w:pPr>
      <w:r>
        <w:t xml:space="preserve">Figure 1. Cohort construction.</w:t>
      </w:r>
    </w:p>
    <w:bookmarkEnd w:id="19"/>
    <w:bookmarkStart w:id="57" w:name="results"/>
    <w:p>
      <w:pPr>
        <w:pStyle w:val="Heading1"/>
      </w:pPr>
      <w:r>
        <w:t xml:space="preserve">4. Results</w:t>
      </w:r>
    </w:p>
    <w:bookmarkStart w:id="20" w:name="baseline-characteristics"/>
    <w:p>
      <w:pPr>
        <w:pStyle w:val="Heading2"/>
      </w:pPr>
      <w:r>
        <w:t xml:space="preserve">4.1 Baseline characteristics</w:t>
      </w:r>
    </w:p>
    <w:p>
      <w:pPr>
        <w:pStyle w:val="TableCaption"/>
      </w:pPr>
      <w:r>
        <w:t xml:space="preserve">Table 1. Baseline characteristics of index hospitalizations, by dialysis-dependent kidney failure.</w:t>
      </w:r>
    </w:p>
    <w:tbl>
      <w:tblPr>
        <w:tblStyle w:val="Table"/>
        <w:tblW w:type="pct" w:w="5000"/>
        <w:tblLayout w:type="fixed"/>
        <w:tblLook w:firstRow="1" w:lastRow="0" w:firstColumn="0" w:lastColumn="0" w:noHBand="0" w:noVBand="0" w:val="0020"/>
        <w:tblCaption w:val="Table 1. Baseline characteristics of index hospitalizations, by dialysis-dependent kidney failure."/>
      </w:tblPr>
      <w:tblGrid>
        <w:gridCol w:w="2921"/>
        <w:gridCol w:w="1023"/>
        <w:gridCol w:w="1867"/>
        <w:gridCol w:w="1746"/>
        <w:gridCol w:w="361"/>
      </w:tblGrid>
      <w:tr>
        <w:trPr>
          <w:tblHeader w:val="on"/>
        </w:trPr>
        <w:tc>
          <w:tcPr/>
          <w:p>
            <w:pPr>
              <w:pStyle w:val="Compact"/>
            </w:pPr>
            <w:r>
              <w:t xml:space="preserve">Characteristic</w:t>
            </w:r>
          </w:p>
        </w:tc>
        <w:tc>
          <w:tcPr/>
          <w:p>
            <w:pPr>
              <w:pStyle w:val="Compact"/>
            </w:pPr>
            <w:r>
              <w:t xml:space="preserve">Overall (unweighted n = 101,813)</w:t>
            </w:r>
          </w:p>
        </w:tc>
        <w:tc>
          <w:tcPr/>
          <w:p>
            <w:pPr>
              <w:pStyle w:val="Compact"/>
            </w:pPr>
            <w:r>
              <w:t xml:space="preserve">No dialysis-dependent kidney failure (unweighted n = 99,395)</w:t>
            </w:r>
          </w:p>
        </w:tc>
        <w:tc>
          <w:tcPr/>
          <w:p>
            <w:pPr>
              <w:pStyle w:val="Compact"/>
            </w:pPr>
            <w:r>
              <w:t xml:space="preserve">Dialysis-dependent kidney failure (unweighted n = 2,418)</w:t>
            </w:r>
          </w:p>
        </w:tc>
        <w:tc>
          <w:tcPr/>
          <w:p>
            <w:pPr>
              <w:pStyle w:val="Compact"/>
            </w:pPr>
            <w:r>
              <w:t xml:space="preserve">SMD</w:t>
            </w:r>
          </w:p>
        </w:tc>
      </w:tr>
      <w:tr>
        <w:tc>
          <w:tcPr/>
          <w:p>
            <w:pPr>
              <w:pStyle w:val="Compact"/>
            </w:pPr>
            <w:r>
              <w:t xml:space="preserve">Age, years, mean (SD)</w:t>
            </w:r>
          </w:p>
        </w:tc>
        <w:tc>
          <w:tcPr/>
          <w:p>
            <w:pPr>
              <w:pStyle w:val="Compact"/>
            </w:pPr>
            <w:r>
              <w:t xml:space="preserve">76.2 (7.7)</w:t>
            </w:r>
          </w:p>
        </w:tc>
        <w:tc>
          <w:tcPr/>
          <w:p>
            <w:pPr>
              <w:pStyle w:val="Compact"/>
            </w:pPr>
            <w:r>
              <w:t xml:space="preserve">76.3 (7.7)</w:t>
            </w:r>
          </w:p>
        </w:tc>
        <w:tc>
          <w:tcPr/>
          <w:p>
            <w:pPr>
              <w:pStyle w:val="Compact"/>
            </w:pPr>
            <w:r>
              <w:t xml:space="preserve">71.3 (9.2)</w:t>
            </w:r>
          </w:p>
        </w:tc>
        <w:tc>
          <w:tcPr/>
          <w:p>
            <w:pPr>
              <w:pStyle w:val="Compact"/>
            </w:pPr>
            <w:r>
              <w:t xml:space="preserve">0.587</w:t>
            </w:r>
          </w:p>
        </w:tc>
      </w:tr>
      <w:tr>
        <w:tc>
          <w:tcPr/>
          <w:p>
            <w:pPr>
              <w:pStyle w:val="Compact"/>
            </w:pPr>
            <w:r>
              <w:t xml:space="preserve">Age group, % (unweighted n)</w:t>
            </w:r>
          </w:p>
        </w:tc>
        <w:tc>
          <w:tcPr/>
          <w:p>
            <w:pPr>
              <w:pStyle w:val="Compact"/>
            </w:pPr>
          </w:p>
        </w:tc>
        <w:tc>
          <w:tcPr/>
          <w:p>
            <w:pPr>
              <w:pStyle w:val="Compact"/>
            </w:pPr>
          </w:p>
        </w:tc>
        <w:tc>
          <w:tcPr/>
          <w:p>
            <w:pPr>
              <w:pStyle w:val="Compact"/>
            </w:pPr>
          </w:p>
        </w:tc>
        <w:tc>
          <w:tcPr/>
          <w:p>
            <w:pPr>
              <w:pStyle w:val="Compact"/>
            </w:pPr>
            <w:r>
              <w:t xml:space="preserve">0.457</w:t>
            </w:r>
          </w:p>
        </w:tc>
      </w:tr>
      <w:tr>
        <w:tc>
          <w:tcPr/>
          <w:p>
            <w:pPr>
              <w:pStyle w:val="Compact"/>
            </w:pPr>
            <w:r>
              <w:t xml:space="preserve"> &lt;75 years</w:t>
            </w:r>
          </w:p>
        </w:tc>
        <w:tc>
          <w:tcPr/>
          <w:p>
            <w:pPr>
              <w:pStyle w:val="Compact"/>
            </w:pPr>
            <w:r>
              <w:t xml:space="preserve">38.7% (38,857)</w:t>
            </w:r>
          </w:p>
        </w:tc>
        <w:tc>
          <w:tcPr/>
          <w:p>
            <w:pPr>
              <w:pStyle w:val="Compact"/>
            </w:pPr>
            <w:r>
              <w:t xml:space="preserve">38.2% (37,403)</w:t>
            </w:r>
          </w:p>
        </w:tc>
        <w:tc>
          <w:tcPr/>
          <w:p>
            <w:pPr>
              <w:pStyle w:val="Compact"/>
            </w:pPr>
            <w:r>
              <w:t xml:space="preserve">60.5% (1,454)</w:t>
            </w:r>
          </w:p>
        </w:tc>
        <w:tc>
          <w:tcPr/>
          <w:p>
            <w:pPr>
              <w:pStyle w:val="Compact"/>
            </w:pPr>
          </w:p>
        </w:tc>
      </w:tr>
      <w:tr>
        <w:tc>
          <w:tcPr/>
          <w:p>
            <w:pPr>
              <w:pStyle w:val="Compact"/>
            </w:pPr>
            <w:r>
              <w:t xml:space="preserve"> ≥75 years</w:t>
            </w:r>
          </w:p>
        </w:tc>
        <w:tc>
          <w:tcPr/>
          <w:p>
            <w:pPr>
              <w:pStyle w:val="Compact"/>
            </w:pPr>
            <w:r>
              <w:t xml:space="preserve">61.3% (62,956)</w:t>
            </w:r>
          </w:p>
        </w:tc>
        <w:tc>
          <w:tcPr/>
          <w:p>
            <w:pPr>
              <w:pStyle w:val="Compact"/>
            </w:pPr>
            <w:r>
              <w:t xml:space="preserve">61.8% (61,992)</w:t>
            </w:r>
          </w:p>
        </w:tc>
        <w:tc>
          <w:tcPr/>
          <w:p>
            <w:pPr>
              <w:pStyle w:val="Compact"/>
            </w:pPr>
            <w:r>
              <w:t xml:space="preserve">39.5% (964)</w:t>
            </w:r>
          </w:p>
        </w:tc>
        <w:tc>
          <w:tcPr/>
          <w:p>
            <w:pPr>
              <w:pStyle w:val="Compact"/>
            </w:pPr>
          </w:p>
        </w:tc>
      </w:tr>
      <w:tr>
        <w:tc>
          <w:tcPr/>
          <w:p>
            <w:pPr>
              <w:pStyle w:val="Compact"/>
            </w:pPr>
            <w:r>
              <w:t xml:space="preserve">Sex, % (unweighted n)</w:t>
            </w:r>
          </w:p>
        </w:tc>
        <w:tc>
          <w:tcPr/>
          <w:p>
            <w:pPr>
              <w:pStyle w:val="Compact"/>
            </w:pPr>
          </w:p>
        </w:tc>
        <w:tc>
          <w:tcPr/>
          <w:p>
            <w:pPr>
              <w:pStyle w:val="Compact"/>
            </w:pPr>
          </w:p>
        </w:tc>
        <w:tc>
          <w:tcPr/>
          <w:p>
            <w:pPr>
              <w:pStyle w:val="Compact"/>
            </w:pPr>
          </w:p>
        </w:tc>
        <w:tc>
          <w:tcPr/>
          <w:p>
            <w:pPr>
              <w:pStyle w:val="Compact"/>
            </w:pPr>
            <w:r>
              <w:t xml:space="preserve">0.144</w:t>
            </w:r>
          </w:p>
        </w:tc>
      </w:tr>
      <w:tr>
        <w:tc>
          <w:tcPr/>
          <w:p>
            <w:pPr>
              <w:pStyle w:val="Compact"/>
            </w:pPr>
            <w:r>
              <w:t xml:space="preserve"> Male</w:t>
            </w:r>
          </w:p>
        </w:tc>
        <w:tc>
          <w:tcPr/>
          <w:p>
            <w:pPr>
              <w:pStyle w:val="Compact"/>
            </w:pPr>
            <w:r>
              <w:t xml:space="preserve">58.5% (59,871)</w:t>
            </w:r>
          </w:p>
        </w:tc>
        <w:tc>
          <w:tcPr/>
          <w:p>
            <w:pPr>
              <w:pStyle w:val="Compact"/>
            </w:pPr>
            <w:r>
              <w:t xml:space="preserve">58.3% (58,285)</w:t>
            </w:r>
          </w:p>
        </w:tc>
        <w:tc>
          <w:tcPr/>
          <w:p>
            <w:pPr>
              <w:pStyle w:val="Compact"/>
            </w:pPr>
            <w:r>
              <w:t xml:space="preserve">65.3% (1,586)</w:t>
            </w:r>
          </w:p>
        </w:tc>
        <w:tc>
          <w:tcPr/>
          <w:p>
            <w:pPr>
              <w:pStyle w:val="Compact"/>
            </w:pPr>
          </w:p>
        </w:tc>
      </w:tr>
      <w:tr>
        <w:tc>
          <w:tcPr/>
          <w:p>
            <w:pPr>
              <w:pStyle w:val="Compact"/>
            </w:pPr>
            <w:r>
              <w:t xml:space="preserve"> Female</w:t>
            </w:r>
          </w:p>
        </w:tc>
        <w:tc>
          <w:tcPr/>
          <w:p>
            <w:pPr>
              <w:pStyle w:val="Compact"/>
            </w:pPr>
            <w:r>
              <w:t xml:space="preserve">41.5% (41,942)</w:t>
            </w:r>
          </w:p>
        </w:tc>
        <w:tc>
          <w:tcPr/>
          <w:p>
            <w:pPr>
              <w:pStyle w:val="Compact"/>
            </w:pPr>
            <w:r>
              <w:t xml:space="preserve">41.7% (41,110)</w:t>
            </w:r>
          </w:p>
        </w:tc>
        <w:tc>
          <w:tcPr/>
          <w:p>
            <w:pPr>
              <w:pStyle w:val="Compact"/>
            </w:pPr>
            <w:r>
              <w:t xml:space="preserve">34.7% (832)</w:t>
            </w:r>
          </w:p>
        </w:tc>
        <w:tc>
          <w:tcPr/>
          <w:p>
            <w:pPr>
              <w:pStyle w:val="Compact"/>
            </w:pPr>
          </w:p>
        </w:tc>
      </w:tr>
      <w:tr>
        <w:tc>
          <w:tcPr/>
          <w:p>
            <w:pPr>
              <w:pStyle w:val="Compact"/>
            </w:pPr>
            <w:r>
              <w:t xml:space="preserve">Primary expected payer, % (unweighted n)</w:t>
            </w:r>
          </w:p>
        </w:tc>
        <w:tc>
          <w:tcPr/>
          <w:p>
            <w:pPr>
              <w:pStyle w:val="Compact"/>
            </w:pPr>
          </w:p>
        </w:tc>
        <w:tc>
          <w:tcPr/>
          <w:p>
            <w:pPr>
              <w:pStyle w:val="Compact"/>
            </w:pPr>
          </w:p>
        </w:tc>
        <w:tc>
          <w:tcPr/>
          <w:p>
            <w:pPr>
              <w:pStyle w:val="Compact"/>
            </w:pPr>
          </w:p>
        </w:tc>
        <w:tc>
          <w:tcPr/>
          <w:p>
            <w:pPr>
              <w:pStyle w:val="Compact"/>
            </w:pPr>
            <w:r>
              <w:t xml:space="preserve">suppressed</w:t>
            </w:r>
          </w:p>
        </w:tc>
      </w:tr>
      <w:tr>
        <w:tc>
          <w:tcPr/>
          <w:p>
            <w:pPr>
              <w:pStyle w:val="Compact"/>
            </w:pPr>
            <w:r>
              <w:t xml:space="preserve"> Medicare</w:t>
            </w:r>
          </w:p>
        </w:tc>
        <w:tc>
          <w:tcPr/>
          <w:p>
            <w:pPr>
              <w:pStyle w:val="Compact"/>
            </w:pPr>
            <w:r>
              <w:t xml:space="preserve">90.0% (91,495)</w:t>
            </w:r>
          </w:p>
        </w:tc>
        <w:tc>
          <w:tcPr/>
          <w:p>
            <w:pPr>
              <w:pStyle w:val="Compact"/>
            </w:pPr>
            <w:r>
              <w:t xml:space="preserve">90.0% (89,296)</w:t>
            </w:r>
          </w:p>
        </w:tc>
        <w:tc>
          <w:tcPr/>
          <w:p>
            <w:pPr>
              <w:pStyle w:val="Compact"/>
            </w:pPr>
            <w:r>
              <w:t xml:space="preserve">91.2% (2,199)</w:t>
            </w:r>
          </w:p>
        </w:tc>
        <w:tc>
          <w:tcPr/>
          <w:p>
            <w:pPr>
              <w:pStyle w:val="Compact"/>
            </w:pPr>
          </w:p>
        </w:tc>
      </w:tr>
      <w:tr>
        <w:tc>
          <w:tcPr/>
          <w:p>
            <w:pPr>
              <w:pStyle w:val="Compact"/>
            </w:pPr>
            <w:r>
              <w:t xml:space="preserve"> Private</w:t>
            </w:r>
          </w:p>
        </w:tc>
        <w:tc>
          <w:tcPr/>
          <w:p>
            <w:pPr>
              <w:pStyle w:val="Compact"/>
            </w:pPr>
            <w:r>
              <w:t xml:space="preserve">7.1% (7,251)</w:t>
            </w:r>
          </w:p>
        </w:tc>
        <w:tc>
          <w:tcPr/>
          <w:p>
            <w:pPr>
              <w:pStyle w:val="Compact"/>
            </w:pPr>
            <w:r>
              <w:t xml:space="preserve">7.1% (7,123)</w:t>
            </w:r>
          </w:p>
        </w:tc>
        <w:tc>
          <w:tcPr/>
          <w:p>
            <w:pPr>
              <w:pStyle w:val="Compact"/>
            </w:pPr>
            <w:r>
              <w:t xml:space="preserve">5.2% (128)</w:t>
            </w:r>
          </w:p>
        </w:tc>
        <w:tc>
          <w:tcPr/>
          <w:p>
            <w:pPr>
              <w:pStyle w:val="Compact"/>
            </w:pPr>
          </w:p>
        </w:tc>
      </w:tr>
      <w:tr>
        <w:tc>
          <w:tcPr/>
          <w:p>
            <w:pPr>
              <w:pStyle w:val="Compact"/>
            </w:pPr>
            <w:r>
              <w:t xml:space="preserve"> Medicaid</w:t>
            </w:r>
          </w:p>
        </w:tc>
        <w:tc>
          <w:tcPr/>
          <w:p>
            <w:pPr>
              <w:pStyle w:val="Compact"/>
            </w:pPr>
            <w:r>
              <w:t xml:space="preserve">&lt;11 (suppressed)</w:t>
            </w:r>
          </w:p>
        </w:tc>
        <w:tc>
          <w:tcPr/>
          <w:p>
            <w:pPr>
              <w:pStyle w:val="Compact"/>
            </w:pPr>
            <w:r>
              <w:t xml:space="preserve">1.1% (1,091)</w:t>
            </w:r>
          </w:p>
        </w:tc>
        <w:tc>
          <w:tcPr/>
          <w:p>
            <w:pPr>
              <w:pStyle w:val="Compact"/>
            </w:pPr>
            <w:r>
              <w:t xml:space="preserve">&lt;11 (suppressed)</w:t>
            </w:r>
          </w:p>
        </w:tc>
        <w:tc>
          <w:tcPr/>
          <w:p>
            <w:pPr>
              <w:pStyle w:val="Compact"/>
            </w:pPr>
          </w:p>
        </w:tc>
      </w:tr>
      <w:tr>
        <w:tc>
          <w:tcPr/>
          <w:p>
            <w:pPr>
              <w:pStyle w:val="Compact"/>
            </w:pPr>
            <w:r>
              <w:t xml:space="preserve"> Other/self-pay</w:t>
            </w:r>
          </w:p>
        </w:tc>
        <w:tc>
          <w:tcPr/>
          <w:p>
            <w:pPr>
              <w:pStyle w:val="Compact"/>
            </w:pPr>
            <w:r>
              <w:t xml:space="preserve">1.8% (1,815)</w:t>
            </w:r>
          </w:p>
        </w:tc>
        <w:tc>
          <w:tcPr/>
          <w:p>
            <w:pPr>
              <w:pStyle w:val="Compact"/>
            </w:pPr>
            <w:r>
              <w:t xml:space="preserve">1.8% (1,767)</w:t>
            </w:r>
          </w:p>
        </w:tc>
        <w:tc>
          <w:tcPr/>
          <w:p>
            <w:pPr>
              <w:pStyle w:val="Compact"/>
            </w:pPr>
            <w:r>
              <w:t xml:space="preserve">2.0% (48)</w:t>
            </w:r>
          </w:p>
        </w:tc>
        <w:tc>
          <w:tcPr/>
          <w:p>
            <w:pPr>
              <w:pStyle w:val="Compact"/>
            </w:pPr>
          </w:p>
        </w:tc>
      </w:tr>
      <w:tr>
        <w:tc>
          <w:tcPr/>
          <w:p>
            <w:pPr>
              <w:pStyle w:val="Compact"/>
            </w:pPr>
            <w:r>
              <w:t xml:space="preserve"> Missing/other</w:t>
            </w:r>
          </w:p>
        </w:tc>
        <w:tc>
          <w:tcPr/>
          <w:p>
            <w:pPr>
              <w:pStyle w:val="Compact"/>
            </w:pPr>
            <w:r>
              <w:t xml:space="preserve">&lt;11 (suppressed)</w:t>
            </w:r>
          </w:p>
        </w:tc>
        <w:tc>
          <w:tcPr/>
          <w:p>
            <w:pPr>
              <w:pStyle w:val="Compact"/>
            </w:pPr>
            <w:r>
              <w:t xml:space="preserve">0.1% (118)</w:t>
            </w:r>
          </w:p>
        </w:tc>
        <w:tc>
          <w:tcPr/>
          <w:p>
            <w:pPr>
              <w:pStyle w:val="Compact"/>
            </w:pPr>
            <w:r>
              <w:t xml:space="preserve">&lt;11 (suppressed)</w:t>
            </w:r>
          </w:p>
        </w:tc>
        <w:tc>
          <w:tcPr/>
          <w:p>
            <w:pPr>
              <w:pStyle w:val="Compact"/>
            </w:pPr>
          </w:p>
        </w:tc>
      </w:tr>
      <w:tr>
        <w:tc>
          <w:tcPr/>
          <w:p>
            <w:pPr>
              <w:pStyle w:val="Compact"/>
            </w:pPr>
            <w:r>
              <w:t xml:space="preserve">Median household income quartile (patient ZIP code), % (unweighted n)</w:t>
            </w:r>
          </w:p>
        </w:tc>
        <w:tc>
          <w:tcPr/>
          <w:p>
            <w:pPr>
              <w:pStyle w:val="Compact"/>
            </w:pPr>
          </w:p>
        </w:tc>
        <w:tc>
          <w:tcPr/>
          <w:p>
            <w:pPr>
              <w:pStyle w:val="Compact"/>
            </w:pPr>
          </w:p>
        </w:tc>
        <w:tc>
          <w:tcPr/>
          <w:p>
            <w:pPr>
              <w:pStyle w:val="Compact"/>
            </w:pPr>
          </w:p>
        </w:tc>
        <w:tc>
          <w:tcPr/>
          <w:p>
            <w:pPr>
              <w:pStyle w:val="Compact"/>
            </w:pPr>
            <w:r>
              <w:t xml:space="preserve">0.142</w:t>
            </w:r>
          </w:p>
        </w:tc>
      </w:tr>
      <w:tr>
        <w:tc>
          <w:tcPr/>
          <w:p>
            <w:pPr>
              <w:pStyle w:val="Compact"/>
            </w:pPr>
            <w:r>
              <w:t xml:space="preserve"> 0-25th percentile</w:t>
            </w:r>
          </w:p>
        </w:tc>
        <w:tc>
          <w:tcPr/>
          <w:p>
            <w:pPr>
              <w:pStyle w:val="Compact"/>
            </w:pPr>
            <w:r>
              <w:t xml:space="preserve">21.8% (21,139)</w:t>
            </w:r>
          </w:p>
        </w:tc>
        <w:tc>
          <w:tcPr/>
          <w:p>
            <w:pPr>
              <w:pStyle w:val="Compact"/>
            </w:pPr>
            <w:r>
              <w:t xml:space="preserve">21.7% (20,504)</w:t>
            </w:r>
          </w:p>
        </w:tc>
        <w:tc>
          <w:tcPr/>
          <w:p>
            <w:pPr>
              <w:pStyle w:val="Compact"/>
            </w:pPr>
            <w:r>
              <w:t xml:space="preserve">27.8% (635)</w:t>
            </w:r>
          </w:p>
        </w:tc>
        <w:tc>
          <w:tcPr/>
          <w:p>
            <w:pPr>
              <w:pStyle w:val="Compact"/>
            </w:pPr>
          </w:p>
        </w:tc>
      </w:tr>
      <w:tr>
        <w:tc>
          <w:tcPr/>
          <w:p>
            <w:pPr>
              <w:pStyle w:val="Compact"/>
            </w:pPr>
            <w:r>
              <w:t xml:space="preserve"> 26th to 50th percentile</w:t>
            </w:r>
          </w:p>
        </w:tc>
        <w:tc>
          <w:tcPr/>
          <w:p>
            <w:pPr>
              <w:pStyle w:val="Compact"/>
            </w:pPr>
            <w:r>
              <w:t xml:space="preserve">27.5% (26,797)</w:t>
            </w:r>
          </w:p>
        </w:tc>
        <w:tc>
          <w:tcPr/>
          <w:p>
            <w:pPr>
              <w:pStyle w:val="Compact"/>
            </w:pPr>
            <w:r>
              <w:t xml:space="preserve">27.5% (26,154)</w:t>
            </w:r>
          </w:p>
        </w:tc>
        <w:tc>
          <w:tcPr/>
          <w:p>
            <w:pPr>
              <w:pStyle w:val="Compact"/>
            </w:pPr>
            <w:r>
              <w:t xml:space="preserve">27.5% (643)</w:t>
            </w:r>
          </w:p>
        </w:tc>
        <w:tc>
          <w:tcPr/>
          <w:p>
            <w:pPr>
              <w:pStyle w:val="Compact"/>
            </w:pPr>
          </w:p>
        </w:tc>
      </w:tr>
      <w:tr>
        <w:tc>
          <w:tcPr/>
          <w:p>
            <w:pPr>
              <w:pStyle w:val="Compact"/>
            </w:pPr>
            <w:r>
              <w:t xml:space="preserve"> 51st to 75th percentile</w:t>
            </w:r>
          </w:p>
        </w:tc>
        <w:tc>
          <w:tcPr/>
          <w:p>
            <w:pPr>
              <w:pStyle w:val="Compact"/>
            </w:pPr>
            <w:r>
              <w:t xml:space="preserve">27.4% (27,970)</w:t>
            </w:r>
          </w:p>
        </w:tc>
        <w:tc>
          <w:tcPr/>
          <w:p>
            <w:pPr>
              <w:pStyle w:val="Compact"/>
            </w:pPr>
            <w:r>
              <w:t xml:space="preserve">27.4% (27,372)</w:t>
            </w:r>
          </w:p>
        </w:tc>
        <w:tc>
          <w:tcPr/>
          <w:p>
            <w:pPr>
              <w:pStyle w:val="Compact"/>
            </w:pPr>
            <w:r>
              <w:t xml:space="preserve">24.5% (598)</w:t>
            </w:r>
          </w:p>
        </w:tc>
        <w:tc>
          <w:tcPr/>
          <w:p>
            <w:pPr>
              <w:pStyle w:val="Compact"/>
            </w:pPr>
          </w:p>
        </w:tc>
      </w:tr>
      <w:tr>
        <w:tc>
          <w:tcPr/>
          <w:p>
            <w:pPr>
              <w:pStyle w:val="Compact"/>
            </w:pPr>
            <w:r>
              <w:t xml:space="preserve"> 76th to 100th percentile</w:t>
            </w:r>
          </w:p>
        </w:tc>
        <w:tc>
          <w:tcPr/>
          <w:p>
            <w:pPr>
              <w:pStyle w:val="Compact"/>
            </w:pPr>
            <w:r>
              <w:t xml:space="preserve">22.3% (24,722)</w:t>
            </w:r>
          </w:p>
        </w:tc>
        <w:tc>
          <w:tcPr/>
          <w:p>
            <w:pPr>
              <w:pStyle w:val="Compact"/>
            </w:pPr>
            <w:r>
              <w:t xml:space="preserve">22.4% (24,203)</w:t>
            </w:r>
          </w:p>
        </w:tc>
        <w:tc>
          <w:tcPr/>
          <w:p>
            <w:pPr>
              <w:pStyle w:val="Compact"/>
            </w:pPr>
            <w:r>
              <w:t xml:space="preserve">19.4% (519)</w:t>
            </w:r>
          </w:p>
        </w:tc>
        <w:tc>
          <w:tcPr/>
          <w:p>
            <w:pPr>
              <w:pStyle w:val="Compact"/>
            </w:pPr>
          </w:p>
        </w:tc>
      </w:tr>
      <w:tr>
        <w:tc>
          <w:tcPr/>
          <w:p>
            <w:pPr>
              <w:pStyle w:val="Compact"/>
            </w:pPr>
            <w:r>
              <w:t xml:space="preserve"> Missing/other</w:t>
            </w:r>
          </w:p>
        </w:tc>
        <w:tc>
          <w:tcPr/>
          <w:p>
            <w:pPr>
              <w:pStyle w:val="Compact"/>
            </w:pPr>
            <w:r>
              <w:t xml:space="preserve">1.0% (1,185)</w:t>
            </w:r>
          </w:p>
        </w:tc>
        <w:tc>
          <w:tcPr/>
          <w:p>
            <w:pPr>
              <w:pStyle w:val="Compact"/>
            </w:pPr>
            <w:r>
              <w:t xml:space="preserve">1.0% (1,162)</w:t>
            </w:r>
          </w:p>
        </w:tc>
        <w:tc>
          <w:tcPr/>
          <w:p>
            <w:pPr>
              <w:pStyle w:val="Compact"/>
            </w:pPr>
            <w:r>
              <w:t xml:space="preserve">0.9% (23)</w:t>
            </w:r>
          </w:p>
        </w:tc>
        <w:tc>
          <w:tcPr/>
          <w:p>
            <w:pPr>
              <w:pStyle w:val="Compact"/>
            </w:pPr>
          </w:p>
        </w:tc>
      </w:tr>
      <w:tr>
        <w:tc>
          <w:tcPr/>
          <w:p>
            <w:pPr>
              <w:pStyle w:val="Compact"/>
            </w:pPr>
            <w:r>
              <w:t xml:space="preserve">Patient residence (NCHS urban-rural classification), % (unweighted n)</w:t>
            </w:r>
          </w:p>
        </w:tc>
        <w:tc>
          <w:tcPr/>
          <w:p>
            <w:pPr>
              <w:pStyle w:val="Compact"/>
            </w:pPr>
          </w:p>
        </w:tc>
        <w:tc>
          <w:tcPr/>
          <w:p>
            <w:pPr>
              <w:pStyle w:val="Compact"/>
            </w:pPr>
          </w:p>
        </w:tc>
        <w:tc>
          <w:tcPr/>
          <w:p>
            <w:pPr>
              <w:pStyle w:val="Compact"/>
            </w:pPr>
          </w:p>
        </w:tc>
        <w:tc>
          <w:tcPr/>
          <w:p>
            <w:pPr>
              <w:pStyle w:val="Compact"/>
            </w:pPr>
            <w:r>
              <w:t xml:space="preserve">suppressed</w:t>
            </w:r>
          </w:p>
        </w:tc>
      </w:tr>
      <w:tr>
        <w:tc>
          <w:tcPr/>
          <w:p>
            <w:pPr>
              <w:pStyle w:val="Compact"/>
            </w:pPr>
            <w:r>
              <w:t xml:space="preserve"> Central metro ≥1 million</w:t>
            </w:r>
          </w:p>
        </w:tc>
        <w:tc>
          <w:tcPr/>
          <w:p>
            <w:pPr>
              <w:pStyle w:val="Compact"/>
            </w:pPr>
            <w:r>
              <w:t xml:space="preserve">18.3% (20,578)</w:t>
            </w:r>
          </w:p>
        </w:tc>
        <w:tc>
          <w:tcPr/>
          <w:p>
            <w:pPr>
              <w:pStyle w:val="Compact"/>
            </w:pPr>
            <w:r>
              <w:t xml:space="preserve">18.1% (19,904)</w:t>
            </w:r>
          </w:p>
        </w:tc>
        <w:tc>
          <w:tcPr/>
          <w:p>
            <w:pPr>
              <w:pStyle w:val="Compact"/>
            </w:pPr>
            <w:r>
              <w:t xml:space="preserve">26.4% (674)</w:t>
            </w:r>
          </w:p>
        </w:tc>
        <w:tc>
          <w:tcPr/>
          <w:p>
            <w:pPr>
              <w:pStyle w:val="Compact"/>
            </w:pPr>
          </w:p>
        </w:tc>
      </w:tr>
      <w:tr>
        <w:tc>
          <w:tcPr/>
          <w:p>
            <w:pPr>
              <w:pStyle w:val="Compact"/>
            </w:pPr>
            <w:r>
              <w:t xml:space="preserve"> Fringe metro ≥1 million</w:t>
            </w:r>
          </w:p>
        </w:tc>
        <w:tc>
          <w:tcPr/>
          <w:p>
            <w:pPr>
              <w:pStyle w:val="Compact"/>
            </w:pPr>
            <w:r>
              <w:t xml:space="preserve">26.3% (25,492)</w:t>
            </w:r>
          </w:p>
        </w:tc>
        <w:tc>
          <w:tcPr/>
          <w:p>
            <w:pPr>
              <w:pStyle w:val="Compact"/>
            </w:pPr>
            <w:r>
              <w:t xml:space="preserve">26.3% (24,872)</w:t>
            </w:r>
          </w:p>
        </w:tc>
        <w:tc>
          <w:tcPr/>
          <w:p>
            <w:pPr>
              <w:pStyle w:val="Compact"/>
            </w:pPr>
            <w:r>
              <w:t xml:space="preserve">26.6% (620)</w:t>
            </w:r>
          </w:p>
        </w:tc>
        <w:tc>
          <w:tcPr/>
          <w:p>
            <w:pPr>
              <w:pStyle w:val="Compact"/>
            </w:pPr>
          </w:p>
        </w:tc>
      </w:tr>
      <w:tr>
        <w:tc>
          <w:tcPr/>
          <w:p>
            <w:pPr>
              <w:pStyle w:val="Compact"/>
            </w:pPr>
            <w:r>
              <w:t xml:space="preserve"> Metro 250,000-999,999</w:t>
            </w:r>
          </w:p>
        </w:tc>
        <w:tc>
          <w:tcPr/>
          <w:p>
            <w:pPr>
              <w:pStyle w:val="Compact"/>
            </w:pPr>
            <w:r>
              <w:t xml:space="preserve">27.4% (29,262)</w:t>
            </w:r>
          </w:p>
        </w:tc>
        <w:tc>
          <w:tcPr/>
          <w:p>
            <w:pPr>
              <w:pStyle w:val="Compact"/>
            </w:pPr>
            <w:r>
              <w:t xml:space="preserve">27.5% (28,660)</w:t>
            </w:r>
          </w:p>
        </w:tc>
        <w:tc>
          <w:tcPr/>
          <w:p>
            <w:pPr>
              <w:pStyle w:val="Compact"/>
            </w:pPr>
            <w:r>
              <w:t xml:space="preserve">23.4% (602)</w:t>
            </w:r>
          </w:p>
        </w:tc>
        <w:tc>
          <w:tcPr/>
          <w:p>
            <w:pPr>
              <w:pStyle w:val="Compact"/>
            </w:pPr>
          </w:p>
        </w:tc>
      </w:tr>
      <w:tr>
        <w:tc>
          <w:tcPr/>
          <w:p>
            <w:pPr>
              <w:pStyle w:val="Compact"/>
            </w:pPr>
            <w:r>
              <w:t xml:space="preserve"> Metro 50,000-249,999</w:t>
            </w:r>
          </w:p>
        </w:tc>
        <w:tc>
          <w:tcPr/>
          <w:p>
            <w:pPr>
              <w:pStyle w:val="Compact"/>
            </w:pPr>
            <w:r>
              <w:t xml:space="preserve">11.1% (11,137)</w:t>
            </w:r>
          </w:p>
        </w:tc>
        <w:tc>
          <w:tcPr/>
          <w:p>
            <w:pPr>
              <w:pStyle w:val="Compact"/>
            </w:pPr>
            <w:r>
              <w:t xml:space="preserve">11.2% (10,910)</w:t>
            </w:r>
          </w:p>
        </w:tc>
        <w:tc>
          <w:tcPr/>
          <w:p>
            <w:pPr>
              <w:pStyle w:val="Compact"/>
            </w:pPr>
            <w:r>
              <w:t xml:space="preserve">9.6% (227)</w:t>
            </w:r>
          </w:p>
        </w:tc>
        <w:tc>
          <w:tcPr/>
          <w:p>
            <w:pPr>
              <w:pStyle w:val="Compact"/>
            </w:pPr>
          </w:p>
        </w:tc>
      </w:tr>
      <w:tr>
        <w:tc>
          <w:tcPr/>
          <w:p>
            <w:pPr>
              <w:pStyle w:val="Compact"/>
            </w:pPr>
            <w:r>
              <w:t xml:space="preserve"> Micropolitan</w:t>
            </w:r>
          </w:p>
        </w:tc>
        <w:tc>
          <w:tcPr/>
          <w:p>
            <w:pPr>
              <w:pStyle w:val="Compact"/>
            </w:pPr>
            <w:r>
              <w:t xml:space="preserve">9.0% (8,396)</w:t>
            </w:r>
          </w:p>
        </w:tc>
        <w:tc>
          <w:tcPr/>
          <w:p>
            <w:pPr>
              <w:pStyle w:val="Compact"/>
            </w:pPr>
            <w:r>
              <w:t xml:space="preserve">9.0% (8,241)</w:t>
            </w:r>
          </w:p>
        </w:tc>
        <w:tc>
          <w:tcPr/>
          <w:p>
            <w:pPr>
              <w:pStyle w:val="Compact"/>
            </w:pPr>
            <w:r>
              <w:t xml:space="preserve">7.0% (155)</w:t>
            </w:r>
          </w:p>
        </w:tc>
        <w:tc>
          <w:tcPr/>
          <w:p>
            <w:pPr>
              <w:pStyle w:val="Compact"/>
            </w:pPr>
          </w:p>
        </w:tc>
      </w:tr>
      <w:tr>
        <w:tc>
          <w:tcPr/>
          <w:p>
            <w:pPr>
              <w:pStyle w:val="Compact"/>
            </w:pPr>
            <w:r>
              <w:t xml:space="preserve"> Other</w:t>
            </w:r>
          </w:p>
        </w:tc>
        <w:tc>
          <w:tcPr/>
          <w:p>
            <w:pPr>
              <w:pStyle w:val="Compact"/>
            </w:pPr>
            <w:r>
              <w:t xml:space="preserve">&lt;11 (suppressed)</w:t>
            </w:r>
          </w:p>
        </w:tc>
        <w:tc>
          <w:tcPr/>
          <w:p>
            <w:pPr>
              <w:pStyle w:val="Compact"/>
            </w:pPr>
            <w:r>
              <w:t xml:space="preserve">7.8% (6,743)</w:t>
            </w:r>
          </w:p>
        </w:tc>
        <w:tc>
          <w:tcPr/>
          <w:p>
            <w:pPr>
              <w:pStyle w:val="Compact"/>
            </w:pPr>
            <w:r>
              <w:t xml:space="preserve">&lt;11 (suppressed)</w:t>
            </w:r>
          </w:p>
        </w:tc>
        <w:tc>
          <w:tcPr/>
          <w:p>
            <w:pPr>
              <w:pStyle w:val="Compact"/>
            </w:pPr>
          </w:p>
        </w:tc>
      </w:tr>
      <w:tr>
        <w:tc>
          <w:tcPr/>
          <w:p>
            <w:pPr>
              <w:pStyle w:val="Compact"/>
            </w:pPr>
            <w:r>
              <w:t xml:space="preserve"> Missing/other</w:t>
            </w:r>
          </w:p>
        </w:tc>
        <w:tc>
          <w:tcPr/>
          <w:p>
            <w:pPr>
              <w:pStyle w:val="Compact"/>
            </w:pPr>
            <w:r>
              <w:t xml:space="preserve">&lt;11 (suppressed)</w:t>
            </w:r>
          </w:p>
        </w:tc>
        <w:tc>
          <w:tcPr/>
          <w:p>
            <w:pPr>
              <w:pStyle w:val="Compact"/>
            </w:pPr>
            <w:r>
              <w:t xml:space="preserve">0.1% (65)</w:t>
            </w:r>
          </w:p>
        </w:tc>
        <w:tc>
          <w:tcPr/>
          <w:p>
            <w:pPr>
              <w:pStyle w:val="Compact"/>
            </w:pPr>
            <w:r>
              <w:t xml:space="preserve">&lt;11 (suppressed)</w:t>
            </w:r>
          </w:p>
        </w:tc>
        <w:tc>
          <w:tcPr/>
          <w:p>
            <w:pPr>
              <w:pStyle w:val="Compact"/>
            </w:pPr>
          </w:p>
        </w:tc>
      </w:tr>
      <w:tr>
        <w:tc>
          <w:tcPr/>
          <w:p>
            <w:pPr>
              <w:pStyle w:val="Compact"/>
            </w:pPr>
            <w:r>
              <w:t xml:space="preserve">Admission day, % (unweighted n)</w:t>
            </w:r>
          </w:p>
        </w:tc>
        <w:tc>
          <w:tcPr/>
          <w:p>
            <w:pPr>
              <w:pStyle w:val="Compact"/>
            </w:pPr>
          </w:p>
        </w:tc>
        <w:tc>
          <w:tcPr/>
          <w:p>
            <w:pPr>
              <w:pStyle w:val="Compact"/>
            </w:pPr>
          </w:p>
        </w:tc>
        <w:tc>
          <w:tcPr/>
          <w:p>
            <w:pPr>
              <w:pStyle w:val="Compact"/>
            </w:pPr>
          </w:p>
        </w:tc>
        <w:tc>
          <w:tcPr/>
          <w:p>
            <w:pPr>
              <w:pStyle w:val="Compact"/>
            </w:pPr>
            <w:r>
              <w:t xml:space="preserve">0.080</w:t>
            </w:r>
          </w:p>
        </w:tc>
      </w:tr>
      <w:tr>
        <w:tc>
          <w:tcPr/>
          <w:p>
            <w:pPr>
              <w:pStyle w:val="Compact"/>
            </w:pPr>
            <w:r>
              <w:t xml:space="preserve"> Weekday (Mon-Fri)</w:t>
            </w:r>
          </w:p>
        </w:tc>
        <w:tc>
          <w:tcPr/>
          <w:p>
            <w:pPr>
              <w:pStyle w:val="Compact"/>
            </w:pPr>
            <w:r>
              <w:t xml:space="preserve">99.5% (101,255)</w:t>
            </w:r>
          </w:p>
        </w:tc>
        <w:tc>
          <w:tcPr/>
          <w:p>
            <w:pPr>
              <w:pStyle w:val="Compact"/>
            </w:pPr>
            <w:r>
              <w:t xml:space="preserve">99.5% (98,871)</w:t>
            </w:r>
          </w:p>
        </w:tc>
        <w:tc>
          <w:tcPr/>
          <w:p>
            <w:pPr>
              <w:pStyle w:val="Compact"/>
            </w:pPr>
            <w:r>
              <w:t xml:space="preserve">98.7% (2,384)</w:t>
            </w:r>
          </w:p>
        </w:tc>
        <w:tc>
          <w:tcPr/>
          <w:p>
            <w:pPr>
              <w:pStyle w:val="Compact"/>
            </w:pPr>
          </w:p>
        </w:tc>
      </w:tr>
      <w:tr>
        <w:tc>
          <w:tcPr/>
          <w:p>
            <w:pPr>
              <w:pStyle w:val="Compact"/>
            </w:pPr>
            <w:r>
              <w:t xml:space="preserve"> Weekend (Sat-Sun)</w:t>
            </w:r>
          </w:p>
        </w:tc>
        <w:tc>
          <w:tcPr/>
          <w:p>
            <w:pPr>
              <w:pStyle w:val="Compact"/>
            </w:pPr>
            <w:r>
              <w:t xml:space="preserve">0.5% (558)</w:t>
            </w:r>
          </w:p>
        </w:tc>
        <w:tc>
          <w:tcPr/>
          <w:p>
            <w:pPr>
              <w:pStyle w:val="Compact"/>
            </w:pPr>
            <w:r>
              <w:t xml:space="preserve">0.5% (524)</w:t>
            </w:r>
          </w:p>
        </w:tc>
        <w:tc>
          <w:tcPr/>
          <w:p>
            <w:pPr>
              <w:pStyle w:val="Compact"/>
            </w:pPr>
            <w:r>
              <w:t xml:space="preserve">1.3% (34)</w:t>
            </w:r>
          </w:p>
        </w:tc>
        <w:tc>
          <w:tcPr/>
          <w:p>
            <w:pPr>
              <w:pStyle w:val="Compact"/>
            </w:pPr>
          </w:p>
        </w:tc>
      </w:tr>
      <w:tr>
        <w:tc>
          <w:tcPr/>
          <w:p>
            <w:pPr>
              <w:pStyle w:val="Compact"/>
            </w:pPr>
            <w:r>
              <w:t xml:space="preserve">Admission type, % (unweighted n)</w:t>
            </w:r>
          </w:p>
        </w:tc>
        <w:tc>
          <w:tcPr/>
          <w:p>
            <w:pPr>
              <w:pStyle w:val="Compact"/>
            </w:pPr>
          </w:p>
        </w:tc>
        <w:tc>
          <w:tcPr/>
          <w:p>
            <w:pPr>
              <w:pStyle w:val="Compact"/>
            </w:pPr>
          </w:p>
        </w:tc>
        <w:tc>
          <w:tcPr/>
          <w:p>
            <w:pPr>
              <w:pStyle w:val="Compact"/>
            </w:pPr>
          </w:p>
        </w:tc>
        <w:tc>
          <w:tcPr/>
          <w:p>
            <w:pPr>
              <w:pStyle w:val="Compact"/>
            </w:pPr>
            <w:r>
              <w:t xml:space="preserve">0.106</w:t>
            </w:r>
          </w:p>
        </w:tc>
      </w:tr>
      <w:tr>
        <w:tc>
          <w:tcPr/>
          <w:p>
            <w:pPr>
              <w:pStyle w:val="Compact"/>
            </w:pPr>
            <w:r>
              <w:t xml:space="preserve"> Elective</w:t>
            </w:r>
          </w:p>
        </w:tc>
        <w:tc>
          <w:tcPr/>
          <w:p>
            <w:pPr>
              <w:pStyle w:val="Compact"/>
            </w:pPr>
            <w:r>
              <w:t xml:space="preserve">93.9% (95,225)</w:t>
            </w:r>
          </w:p>
        </w:tc>
        <w:tc>
          <w:tcPr/>
          <w:p>
            <w:pPr>
              <w:pStyle w:val="Compact"/>
            </w:pPr>
            <w:r>
              <w:t xml:space="preserve">94.0% (93,022)</w:t>
            </w:r>
          </w:p>
        </w:tc>
        <w:tc>
          <w:tcPr/>
          <w:p>
            <w:pPr>
              <w:pStyle w:val="Compact"/>
            </w:pPr>
            <w:r>
              <w:t xml:space="preserve">91.3% (2,203)</w:t>
            </w:r>
          </w:p>
        </w:tc>
        <w:tc>
          <w:tcPr/>
          <w:p>
            <w:pPr>
              <w:pStyle w:val="Compact"/>
            </w:pPr>
          </w:p>
        </w:tc>
      </w:tr>
      <w:tr>
        <w:tc>
          <w:tcPr/>
          <w:p>
            <w:pPr>
              <w:pStyle w:val="Compact"/>
            </w:pPr>
            <w:r>
              <w:t xml:space="preserve"> Non-elective</w:t>
            </w:r>
          </w:p>
        </w:tc>
        <w:tc>
          <w:tcPr/>
          <w:p>
            <w:pPr>
              <w:pStyle w:val="Compact"/>
            </w:pPr>
            <w:r>
              <w:t xml:space="preserve">6.1% (6,588)</w:t>
            </w:r>
          </w:p>
        </w:tc>
        <w:tc>
          <w:tcPr/>
          <w:p>
            <w:pPr>
              <w:pStyle w:val="Compact"/>
            </w:pPr>
            <w:r>
              <w:t xml:space="preserve">6.0% (6,373)</w:t>
            </w:r>
          </w:p>
        </w:tc>
        <w:tc>
          <w:tcPr/>
          <w:p>
            <w:pPr>
              <w:pStyle w:val="Compact"/>
            </w:pPr>
            <w:r>
              <w:t xml:space="preserve">8.7% (215)</w:t>
            </w:r>
          </w:p>
        </w:tc>
        <w:tc>
          <w:tcPr/>
          <w:p>
            <w:pPr>
              <w:pStyle w:val="Compact"/>
            </w:pPr>
          </w:p>
        </w:tc>
      </w:tr>
      <w:tr>
        <w:tc>
          <w:tcPr/>
          <w:p>
            <w:pPr>
              <w:pStyle w:val="Compact"/>
            </w:pPr>
            <w:r>
              <w:t xml:space="preserve">Discharge year, % (unweighted n)</w:t>
            </w:r>
          </w:p>
        </w:tc>
        <w:tc>
          <w:tcPr/>
          <w:p>
            <w:pPr>
              <w:pStyle w:val="Compact"/>
            </w:pPr>
          </w:p>
        </w:tc>
        <w:tc>
          <w:tcPr/>
          <w:p>
            <w:pPr>
              <w:pStyle w:val="Compact"/>
            </w:pPr>
          </w:p>
        </w:tc>
        <w:tc>
          <w:tcPr/>
          <w:p>
            <w:pPr>
              <w:pStyle w:val="Compact"/>
            </w:pPr>
          </w:p>
        </w:tc>
        <w:tc>
          <w:tcPr/>
          <w:p>
            <w:pPr>
              <w:pStyle w:val="Compact"/>
            </w:pPr>
            <w:r>
              <w:t xml:space="preserve">0.114</w:t>
            </w:r>
          </w:p>
        </w:tc>
      </w:tr>
      <w:tr>
        <w:tc>
          <w:tcPr/>
          <w:p>
            <w:pPr>
              <w:pStyle w:val="Compact"/>
            </w:pPr>
            <w:r>
              <w:t xml:space="preserve"> 2016</w:t>
            </w:r>
          </w:p>
        </w:tc>
        <w:tc>
          <w:tcPr/>
          <w:p>
            <w:pPr>
              <w:pStyle w:val="Compact"/>
            </w:pPr>
            <w:r>
              <w:t xml:space="preserve">2.5% (2,705)</w:t>
            </w:r>
          </w:p>
        </w:tc>
        <w:tc>
          <w:tcPr/>
          <w:p>
            <w:pPr>
              <w:pStyle w:val="Compact"/>
            </w:pPr>
            <w:r>
              <w:t xml:space="preserve">2.5% (2,653)</w:t>
            </w:r>
          </w:p>
        </w:tc>
        <w:tc>
          <w:tcPr/>
          <w:p>
            <w:pPr>
              <w:pStyle w:val="Compact"/>
            </w:pPr>
            <w:r>
              <w:t xml:space="preserve">1.9% (52)</w:t>
            </w:r>
          </w:p>
        </w:tc>
        <w:tc>
          <w:tcPr/>
          <w:p>
            <w:pPr>
              <w:pStyle w:val="Compact"/>
            </w:pPr>
          </w:p>
        </w:tc>
      </w:tr>
      <w:tr>
        <w:tc>
          <w:tcPr/>
          <w:p>
            <w:pPr>
              <w:pStyle w:val="Compact"/>
            </w:pPr>
            <w:r>
              <w:t xml:space="preserve"> 2017</w:t>
            </w:r>
          </w:p>
        </w:tc>
        <w:tc>
          <w:tcPr/>
          <w:p>
            <w:pPr>
              <w:pStyle w:val="Compact"/>
            </w:pPr>
            <w:r>
              <w:t xml:space="preserve">5.0% (5,334)</w:t>
            </w:r>
          </w:p>
        </w:tc>
        <w:tc>
          <w:tcPr/>
          <w:p>
            <w:pPr>
              <w:pStyle w:val="Compact"/>
            </w:pPr>
            <w:r>
              <w:t xml:space="preserve">5.0% (5,194)</w:t>
            </w:r>
          </w:p>
        </w:tc>
        <w:tc>
          <w:tcPr/>
          <w:p>
            <w:pPr>
              <w:pStyle w:val="Compact"/>
            </w:pPr>
            <w:r>
              <w:t xml:space="preserve">5.3% (140)</w:t>
            </w:r>
          </w:p>
        </w:tc>
        <w:tc>
          <w:tcPr/>
          <w:p>
            <w:pPr>
              <w:pStyle w:val="Compact"/>
            </w:pPr>
          </w:p>
        </w:tc>
      </w:tr>
      <w:tr>
        <w:tc>
          <w:tcPr/>
          <w:p>
            <w:pPr>
              <w:pStyle w:val="Compact"/>
            </w:pPr>
            <w:r>
              <w:t xml:space="preserve"> 2018</w:t>
            </w:r>
          </w:p>
        </w:tc>
        <w:tc>
          <w:tcPr/>
          <w:p>
            <w:pPr>
              <w:pStyle w:val="Compact"/>
            </w:pPr>
            <w:r>
              <w:t xml:space="preserve">8.3% (8,733)</w:t>
            </w:r>
          </w:p>
        </w:tc>
        <w:tc>
          <w:tcPr/>
          <w:p>
            <w:pPr>
              <w:pStyle w:val="Compact"/>
            </w:pPr>
            <w:r>
              <w:t xml:space="preserve">8.3% (8,490)</w:t>
            </w:r>
          </w:p>
        </w:tc>
        <w:tc>
          <w:tcPr/>
          <w:p>
            <w:pPr>
              <w:pStyle w:val="Compact"/>
            </w:pPr>
            <w:r>
              <w:t xml:space="preserve">9.8% (243)</w:t>
            </w:r>
          </w:p>
        </w:tc>
        <w:tc>
          <w:tcPr/>
          <w:p>
            <w:pPr>
              <w:pStyle w:val="Compact"/>
            </w:pPr>
          </w:p>
        </w:tc>
      </w:tr>
      <w:tr>
        <w:tc>
          <w:tcPr/>
          <w:p>
            <w:pPr>
              <w:pStyle w:val="Compact"/>
            </w:pPr>
            <w:r>
              <w:t xml:space="preserve"> 2019</w:t>
            </w:r>
          </w:p>
        </w:tc>
        <w:tc>
          <w:tcPr/>
          <w:p>
            <w:pPr>
              <w:pStyle w:val="Compact"/>
            </w:pPr>
            <w:r>
              <w:t xml:space="preserve">13.6% (14,111)</w:t>
            </w:r>
          </w:p>
        </w:tc>
        <w:tc>
          <w:tcPr/>
          <w:p>
            <w:pPr>
              <w:pStyle w:val="Compact"/>
            </w:pPr>
            <w:r>
              <w:t xml:space="preserve">13.5% (13,731)</w:t>
            </w:r>
          </w:p>
        </w:tc>
        <w:tc>
          <w:tcPr/>
          <w:p>
            <w:pPr>
              <w:pStyle w:val="Compact"/>
            </w:pPr>
            <w:r>
              <w:t xml:space="preserve">15.7% (380)</w:t>
            </w:r>
          </w:p>
        </w:tc>
        <w:tc>
          <w:tcPr/>
          <w:p>
            <w:pPr>
              <w:pStyle w:val="Compact"/>
            </w:pPr>
          </w:p>
        </w:tc>
      </w:tr>
      <w:tr>
        <w:tc>
          <w:tcPr/>
          <w:p>
            <w:pPr>
              <w:pStyle w:val="Compact"/>
            </w:pPr>
            <w:r>
              <w:t xml:space="preserve"> 2020</w:t>
            </w:r>
          </w:p>
        </w:tc>
        <w:tc>
          <w:tcPr/>
          <w:p>
            <w:pPr>
              <w:pStyle w:val="Compact"/>
            </w:pPr>
            <w:r>
              <w:t xml:space="preserve">14.1% (14,580)</w:t>
            </w:r>
          </w:p>
        </w:tc>
        <w:tc>
          <w:tcPr/>
          <w:p>
            <w:pPr>
              <w:pStyle w:val="Compact"/>
            </w:pPr>
            <w:r>
              <w:t xml:space="preserve">14.0% (14,163)</w:t>
            </w:r>
          </w:p>
        </w:tc>
        <w:tc>
          <w:tcPr/>
          <w:p>
            <w:pPr>
              <w:pStyle w:val="Compact"/>
            </w:pPr>
            <w:r>
              <w:t xml:space="preserve">16.9% (417)</w:t>
            </w:r>
          </w:p>
        </w:tc>
        <w:tc>
          <w:tcPr/>
          <w:p>
            <w:pPr>
              <w:pStyle w:val="Compact"/>
            </w:pPr>
          </w:p>
        </w:tc>
      </w:tr>
      <w:tr>
        <w:tc>
          <w:tcPr/>
          <w:p>
            <w:pPr>
              <w:pStyle w:val="Compact"/>
            </w:pPr>
            <w:r>
              <w:t xml:space="preserve"> 2021</w:t>
            </w:r>
          </w:p>
        </w:tc>
        <w:tc>
          <w:tcPr/>
          <w:p>
            <w:pPr>
              <w:pStyle w:val="Compact"/>
            </w:pPr>
            <w:r>
              <w:t xml:space="preserve">23.9% (23,943)</w:t>
            </w:r>
          </w:p>
        </w:tc>
        <w:tc>
          <w:tcPr/>
          <w:p>
            <w:pPr>
              <w:pStyle w:val="Compact"/>
            </w:pPr>
            <w:r>
              <w:t xml:space="preserve">23.9% (23,401)</w:t>
            </w:r>
          </w:p>
        </w:tc>
        <w:tc>
          <w:tcPr/>
          <w:p>
            <w:pPr>
              <w:pStyle w:val="Compact"/>
            </w:pPr>
            <w:r>
              <w:t xml:space="preserve">22.9% (542)</w:t>
            </w:r>
          </w:p>
        </w:tc>
        <w:tc>
          <w:tcPr/>
          <w:p>
            <w:pPr>
              <w:pStyle w:val="Compact"/>
            </w:pPr>
          </w:p>
        </w:tc>
      </w:tr>
      <w:tr>
        <w:tc>
          <w:tcPr/>
          <w:p>
            <w:pPr>
              <w:pStyle w:val="Compact"/>
            </w:pPr>
            <w:r>
              <w:t xml:space="preserve"> 2022</w:t>
            </w:r>
          </w:p>
        </w:tc>
        <w:tc>
          <w:tcPr/>
          <w:p>
            <w:pPr>
              <w:pStyle w:val="Compact"/>
            </w:pPr>
            <w:r>
              <w:t xml:space="preserve">32.6% (32,407)</w:t>
            </w:r>
          </w:p>
        </w:tc>
        <w:tc>
          <w:tcPr/>
          <w:p>
            <w:pPr>
              <w:pStyle w:val="Compact"/>
            </w:pPr>
            <w:r>
              <w:t xml:space="preserve">32.8% (31,763)</w:t>
            </w:r>
          </w:p>
        </w:tc>
        <w:tc>
          <w:tcPr/>
          <w:p>
            <w:pPr>
              <w:pStyle w:val="Compact"/>
            </w:pPr>
            <w:r>
              <w:t xml:space="preserve">27.5% (644)</w:t>
            </w:r>
          </w:p>
        </w:tc>
        <w:tc>
          <w:tcPr/>
          <w:p>
            <w:pPr>
              <w:pStyle w:val="Compact"/>
            </w:pPr>
          </w:p>
        </w:tc>
      </w:tr>
      <w:tr>
        <w:tc>
          <w:tcPr/>
          <w:p>
            <w:pPr>
              <w:pStyle w:val="Compact"/>
            </w:pPr>
            <w:r>
              <w:t xml:space="preserve">Hospital bed size, % (unweighted n)</w:t>
            </w:r>
          </w:p>
        </w:tc>
        <w:tc>
          <w:tcPr/>
          <w:p>
            <w:pPr>
              <w:pStyle w:val="Compact"/>
            </w:pPr>
          </w:p>
        </w:tc>
        <w:tc>
          <w:tcPr/>
          <w:p>
            <w:pPr>
              <w:pStyle w:val="Compact"/>
            </w:pPr>
          </w:p>
        </w:tc>
        <w:tc>
          <w:tcPr/>
          <w:p>
            <w:pPr>
              <w:pStyle w:val="Compact"/>
            </w:pPr>
          </w:p>
        </w:tc>
        <w:tc>
          <w:tcPr/>
          <w:p>
            <w:pPr>
              <w:pStyle w:val="Compact"/>
            </w:pPr>
            <w:r>
              <w:t xml:space="preserve">0.041</w:t>
            </w:r>
          </w:p>
        </w:tc>
      </w:tr>
      <w:tr>
        <w:tc>
          <w:tcPr/>
          <w:p>
            <w:pPr>
              <w:pStyle w:val="Compact"/>
            </w:pPr>
            <w:r>
              <w:t xml:space="preserve"> Large</w:t>
            </w:r>
          </w:p>
        </w:tc>
        <w:tc>
          <w:tcPr/>
          <w:p>
            <w:pPr>
              <w:pStyle w:val="Compact"/>
            </w:pPr>
            <w:r>
              <w:t xml:space="preserve">69.8% (70,469)</w:t>
            </w:r>
          </w:p>
        </w:tc>
        <w:tc>
          <w:tcPr/>
          <w:p>
            <w:pPr>
              <w:pStyle w:val="Compact"/>
            </w:pPr>
            <w:r>
              <w:t xml:space="preserve">69.8% (68,731)</w:t>
            </w:r>
          </w:p>
        </w:tc>
        <w:tc>
          <w:tcPr/>
          <w:p>
            <w:pPr>
              <w:pStyle w:val="Compact"/>
            </w:pPr>
            <w:r>
              <w:t xml:space="preserve">71.7% (1,738)</w:t>
            </w:r>
          </w:p>
        </w:tc>
        <w:tc>
          <w:tcPr/>
          <w:p>
            <w:pPr>
              <w:pStyle w:val="Compact"/>
            </w:pPr>
          </w:p>
        </w:tc>
      </w:tr>
      <w:tr>
        <w:tc>
          <w:tcPr/>
          <w:p>
            <w:pPr>
              <w:pStyle w:val="Compact"/>
            </w:pPr>
            <w:r>
              <w:t xml:space="preserve"> Medium</w:t>
            </w:r>
          </w:p>
        </w:tc>
        <w:tc>
          <w:tcPr/>
          <w:p>
            <w:pPr>
              <w:pStyle w:val="Compact"/>
            </w:pPr>
            <w:r>
              <w:t xml:space="preserve">23.1% (24,753)</w:t>
            </w:r>
          </w:p>
        </w:tc>
        <w:tc>
          <w:tcPr/>
          <w:p>
            <w:pPr>
              <w:pStyle w:val="Compact"/>
            </w:pPr>
            <w:r>
              <w:t xml:space="preserve">23.1% (24,211)</w:t>
            </w:r>
          </w:p>
        </w:tc>
        <w:tc>
          <w:tcPr/>
          <w:p>
            <w:pPr>
              <w:pStyle w:val="Compact"/>
            </w:pPr>
            <w:r>
              <w:t xml:space="preserve">21.7% (542)</w:t>
            </w:r>
          </w:p>
        </w:tc>
        <w:tc>
          <w:tcPr/>
          <w:p>
            <w:pPr>
              <w:pStyle w:val="Compact"/>
            </w:pPr>
          </w:p>
        </w:tc>
      </w:tr>
      <w:tr>
        <w:tc>
          <w:tcPr/>
          <w:p>
            <w:pPr>
              <w:pStyle w:val="Compact"/>
            </w:pPr>
            <w:r>
              <w:t xml:space="preserve"> Small</w:t>
            </w:r>
          </w:p>
        </w:tc>
        <w:tc>
          <w:tcPr/>
          <w:p>
            <w:pPr>
              <w:pStyle w:val="Compact"/>
            </w:pPr>
            <w:r>
              <w:t xml:space="preserve">7.1% (6,591)</w:t>
            </w:r>
          </w:p>
        </w:tc>
        <w:tc>
          <w:tcPr/>
          <w:p>
            <w:pPr>
              <w:pStyle w:val="Compact"/>
            </w:pPr>
            <w:r>
              <w:t xml:space="preserve">7.1% (6,453)</w:t>
            </w:r>
          </w:p>
        </w:tc>
        <w:tc>
          <w:tcPr/>
          <w:p>
            <w:pPr>
              <w:pStyle w:val="Compact"/>
            </w:pPr>
            <w:r>
              <w:t xml:space="preserve">6.6% (138)</w:t>
            </w:r>
          </w:p>
        </w:tc>
        <w:tc>
          <w:tcPr/>
          <w:p>
            <w:pPr>
              <w:pStyle w:val="Compact"/>
            </w:pPr>
          </w:p>
        </w:tc>
      </w:tr>
      <w:tr>
        <w:tc>
          <w:tcPr/>
          <w:p>
            <w:pPr>
              <w:pStyle w:val="Compact"/>
            </w:pPr>
            <w:r>
              <w:t xml:space="preserve">Hospital location and teaching status, % (unweighted n)</w:t>
            </w:r>
          </w:p>
        </w:tc>
        <w:tc>
          <w:tcPr/>
          <w:p>
            <w:pPr>
              <w:pStyle w:val="Compact"/>
            </w:pPr>
          </w:p>
        </w:tc>
        <w:tc>
          <w:tcPr/>
          <w:p>
            <w:pPr>
              <w:pStyle w:val="Compact"/>
            </w:pPr>
          </w:p>
        </w:tc>
        <w:tc>
          <w:tcPr/>
          <w:p>
            <w:pPr>
              <w:pStyle w:val="Compact"/>
            </w:pPr>
          </w:p>
        </w:tc>
        <w:tc>
          <w:tcPr/>
          <w:p>
            <w:pPr>
              <w:pStyle w:val="Compact"/>
            </w:pPr>
            <w:r>
              <w:t xml:space="preserve">0.059</w:t>
            </w:r>
          </w:p>
        </w:tc>
      </w:tr>
      <w:tr>
        <w:tc>
          <w:tcPr/>
          <w:p>
            <w:pPr>
              <w:pStyle w:val="Compact"/>
            </w:pPr>
            <w:r>
              <w:t xml:space="preserve"> Metropolitan, teaching</w:t>
            </w:r>
          </w:p>
        </w:tc>
        <w:tc>
          <w:tcPr/>
          <w:p>
            <w:pPr>
              <w:pStyle w:val="Compact"/>
            </w:pPr>
            <w:r>
              <w:t xml:space="preserve">86.7% (87,973)</w:t>
            </w:r>
          </w:p>
        </w:tc>
        <w:tc>
          <w:tcPr/>
          <w:p>
            <w:pPr>
              <w:pStyle w:val="Compact"/>
            </w:pPr>
            <w:r>
              <w:t xml:space="preserve">86.7% (85,844)</w:t>
            </w:r>
          </w:p>
        </w:tc>
        <w:tc>
          <w:tcPr/>
          <w:p>
            <w:pPr>
              <w:pStyle w:val="Compact"/>
            </w:pPr>
            <w:r>
              <w:t xml:space="preserve">88.3% (2,129)</w:t>
            </w:r>
          </w:p>
        </w:tc>
        <w:tc>
          <w:tcPr/>
          <w:p>
            <w:pPr>
              <w:pStyle w:val="Compact"/>
            </w:pPr>
          </w:p>
        </w:tc>
      </w:tr>
      <w:tr>
        <w:tc>
          <w:tcPr/>
          <w:p>
            <w:pPr>
              <w:pStyle w:val="Compact"/>
            </w:pPr>
            <w:r>
              <w:t xml:space="preserve"> Metropolitan, non-teaching</w:t>
            </w:r>
          </w:p>
        </w:tc>
        <w:tc>
          <w:tcPr/>
          <w:p>
            <w:pPr>
              <w:pStyle w:val="Compact"/>
            </w:pPr>
            <w:r>
              <w:t xml:space="preserve">11.4% (12,280)</w:t>
            </w:r>
          </w:p>
        </w:tc>
        <w:tc>
          <w:tcPr/>
          <w:p>
            <w:pPr>
              <w:pStyle w:val="Compact"/>
            </w:pPr>
            <w:r>
              <w:t xml:space="preserve">11.4% (12,028)</w:t>
            </w:r>
          </w:p>
        </w:tc>
        <w:tc>
          <w:tcPr/>
          <w:p>
            <w:pPr>
              <w:pStyle w:val="Compact"/>
            </w:pPr>
            <w:r>
              <w:t xml:space="preserve">9.6% (252)</w:t>
            </w:r>
          </w:p>
        </w:tc>
        <w:tc>
          <w:tcPr/>
          <w:p>
            <w:pPr>
              <w:pStyle w:val="Compact"/>
            </w:pPr>
          </w:p>
        </w:tc>
      </w:tr>
      <w:tr>
        <w:tc>
          <w:tcPr/>
          <w:p>
            <w:pPr>
              <w:pStyle w:val="Compact"/>
            </w:pPr>
            <w:r>
              <w:t xml:space="preserve"> Non-metropolitan</w:t>
            </w:r>
          </w:p>
        </w:tc>
        <w:tc>
          <w:tcPr/>
          <w:p>
            <w:pPr>
              <w:pStyle w:val="Compact"/>
            </w:pPr>
            <w:r>
              <w:t xml:space="preserve">1.9% (1,560)</w:t>
            </w:r>
          </w:p>
        </w:tc>
        <w:tc>
          <w:tcPr/>
          <w:p>
            <w:pPr>
              <w:pStyle w:val="Compact"/>
            </w:pPr>
            <w:r>
              <w:t xml:space="preserve">1.9% (1,523)</w:t>
            </w:r>
          </w:p>
        </w:tc>
        <w:tc>
          <w:tcPr/>
          <w:p>
            <w:pPr>
              <w:pStyle w:val="Compact"/>
            </w:pPr>
            <w:r>
              <w:t xml:space="preserve">2.1% (37)</w:t>
            </w:r>
          </w:p>
        </w:tc>
        <w:tc>
          <w:tcPr/>
          <w:p>
            <w:pPr>
              <w:pStyle w:val="Compact"/>
            </w:pPr>
          </w:p>
        </w:tc>
      </w:tr>
      <w:tr>
        <w:tc>
          <w:tcPr/>
          <w:p>
            <w:pPr>
              <w:pStyle w:val="Compact"/>
            </w:pPr>
            <w:r>
              <w:t xml:space="preserve">Hospital ownership, % (unweighted n)</w:t>
            </w:r>
          </w:p>
        </w:tc>
        <w:tc>
          <w:tcPr/>
          <w:p>
            <w:pPr>
              <w:pStyle w:val="Compact"/>
            </w:pPr>
          </w:p>
        </w:tc>
        <w:tc>
          <w:tcPr/>
          <w:p>
            <w:pPr>
              <w:pStyle w:val="Compact"/>
            </w:pPr>
          </w:p>
        </w:tc>
        <w:tc>
          <w:tcPr/>
          <w:p>
            <w:pPr>
              <w:pStyle w:val="Compact"/>
            </w:pPr>
          </w:p>
        </w:tc>
        <w:tc>
          <w:tcPr/>
          <w:p>
            <w:pPr>
              <w:pStyle w:val="Compact"/>
            </w:pPr>
            <w:r>
              <w:t xml:space="preserve">0.027</w:t>
            </w:r>
          </w:p>
        </w:tc>
      </w:tr>
      <w:tr>
        <w:tc>
          <w:tcPr/>
          <w:p>
            <w:pPr>
              <w:pStyle w:val="Compact"/>
            </w:pPr>
            <w:r>
              <w:t xml:space="preserve"> Private, not-profit</w:t>
            </w:r>
          </w:p>
        </w:tc>
        <w:tc>
          <w:tcPr/>
          <w:p>
            <w:pPr>
              <w:pStyle w:val="Compact"/>
            </w:pPr>
            <w:r>
              <w:t xml:space="preserve">79.6% (80,610)</w:t>
            </w:r>
          </w:p>
        </w:tc>
        <w:tc>
          <w:tcPr/>
          <w:p>
            <w:pPr>
              <w:pStyle w:val="Compact"/>
            </w:pPr>
            <w:r>
              <w:t xml:space="preserve">79.6% (78,677)</w:t>
            </w:r>
          </w:p>
        </w:tc>
        <w:tc>
          <w:tcPr/>
          <w:p>
            <w:pPr>
              <w:pStyle w:val="Compact"/>
            </w:pPr>
            <w:r>
              <w:t xml:space="preserve">80.0% (1,933)</w:t>
            </w:r>
          </w:p>
        </w:tc>
        <w:tc>
          <w:tcPr/>
          <w:p>
            <w:pPr>
              <w:pStyle w:val="Compact"/>
            </w:pPr>
          </w:p>
        </w:tc>
      </w:tr>
      <w:tr>
        <w:tc>
          <w:tcPr/>
          <w:p>
            <w:pPr>
              <w:pStyle w:val="Compact"/>
            </w:pPr>
            <w:r>
              <w:t xml:space="preserve"> Government, nonfederal</w:t>
            </w:r>
          </w:p>
        </w:tc>
        <w:tc>
          <w:tcPr/>
          <w:p>
            <w:pPr>
              <w:pStyle w:val="Compact"/>
            </w:pPr>
            <w:r>
              <w:t xml:space="preserve">6.7% (7,451)</w:t>
            </w:r>
          </w:p>
        </w:tc>
        <w:tc>
          <w:tcPr/>
          <w:p>
            <w:pPr>
              <w:pStyle w:val="Compact"/>
            </w:pPr>
            <w:r>
              <w:t xml:space="preserve">6.7% (7,259)</w:t>
            </w:r>
          </w:p>
        </w:tc>
        <w:tc>
          <w:tcPr/>
          <w:p>
            <w:pPr>
              <w:pStyle w:val="Compact"/>
            </w:pPr>
            <w:r>
              <w:t xml:space="preserve">7.3% (192)</w:t>
            </w:r>
          </w:p>
        </w:tc>
        <w:tc>
          <w:tcPr/>
          <w:p>
            <w:pPr>
              <w:pStyle w:val="Compact"/>
            </w:pPr>
          </w:p>
        </w:tc>
      </w:tr>
      <w:tr>
        <w:tc>
          <w:tcPr/>
          <w:p>
            <w:pPr>
              <w:pStyle w:val="Compact"/>
            </w:pPr>
            <w:r>
              <w:t xml:space="preserve"> Private, invest-own</w:t>
            </w:r>
          </w:p>
        </w:tc>
        <w:tc>
          <w:tcPr/>
          <w:p>
            <w:pPr>
              <w:pStyle w:val="Compact"/>
            </w:pPr>
            <w:r>
              <w:t xml:space="preserve">13.6% (13,752)</w:t>
            </w:r>
          </w:p>
        </w:tc>
        <w:tc>
          <w:tcPr/>
          <w:p>
            <w:pPr>
              <w:pStyle w:val="Compact"/>
            </w:pPr>
            <w:r>
              <w:t xml:space="preserve">13.7% (13,459)</w:t>
            </w:r>
          </w:p>
        </w:tc>
        <w:tc>
          <w:tcPr/>
          <w:p>
            <w:pPr>
              <w:pStyle w:val="Compact"/>
            </w:pPr>
            <w:r>
              <w:t xml:space="preserve">12.7% (293)</w:t>
            </w:r>
          </w:p>
        </w:tc>
        <w:tc>
          <w:tcPr/>
          <w:p>
            <w:pPr>
              <w:pStyle w:val="Compact"/>
            </w:pPr>
          </w:p>
        </w:tc>
      </w:tr>
      <w:tr>
        <w:tc>
          <w:tcPr/>
          <w:p>
            <w:pPr>
              <w:pStyle w:val="Compact"/>
            </w:pPr>
            <w:r>
              <w:t xml:space="preserve">Hospital LAAO volume tertile (within year), % (unweighted n)</w:t>
            </w:r>
          </w:p>
        </w:tc>
        <w:tc>
          <w:tcPr/>
          <w:p>
            <w:pPr>
              <w:pStyle w:val="Compact"/>
            </w:pPr>
          </w:p>
        </w:tc>
        <w:tc>
          <w:tcPr/>
          <w:p>
            <w:pPr>
              <w:pStyle w:val="Compact"/>
            </w:pPr>
          </w:p>
        </w:tc>
        <w:tc>
          <w:tcPr/>
          <w:p>
            <w:pPr>
              <w:pStyle w:val="Compact"/>
            </w:pPr>
          </w:p>
        </w:tc>
        <w:tc>
          <w:tcPr/>
          <w:p>
            <w:pPr>
              <w:pStyle w:val="Compact"/>
            </w:pPr>
            <w:r>
              <w:t xml:space="preserve">0.084</w:t>
            </w:r>
          </w:p>
        </w:tc>
      </w:tr>
      <w:tr>
        <w:tc>
          <w:tcPr/>
          <w:p>
            <w:pPr>
              <w:pStyle w:val="Compact"/>
            </w:pPr>
            <w:r>
              <w:t xml:space="preserve"> High</w:t>
            </w:r>
          </w:p>
        </w:tc>
        <w:tc>
          <w:tcPr/>
          <w:p>
            <w:pPr>
              <w:pStyle w:val="Compact"/>
            </w:pPr>
            <w:r>
              <w:t xml:space="preserve">32.4% (34,492)</w:t>
            </w:r>
          </w:p>
        </w:tc>
        <w:tc>
          <w:tcPr/>
          <w:p>
            <w:pPr>
              <w:pStyle w:val="Compact"/>
            </w:pPr>
            <w:r>
              <w:t xml:space="preserve">32.5% (33,750)</w:t>
            </w:r>
          </w:p>
        </w:tc>
        <w:tc>
          <w:tcPr/>
          <w:p>
            <w:pPr>
              <w:pStyle w:val="Compact"/>
            </w:pPr>
            <w:r>
              <w:t xml:space="preserve">29.0% (742)</w:t>
            </w:r>
          </w:p>
        </w:tc>
        <w:tc>
          <w:tcPr/>
          <w:p>
            <w:pPr>
              <w:pStyle w:val="Compact"/>
            </w:pPr>
          </w:p>
        </w:tc>
      </w:tr>
      <w:tr>
        <w:tc>
          <w:tcPr/>
          <w:p>
            <w:pPr>
              <w:pStyle w:val="Compact"/>
            </w:pPr>
            <w:r>
              <w:t xml:space="preserve"> Middle</w:t>
            </w:r>
          </w:p>
        </w:tc>
        <w:tc>
          <w:tcPr/>
          <w:p>
            <w:pPr>
              <w:pStyle w:val="Compact"/>
            </w:pPr>
            <w:r>
              <w:t xml:space="preserve">34.4% (33,826)</w:t>
            </w:r>
          </w:p>
        </w:tc>
        <w:tc>
          <w:tcPr/>
          <w:p>
            <w:pPr>
              <w:pStyle w:val="Compact"/>
            </w:pPr>
            <w:r>
              <w:t xml:space="preserve">34.4% (33,051)</w:t>
            </w:r>
          </w:p>
        </w:tc>
        <w:tc>
          <w:tcPr/>
          <w:p>
            <w:pPr>
              <w:pStyle w:val="Compact"/>
            </w:pPr>
            <w:r>
              <w:t xml:space="preserve">33.9% (775)</w:t>
            </w:r>
          </w:p>
        </w:tc>
        <w:tc>
          <w:tcPr/>
          <w:p>
            <w:pPr>
              <w:pStyle w:val="Compact"/>
            </w:pPr>
          </w:p>
        </w:tc>
      </w:tr>
      <w:tr>
        <w:tc>
          <w:tcPr/>
          <w:p>
            <w:pPr>
              <w:pStyle w:val="Compact"/>
            </w:pPr>
            <w:r>
              <w:t xml:space="preserve"> Low</w:t>
            </w:r>
          </w:p>
        </w:tc>
        <w:tc>
          <w:tcPr/>
          <w:p>
            <w:pPr>
              <w:pStyle w:val="Compact"/>
            </w:pPr>
            <w:r>
              <w:t xml:space="preserve">33.2% (33,495)</w:t>
            </w:r>
          </w:p>
        </w:tc>
        <w:tc>
          <w:tcPr/>
          <w:p>
            <w:pPr>
              <w:pStyle w:val="Compact"/>
            </w:pPr>
            <w:r>
              <w:t xml:space="preserve">33.1% (32,594)</w:t>
            </w:r>
          </w:p>
        </w:tc>
        <w:tc>
          <w:tcPr/>
          <w:p>
            <w:pPr>
              <w:pStyle w:val="Compact"/>
            </w:pPr>
            <w:r>
              <w:t xml:space="preserve">37.1% (901)</w:t>
            </w:r>
          </w:p>
        </w:tc>
        <w:tc>
          <w:tcPr/>
          <w:p>
            <w:pPr>
              <w:pStyle w:val="Compact"/>
            </w:pPr>
          </w:p>
        </w:tc>
      </w:tr>
      <w:tr>
        <w:tc>
          <w:tcPr/>
          <w:p>
            <w:pPr>
              <w:pStyle w:val="Compact"/>
            </w:pPr>
            <w:r>
              <w:t xml:space="preserve">Atrial fibrillation or flutter, % (unweighted n)</w:t>
            </w:r>
          </w:p>
        </w:tc>
        <w:tc>
          <w:tcPr/>
          <w:p>
            <w:pPr>
              <w:pStyle w:val="Compact"/>
            </w:pPr>
          </w:p>
        </w:tc>
        <w:tc>
          <w:tcPr/>
          <w:p>
            <w:pPr>
              <w:pStyle w:val="Compact"/>
            </w:pPr>
          </w:p>
        </w:tc>
        <w:tc>
          <w:tcPr/>
          <w:p>
            <w:pPr>
              <w:pStyle w:val="Compact"/>
            </w:pPr>
          </w:p>
        </w:tc>
        <w:tc>
          <w:tcPr/>
          <w:p>
            <w:pPr>
              <w:pStyle w:val="Compact"/>
            </w:pPr>
            <w:r>
              <w:t xml:space="preserve">suppressed</w:t>
            </w:r>
          </w:p>
        </w:tc>
      </w:tr>
      <w:tr>
        <w:tc>
          <w:tcPr/>
          <w:p>
            <w:pPr>
              <w:pStyle w:val="Compact"/>
            </w:pPr>
            <w:r>
              <w:t xml:space="preserve"> No</w:t>
            </w:r>
          </w:p>
        </w:tc>
        <w:tc>
          <w:tcPr/>
          <w:p>
            <w:pPr>
              <w:pStyle w:val="Compact"/>
            </w:pPr>
            <w:r>
              <w:t xml:space="preserve">&lt;11 (suppressed)</w:t>
            </w:r>
          </w:p>
        </w:tc>
        <w:tc>
          <w:tcPr/>
          <w:p>
            <w:pPr>
              <w:pStyle w:val="Compact"/>
            </w:pPr>
            <w:r>
              <w:t xml:space="preserve">0.1% (75)</w:t>
            </w:r>
          </w:p>
        </w:tc>
        <w:tc>
          <w:tcPr/>
          <w:p>
            <w:pPr>
              <w:pStyle w:val="Compact"/>
            </w:pPr>
            <w:r>
              <w:t xml:space="preserve">&lt;11 (suppressed)</w:t>
            </w:r>
          </w:p>
        </w:tc>
        <w:tc>
          <w:tcPr/>
          <w:p>
            <w:pPr>
              <w:pStyle w:val="Compact"/>
            </w:pPr>
          </w:p>
        </w:tc>
      </w:tr>
      <w:tr>
        <w:tc>
          <w:tcPr/>
          <w:p>
            <w:pPr>
              <w:pStyle w:val="Compact"/>
            </w:pPr>
            <w:r>
              <w:t xml:space="preserve"> Yes</w:t>
            </w:r>
          </w:p>
        </w:tc>
        <w:tc>
          <w:tcPr/>
          <w:p>
            <w:pPr>
              <w:pStyle w:val="Compact"/>
            </w:pPr>
            <w:r>
              <w:t xml:space="preserve">&lt;11 (suppressed)</w:t>
            </w:r>
          </w:p>
        </w:tc>
        <w:tc>
          <w:tcPr/>
          <w:p>
            <w:pPr>
              <w:pStyle w:val="Compact"/>
            </w:pPr>
            <w:r>
              <w:t xml:space="preserve">99.9% (99,320)</w:t>
            </w:r>
          </w:p>
        </w:tc>
        <w:tc>
          <w:tcPr/>
          <w:p>
            <w:pPr>
              <w:pStyle w:val="Compact"/>
            </w:pPr>
            <w:r>
              <w:t xml:space="preserve">&lt;11 (suppressed)</w:t>
            </w:r>
          </w:p>
        </w:tc>
        <w:tc>
          <w:tcPr/>
          <w:p>
            <w:pPr>
              <w:pStyle w:val="Compact"/>
            </w:pPr>
          </w:p>
        </w:tc>
      </w:tr>
      <w:tr>
        <w:tc>
          <w:tcPr/>
          <w:p>
            <w:pPr>
              <w:pStyle w:val="Compact"/>
            </w:pPr>
            <w:r>
              <w:t xml:space="preserve">Congestive heart failure, % (unweighted n)</w:t>
            </w:r>
          </w:p>
        </w:tc>
        <w:tc>
          <w:tcPr/>
          <w:p>
            <w:pPr>
              <w:pStyle w:val="Compact"/>
            </w:pPr>
          </w:p>
        </w:tc>
        <w:tc>
          <w:tcPr/>
          <w:p>
            <w:pPr>
              <w:pStyle w:val="Compact"/>
            </w:pPr>
          </w:p>
        </w:tc>
        <w:tc>
          <w:tcPr/>
          <w:p>
            <w:pPr>
              <w:pStyle w:val="Compact"/>
            </w:pPr>
          </w:p>
        </w:tc>
        <w:tc>
          <w:tcPr/>
          <w:p>
            <w:pPr>
              <w:pStyle w:val="Compact"/>
            </w:pPr>
            <w:r>
              <w:t xml:space="preserve">0.468</w:t>
            </w:r>
          </w:p>
        </w:tc>
      </w:tr>
      <w:tr>
        <w:tc>
          <w:tcPr/>
          <w:p>
            <w:pPr>
              <w:pStyle w:val="Compact"/>
            </w:pPr>
            <w:r>
              <w:t xml:space="preserve"> No</w:t>
            </w:r>
          </w:p>
        </w:tc>
        <w:tc>
          <w:tcPr/>
          <w:p>
            <w:pPr>
              <w:pStyle w:val="Compact"/>
            </w:pPr>
            <w:r>
              <w:t xml:space="preserve">61.3% (62,789)</w:t>
            </w:r>
          </w:p>
        </w:tc>
        <w:tc>
          <w:tcPr/>
          <w:p>
            <w:pPr>
              <w:pStyle w:val="Compact"/>
            </w:pPr>
            <w:r>
              <w:t xml:space="preserve">61.8% (61,844)</w:t>
            </w:r>
          </w:p>
        </w:tc>
        <w:tc>
          <w:tcPr/>
          <w:p>
            <w:pPr>
              <w:pStyle w:val="Compact"/>
            </w:pPr>
            <w:r>
              <w:t xml:space="preserve">39.1% (945)</w:t>
            </w:r>
          </w:p>
        </w:tc>
        <w:tc>
          <w:tcPr/>
          <w:p>
            <w:pPr>
              <w:pStyle w:val="Compact"/>
            </w:pPr>
          </w:p>
        </w:tc>
      </w:tr>
      <w:tr>
        <w:tc>
          <w:tcPr/>
          <w:p>
            <w:pPr>
              <w:pStyle w:val="Compact"/>
            </w:pPr>
            <w:r>
              <w:t xml:space="preserve"> Yes</w:t>
            </w:r>
          </w:p>
        </w:tc>
        <w:tc>
          <w:tcPr/>
          <w:p>
            <w:pPr>
              <w:pStyle w:val="Compact"/>
            </w:pPr>
            <w:r>
              <w:t xml:space="preserve">38.7% (39,024)</w:t>
            </w:r>
          </w:p>
        </w:tc>
        <w:tc>
          <w:tcPr/>
          <w:p>
            <w:pPr>
              <w:pStyle w:val="Compact"/>
            </w:pPr>
            <w:r>
              <w:t xml:space="preserve">38.2% (37,551)</w:t>
            </w:r>
          </w:p>
        </w:tc>
        <w:tc>
          <w:tcPr/>
          <w:p>
            <w:pPr>
              <w:pStyle w:val="Compact"/>
            </w:pPr>
            <w:r>
              <w:t xml:space="preserve">60.9% (1,473)</w:t>
            </w:r>
          </w:p>
        </w:tc>
        <w:tc>
          <w:tcPr/>
          <w:p>
            <w:pPr>
              <w:pStyle w:val="Compact"/>
            </w:pPr>
          </w:p>
        </w:tc>
      </w:tr>
      <w:tr>
        <w:tc>
          <w:tcPr/>
          <w:p>
            <w:pPr>
              <w:pStyle w:val="Compact"/>
            </w:pPr>
            <w:r>
              <w:t xml:space="preserve">Hypertension, % (unweighted n)</w:t>
            </w:r>
          </w:p>
        </w:tc>
        <w:tc>
          <w:tcPr/>
          <w:p>
            <w:pPr>
              <w:pStyle w:val="Compact"/>
            </w:pPr>
          </w:p>
        </w:tc>
        <w:tc>
          <w:tcPr/>
          <w:p>
            <w:pPr>
              <w:pStyle w:val="Compact"/>
            </w:pPr>
          </w:p>
        </w:tc>
        <w:tc>
          <w:tcPr/>
          <w:p>
            <w:pPr>
              <w:pStyle w:val="Compact"/>
            </w:pPr>
          </w:p>
        </w:tc>
        <w:tc>
          <w:tcPr/>
          <w:p>
            <w:pPr>
              <w:pStyle w:val="Compact"/>
            </w:pPr>
            <w:r>
              <w:t xml:space="preserve">0.331</w:t>
            </w:r>
          </w:p>
        </w:tc>
      </w:tr>
      <w:tr>
        <w:tc>
          <w:tcPr/>
          <w:p>
            <w:pPr>
              <w:pStyle w:val="Compact"/>
            </w:pPr>
            <w:r>
              <w:t xml:space="preserve"> No</w:t>
            </w:r>
          </w:p>
        </w:tc>
        <w:tc>
          <w:tcPr/>
          <w:p>
            <w:pPr>
              <w:pStyle w:val="Compact"/>
            </w:pPr>
            <w:r>
              <w:t xml:space="preserve">13.0% (13,509)</w:t>
            </w:r>
          </w:p>
        </w:tc>
        <w:tc>
          <w:tcPr/>
          <w:p>
            <w:pPr>
              <w:pStyle w:val="Compact"/>
            </w:pPr>
            <w:r>
              <w:t xml:space="preserve">13.2% (13,408)</w:t>
            </w:r>
          </w:p>
        </w:tc>
        <w:tc>
          <w:tcPr/>
          <w:p>
            <w:pPr>
              <w:pStyle w:val="Compact"/>
            </w:pPr>
            <w:r>
              <w:t xml:space="preserve">4.1% (101)</w:t>
            </w:r>
          </w:p>
        </w:tc>
        <w:tc>
          <w:tcPr/>
          <w:p>
            <w:pPr>
              <w:pStyle w:val="Compact"/>
            </w:pPr>
          </w:p>
        </w:tc>
      </w:tr>
      <w:tr>
        <w:tc>
          <w:tcPr/>
          <w:p>
            <w:pPr>
              <w:pStyle w:val="Compact"/>
            </w:pPr>
            <w:r>
              <w:t xml:space="preserve"> Yes</w:t>
            </w:r>
          </w:p>
        </w:tc>
        <w:tc>
          <w:tcPr/>
          <w:p>
            <w:pPr>
              <w:pStyle w:val="Compact"/>
            </w:pPr>
            <w:r>
              <w:t xml:space="preserve">87.0% (88,304)</w:t>
            </w:r>
          </w:p>
        </w:tc>
        <w:tc>
          <w:tcPr/>
          <w:p>
            <w:pPr>
              <w:pStyle w:val="Compact"/>
            </w:pPr>
            <w:r>
              <w:t xml:space="preserve">86.8% (85,987)</w:t>
            </w:r>
          </w:p>
        </w:tc>
        <w:tc>
          <w:tcPr/>
          <w:p>
            <w:pPr>
              <w:pStyle w:val="Compact"/>
            </w:pPr>
            <w:r>
              <w:t xml:space="preserve">95.9% (2,317)</w:t>
            </w:r>
          </w:p>
        </w:tc>
        <w:tc>
          <w:tcPr/>
          <w:p>
            <w:pPr>
              <w:pStyle w:val="Compact"/>
            </w:pPr>
          </w:p>
        </w:tc>
      </w:tr>
      <w:tr>
        <w:tc>
          <w:tcPr/>
          <w:p>
            <w:pPr>
              <w:pStyle w:val="Compact"/>
            </w:pPr>
            <w:r>
              <w:t xml:space="preserve">Diabetes mellitus, % (unweighted n)</w:t>
            </w:r>
          </w:p>
        </w:tc>
        <w:tc>
          <w:tcPr/>
          <w:p>
            <w:pPr>
              <w:pStyle w:val="Compact"/>
            </w:pPr>
          </w:p>
        </w:tc>
        <w:tc>
          <w:tcPr/>
          <w:p>
            <w:pPr>
              <w:pStyle w:val="Compact"/>
            </w:pPr>
          </w:p>
        </w:tc>
        <w:tc>
          <w:tcPr/>
          <w:p>
            <w:pPr>
              <w:pStyle w:val="Compact"/>
            </w:pPr>
          </w:p>
        </w:tc>
        <w:tc>
          <w:tcPr/>
          <w:p>
            <w:pPr>
              <w:pStyle w:val="Compact"/>
            </w:pPr>
            <w:r>
              <w:t xml:space="preserve">0.636</w:t>
            </w:r>
          </w:p>
        </w:tc>
      </w:tr>
      <w:tr>
        <w:tc>
          <w:tcPr/>
          <w:p>
            <w:pPr>
              <w:pStyle w:val="Compact"/>
            </w:pPr>
            <w:r>
              <w:t xml:space="preserve"> No</w:t>
            </w:r>
          </w:p>
        </w:tc>
        <w:tc>
          <w:tcPr/>
          <w:p>
            <w:pPr>
              <w:pStyle w:val="Compact"/>
            </w:pPr>
            <w:r>
              <w:t xml:space="preserve">65.9% (67,524)</w:t>
            </w:r>
          </w:p>
        </w:tc>
        <w:tc>
          <w:tcPr/>
          <w:p>
            <w:pPr>
              <w:pStyle w:val="Compact"/>
            </w:pPr>
            <w:r>
              <w:t xml:space="preserve">66.6% (66,635)</w:t>
            </w:r>
          </w:p>
        </w:tc>
        <w:tc>
          <w:tcPr/>
          <w:p>
            <w:pPr>
              <w:pStyle w:val="Compact"/>
            </w:pPr>
            <w:r>
              <w:t xml:space="preserve">36.3% (889)</w:t>
            </w:r>
          </w:p>
        </w:tc>
        <w:tc>
          <w:tcPr/>
          <w:p>
            <w:pPr>
              <w:pStyle w:val="Compact"/>
            </w:pPr>
          </w:p>
        </w:tc>
      </w:tr>
      <w:tr>
        <w:tc>
          <w:tcPr/>
          <w:p>
            <w:pPr>
              <w:pStyle w:val="Compact"/>
            </w:pPr>
            <w:r>
              <w:t xml:space="preserve"> Yes</w:t>
            </w:r>
          </w:p>
        </w:tc>
        <w:tc>
          <w:tcPr/>
          <w:p>
            <w:pPr>
              <w:pStyle w:val="Compact"/>
            </w:pPr>
            <w:r>
              <w:t xml:space="preserve">34.1% (34,289)</w:t>
            </w:r>
          </w:p>
        </w:tc>
        <w:tc>
          <w:tcPr/>
          <w:p>
            <w:pPr>
              <w:pStyle w:val="Compact"/>
            </w:pPr>
            <w:r>
              <w:t xml:space="preserve">33.4% (32,760)</w:t>
            </w:r>
          </w:p>
        </w:tc>
        <w:tc>
          <w:tcPr/>
          <w:p>
            <w:pPr>
              <w:pStyle w:val="Compact"/>
            </w:pPr>
            <w:r>
              <w:t xml:space="preserve">63.7% (1,529)</w:t>
            </w:r>
          </w:p>
        </w:tc>
        <w:tc>
          <w:tcPr/>
          <w:p>
            <w:pPr>
              <w:pStyle w:val="Compact"/>
            </w:pPr>
          </w:p>
        </w:tc>
      </w:tr>
      <w:tr>
        <w:tc>
          <w:tcPr/>
          <w:p>
            <w:pPr>
              <w:pStyle w:val="Compact"/>
            </w:pPr>
            <w:r>
              <w:t xml:space="preserve">Prior stroke, TIA or thromboembolism, % (unweighted n)</w:t>
            </w:r>
          </w:p>
        </w:tc>
        <w:tc>
          <w:tcPr/>
          <w:p>
            <w:pPr>
              <w:pStyle w:val="Compact"/>
            </w:pPr>
          </w:p>
        </w:tc>
        <w:tc>
          <w:tcPr/>
          <w:p>
            <w:pPr>
              <w:pStyle w:val="Compact"/>
            </w:pPr>
          </w:p>
        </w:tc>
        <w:tc>
          <w:tcPr/>
          <w:p>
            <w:pPr>
              <w:pStyle w:val="Compact"/>
            </w:pPr>
          </w:p>
        </w:tc>
        <w:tc>
          <w:tcPr/>
          <w:p>
            <w:pPr>
              <w:pStyle w:val="Compact"/>
            </w:pPr>
            <w:r>
              <w:t xml:space="preserve">0.063</w:t>
            </w:r>
          </w:p>
        </w:tc>
      </w:tr>
      <w:tr>
        <w:tc>
          <w:tcPr/>
          <w:p>
            <w:pPr>
              <w:pStyle w:val="Compact"/>
            </w:pPr>
            <w:r>
              <w:t xml:space="preserve"> No</w:t>
            </w:r>
          </w:p>
        </w:tc>
        <w:tc>
          <w:tcPr/>
          <w:p>
            <w:pPr>
              <w:pStyle w:val="Compact"/>
            </w:pPr>
            <w:r>
              <w:t xml:space="preserve">78.2% (79,466)</w:t>
            </w:r>
          </w:p>
        </w:tc>
        <w:tc>
          <w:tcPr/>
          <w:p>
            <w:pPr>
              <w:pStyle w:val="Compact"/>
            </w:pPr>
            <w:r>
              <w:t xml:space="preserve">78.1% (77,524)</w:t>
            </w:r>
          </w:p>
        </w:tc>
        <w:tc>
          <w:tcPr/>
          <w:p>
            <w:pPr>
              <w:pStyle w:val="Compact"/>
            </w:pPr>
            <w:r>
              <w:t xml:space="preserve">80.6% (1,942)</w:t>
            </w:r>
          </w:p>
        </w:tc>
        <w:tc>
          <w:tcPr/>
          <w:p>
            <w:pPr>
              <w:pStyle w:val="Compact"/>
            </w:pPr>
          </w:p>
        </w:tc>
      </w:tr>
      <w:tr>
        <w:tc>
          <w:tcPr/>
          <w:p>
            <w:pPr>
              <w:pStyle w:val="Compact"/>
            </w:pPr>
            <w:r>
              <w:t xml:space="preserve"> Yes</w:t>
            </w:r>
          </w:p>
        </w:tc>
        <w:tc>
          <w:tcPr/>
          <w:p>
            <w:pPr>
              <w:pStyle w:val="Compact"/>
            </w:pPr>
            <w:r>
              <w:t xml:space="preserve">21.8% (22,347)</w:t>
            </w:r>
          </w:p>
        </w:tc>
        <w:tc>
          <w:tcPr/>
          <w:p>
            <w:pPr>
              <w:pStyle w:val="Compact"/>
            </w:pPr>
            <w:r>
              <w:t xml:space="preserve">21.9% (21,871)</w:t>
            </w:r>
          </w:p>
        </w:tc>
        <w:tc>
          <w:tcPr/>
          <w:p>
            <w:pPr>
              <w:pStyle w:val="Compact"/>
            </w:pPr>
            <w:r>
              <w:t xml:space="preserve">19.4% (476)</w:t>
            </w:r>
          </w:p>
        </w:tc>
        <w:tc>
          <w:tcPr/>
          <w:p>
            <w:pPr>
              <w:pStyle w:val="Compact"/>
            </w:pPr>
          </w:p>
        </w:tc>
      </w:tr>
      <w:tr>
        <w:tc>
          <w:tcPr/>
          <w:p>
            <w:pPr>
              <w:pStyle w:val="Compact"/>
            </w:pPr>
            <w:r>
              <w:t xml:space="preserve">Vascular disease (peripheral arterial, aortic or prior myocardial infarction), % (unweighted n)</w:t>
            </w:r>
          </w:p>
        </w:tc>
        <w:tc>
          <w:tcPr/>
          <w:p>
            <w:pPr>
              <w:pStyle w:val="Compact"/>
            </w:pPr>
          </w:p>
        </w:tc>
        <w:tc>
          <w:tcPr/>
          <w:p>
            <w:pPr>
              <w:pStyle w:val="Compact"/>
            </w:pPr>
          </w:p>
        </w:tc>
        <w:tc>
          <w:tcPr/>
          <w:p>
            <w:pPr>
              <w:pStyle w:val="Compact"/>
            </w:pPr>
          </w:p>
        </w:tc>
        <w:tc>
          <w:tcPr/>
          <w:p>
            <w:pPr>
              <w:pStyle w:val="Compact"/>
            </w:pPr>
            <w:r>
              <w:t xml:space="preserve">0.253</w:t>
            </w:r>
          </w:p>
        </w:tc>
      </w:tr>
      <w:tr>
        <w:tc>
          <w:tcPr/>
          <w:p>
            <w:pPr>
              <w:pStyle w:val="Compact"/>
            </w:pPr>
            <w:r>
              <w:t xml:space="preserve"> No</w:t>
            </w:r>
          </w:p>
        </w:tc>
        <w:tc>
          <w:tcPr/>
          <w:p>
            <w:pPr>
              <w:pStyle w:val="Compact"/>
            </w:pPr>
            <w:r>
              <w:t xml:space="preserve">51.9% (53,386)</w:t>
            </w:r>
          </w:p>
        </w:tc>
        <w:tc>
          <w:tcPr/>
          <w:p>
            <w:pPr>
              <w:pStyle w:val="Compact"/>
            </w:pPr>
            <w:r>
              <w:t xml:space="preserve">52.2% (52,426)</w:t>
            </w:r>
          </w:p>
        </w:tc>
        <w:tc>
          <w:tcPr/>
          <w:p>
            <w:pPr>
              <w:pStyle w:val="Compact"/>
            </w:pPr>
            <w:r>
              <w:t xml:space="preserve">39.7% (960)</w:t>
            </w:r>
          </w:p>
        </w:tc>
        <w:tc>
          <w:tcPr/>
          <w:p>
            <w:pPr>
              <w:pStyle w:val="Compact"/>
            </w:pPr>
          </w:p>
        </w:tc>
      </w:tr>
      <w:tr>
        <w:tc>
          <w:tcPr/>
          <w:p>
            <w:pPr>
              <w:pStyle w:val="Compact"/>
            </w:pPr>
            <w:r>
              <w:t xml:space="preserve"> Yes</w:t>
            </w:r>
          </w:p>
        </w:tc>
        <w:tc>
          <w:tcPr/>
          <w:p>
            <w:pPr>
              <w:pStyle w:val="Compact"/>
            </w:pPr>
            <w:r>
              <w:t xml:space="preserve">48.1% (48,427)</w:t>
            </w:r>
          </w:p>
        </w:tc>
        <w:tc>
          <w:tcPr/>
          <w:p>
            <w:pPr>
              <w:pStyle w:val="Compact"/>
            </w:pPr>
            <w:r>
              <w:t xml:space="preserve">47.8% (46,969)</w:t>
            </w:r>
          </w:p>
        </w:tc>
        <w:tc>
          <w:tcPr/>
          <w:p>
            <w:pPr>
              <w:pStyle w:val="Compact"/>
            </w:pPr>
            <w:r>
              <w:t xml:space="preserve">60.3% (1,458)</w:t>
            </w:r>
          </w:p>
        </w:tc>
        <w:tc>
          <w:tcPr/>
          <w:p>
            <w:pPr>
              <w:pStyle w:val="Compact"/>
            </w:pPr>
          </w:p>
        </w:tc>
      </w:tr>
      <w:tr>
        <w:tc>
          <w:tcPr/>
          <w:p>
            <w:pPr>
              <w:pStyle w:val="Compact"/>
            </w:pPr>
            <w:r>
              <w:t xml:space="preserve">Prior major bleeding, % (unweighted n)</w:t>
            </w:r>
          </w:p>
        </w:tc>
        <w:tc>
          <w:tcPr/>
          <w:p>
            <w:pPr>
              <w:pStyle w:val="Compact"/>
            </w:pPr>
          </w:p>
        </w:tc>
        <w:tc>
          <w:tcPr/>
          <w:p>
            <w:pPr>
              <w:pStyle w:val="Compact"/>
            </w:pPr>
          </w:p>
        </w:tc>
        <w:tc>
          <w:tcPr/>
          <w:p>
            <w:pPr>
              <w:pStyle w:val="Compact"/>
            </w:pPr>
          </w:p>
        </w:tc>
        <w:tc>
          <w:tcPr/>
          <w:p>
            <w:pPr>
              <w:pStyle w:val="Compact"/>
            </w:pPr>
            <w:r>
              <w:t xml:space="preserve">0.109</w:t>
            </w:r>
          </w:p>
        </w:tc>
      </w:tr>
      <w:tr>
        <w:tc>
          <w:tcPr/>
          <w:p>
            <w:pPr>
              <w:pStyle w:val="Compact"/>
            </w:pPr>
            <w:r>
              <w:t xml:space="preserve"> No</w:t>
            </w:r>
          </w:p>
        </w:tc>
        <w:tc>
          <w:tcPr/>
          <w:p>
            <w:pPr>
              <w:pStyle w:val="Compact"/>
            </w:pPr>
            <w:r>
              <w:t xml:space="preserve">96.0% (97,718)</w:t>
            </w:r>
          </w:p>
        </w:tc>
        <w:tc>
          <w:tcPr/>
          <w:p>
            <w:pPr>
              <w:pStyle w:val="Compact"/>
            </w:pPr>
            <w:r>
              <w:t xml:space="preserve">96.0% (95,452)</w:t>
            </w:r>
          </w:p>
        </w:tc>
        <w:tc>
          <w:tcPr/>
          <w:p>
            <w:pPr>
              <w:pStyle w:val="Compact"/>
            </w:pPr>
            <w:r>
              <w:t xml:space="preserve">93.6% (2,266)</w:t>
            </w:r>
          </w:p>
        </w:tc>
        <w:tc>
          <w:tcPr/>
          <w:p>
            <w:pPr>
              <w:pStyle w:val="Compact"/>
            </w:pPr>
          </w:p>
        </w:tc>
      </w:tr>
      <w:tr>
        <w:tc>
          <w:tcPr/>
          <w:p>
            <w:pPr>
              <w:pStyle w:val="Compact"/>
            </w:pPr>
            <w:r>
              <w:t xml:space="preserve"> Yes</w:t>
            </w:r>
          </w:p>
        </w:tc>
        <w:tc>
          <w:tcPr/>
          <w:p>
            <w:pPr>
              <w:pStyle w:val="Compact"/>
            </w:pPr>
            <w:r>
              <w:t xml:space="preserve">4.0% (4,095)</w:t>
            </w:r>
          </w:p>
        </w:tc>
        <w:tc>
          <w:tcPr/>
          <w:p>
            <w:pPr>
              <w:pStyle w:val="Compact"/>
            </w:pPr>
            <w:r>
              <w:t xml:space="preserve">4.0% (3,943)</w:t>
            </w:r>
          </w:p>
        </w:tc>
        <w:tc>
          <w:tcPr/>
          <w:p>
            <w:pPr>
              <w:pStyle w:val="Compact"/>
            </w:pPr>
            <w:r>
              <w:t xml:space="preserve">6.4% (152)</w:t>
            </w:r>
          </w:p>
        </w:tc>
        <w:tc>
          <w:tcPr/>
          <w:p>
            <w:pPr>
              <w:pStyle w:val="Compact"/>
            </w:pPr>
          </w:p>
        </w:tc>
      </w:tr>
      <w:tr>
        <w:tc>
          <w:tcPr/>
          <w:p>
            <w:pPr>
              <w:pStyle w:val="Compact"/>
            </w:pPr>
            <w:r>
              <w:t xml:space="preserve">Liver disease, % (unweighted n)</w:t>
            </w:r>
          </w:p>
        </w:tc>
        <w:tc>
          <w:tcPr/>
          <w:p>
            <w:pPr>
              <w:pStyle w:val="Compact"/>
            </w:pPr>
          </w:p>
        </w:tc>
        <w:tc>
          <w:tcPr/>
          <w:p>
            <w:pPr>
              <w:pStyle w:val="Compact"/>
            </w:pPr>
          </w:p>
        </w:tc>
        <w:tc>
          <w:tcPr/>
          <w:p>
            <w:pPr>
              <w:pStyle w:val="Compact"/>
            </w:pPr>
          </w:p>
        </w:tc>
        <w:tc>
          <w:tcPr/>
          <w:p>
            <w:pPr>
              <w:pStyle w:val="Compact"/>
            </w:pPr>
            <w:r>
              <w:t xml:space="preserve">0.121</w:t>
            </w:r>
          </w:p>
        </w:tc>
      </w:tr>
      <w:tr>
        <w:tc>
          <w:tcPr/>
          <w:p>
            <w:pPr>
              <w:pStyle w:val="Compact"/>
            </w:pPr>
            <w:r>
              <w:t xml:space="preserve"> No</w:t>
            </w:r>
          </w:p>
        </w:tc>
        <w:tc>
          <w:tcPr/>
          <w:p>
            <w:pPr>
              <w:pStyle w:val="Compact"/>
            </w:pPr>
            <w:r>
              <w:t xml:space="preserve">97.1% (98,781)</w:t>
            </w:r>
          </w:p>
        </w:tc>
        <w:tc>
          <w:tcPr/>
          <w:p>
            <w:pPr>
              <w:pStyle w:val="Compact"/>
            </w:pPr>
            <w:r>
              <w:t xml:space="preserve">97.1% (96,489)</w:t>
            </w:r>
          </w:p>
        </w:tc>
        <w:tc>
          <w:tcPr/>
          <w:p>
            <w:pPr>
              <w:pStyle w:val="Compact"/>
            </w:pPr>
            <w:r>
              <w:t xml:space="preserve">94.7% (2,292)</w:t>
            </w:r>
          </w:p>
        </w:tc>
        <w:tc>
          <w:tcPr/>
          <w:p>
            <w:pPr>
              <w:pStyle w:val="Compact"/>
            </w:pPr>
          </w:p>
        </w:tc>
      </w:tr>
      <w:tr>
        <w:tc>
          <w:tcPr/>
          <w:p>
            <w:pPr>
              <w:pStyle w:val="Compact"/>
            </w:pPr>
            <w:r>
              <w:t xml:space="preserve"> Yes</w:t>
            </w:r>
          </w:p>
        </w:tc>
        <w:tc>
          <w:tcPr/>
          <w:p>
            <w:pPr>
              <w:pStyle w:val="Compact"/>
            </w:pPr>
            <w:r>
              <w:t xml:space="preserve">2.9% (3,032)</w:t>
            </w:r>
          </w:p>
        </w:tc>
        <w:tc>
          <w:tcPr/>
          <w:p>
            <w:pPr>
              <w:pStyle w:val="Compact"/>
            </w:pPr>
            <w:r>
              <w:t xml:space="preserve">2.9% (2,906)</w:t>
            </w:r>
          </w:p>
        </w:tc>
        <w:tc>
          <w:tcPr/>
          <w:p>
            <w:pPr>
              <w:pStyle w:val="Compact"/>
            </w:pPr>
            <w:r>
              <w:t xml:space="preserve">5.3% (126)</w:t>
            </w:r>
          </w:p>
        </w:tc>
        <w:tc>
          <w:tcPr/>
          <w:p>
            <w:pPr>
              <w:pStyle w:val="Compact"/>
            </w:pPr>
          </w:p>
        </w:tc>
      </w:tr>
      <w:tr>
        <w:tc>
          <w:tcPr/>
          <w:p>
            <w:pPr>
              <w:pStyle w:val="Compact"/>
            </w:pPr>
            <w:r>
              <w:t xml:space="preserve">Alcohol use disorder, % (unweighted n)</w:t>
            </w:r>
          </w:p>
        </w:tc>
        <w:tc>
          <w:tcPr/>
          <w:p>
            <w:pPr>
              <w:pStyle w:val="Compact"/>
            </w:pPr>
          </w:p>
        </w:tc>
        <w:tc>
          <w:tcPr/>
          <w:p>
            <w:pPr>
              <w:pStyle w:val="Compact"/>
            </w:pPr>
          </w:p>
        </w:tc>
        <w:tc>
          <w:tcPr/>
          <w:p>
            <w:pPr>
              <w:pStyle w:val="Compact"/>
            </w:pPr>
          </w:p>
        </w:tc>
        <w:tc>
          <w:tcPr/>
          <w:p>
            <w:pPr>
              <w:pStyle w:val="Compact"/>
            </w:pPr>
            <w:r>
              <w:t xml:space="preserve">0.007</w:t>
            </w:r>
          </w:p>
        </w:tc>
      </w:tr>
      <w:tr>
        <w:tc>
          <w:tcPr/>
          <w:p>
            <w:pPr>
              <w:pStyle w:val="Compact"/>
            </w:pPr>
            <w:r>
              <w:t xml:space="preserve"> No</w:t>
            </w:r>
          </w:p>
        </w:tc>
        <w:tc>
          <w:tcPr/>
          <w:p>
            <w:pPr>
              <w:pStyle w:val="Compact"/>
            </w:pPr>
            <w:r>
              <w:t xml:space="preserve">98.6% (100,370)</w:t>
            </w:r>
          </w:p>
        </w:tc>
        <w:tc>
          <w:tcPr/>
          <w:p>
            <w:pPr>
              <w:pStyle w:val="Compact"/>
            </w:pPr>
            <w:r>
              <w:t xml:space="preserve">98.6% (97,979)</w:t>
            </w:r>
          </w:p>
        </w:tc>
        <w:tc>
          <w:tcPr/>
          <w:p>
            <w:pPr>
              <w:pStyle w:val="Compact"/>
            </w:pPr>
            <w:r>
              <w:t xml:space="preserve">98.7% (2,391)</w:t>
            </w:r>
          </w:p>
        </w:tc>
        <w:tc>
          <w:tcPr/>
          <w:p>
            <w:pPr>
              <w:pStyle w:val="Compact"/>
            </w:pPr>
          </w:p>
        </w:tc>
      </w:tr>
      <w:tr>
        <w:tc>
          <w:tcPr/>
          <w:p>
            <w:pPr>
              <w:pStyle w:val="Compact"/>
            </w:pPr>
            <w:r>
              <w:t xml:space="preserve"> Yes</w:t>
            </w:r>
          </w:p>
        </w:tc>
        <w:tc>
          <w:tcPr/>
          <w:p>
            <w:pPr>
              <w:pStyle w:val="Compact"/>
            </w:pPr>
            <w:r>
              <w:t xml:space="preserve">1.4% (1,443)</w:t>
            </w:r>
          </w:p>
        </w:tc>
        <w:tc>
          <w:tcPr/>
          <w:p>
            <w:pPr>
              <w:pStyle w:val="Compact"/>
            </w:pPr>
            <w:r>
              <w:t xml:space="preserve">1.4% (1,416)</w:t>
            </w:r>
          </w:p>
        </w:tc>
        <w:tc>
          <w:tcPr/>
          <w:p>
            <w:pPr>
              <w:pStyle w:val="Compact"/>
            </w:pPr>
            <w:r>
              <w:t xml:space="preserve">1.3% (27)</w:t>
            </w:r>
          </w:p>
        </w:tc>
        <w:tc>
          <w:tcPr/>
          <w:p>
            <w:pPr>
              <w:pStyle w:val="Compact"/>
            </w:pPr>
          </w:p>
        </w:tc>
      </w:tr>
      <w:tr>
        <w:tc>
          <w:tcPr/>
          <w:p>
            <w:pPr>
              <w:pStyle w:val="Compact"/>
            </w:pPr>
            <w:r>
              <w:t xml:space="preserve">Anaemia (deficiency or blood-loss), % (unweighted n)</w:t>
            </w:r>
          </w:p>
        </w:tc>
        <w:tc>
          <w:tcPr/>
          <w:p>
            <w:pPr>
              <w:pStyle w:val="Compact"/>
            </w:pPr>
          </w:p>
        </w:tc>
        <w:tc>
          <w:tcPr/>
          <w:p>
            <w:pPr>
              <w:pStyle w:val="Compact"/>
            </w:pPr>
          </w:p>
        </w:tc>
        <w:tc>
          <w:tcPr/>
          <w:p>
            <w:pPr>
              <w:pStyle w:val="Compact"/>
            </w:pPr>
          </w:p>
        </w:tc>
        <w:tc>
          <w:tcPr/>
          <w:p>
            <w:pPr>
              <w:pStyle w:val="Compact"/>
            </w:pPr>
            <w:r>
              <w:t xml:space="preserve">0.030</w:t>
            </w:r>
          </w:p>
        </w:tc>
      </w:tr>
      <w:tr>
        <w:tc>
          <w:tcPr/>
          <w:p>
            <w:pPr>
              <w:pStyle w:val="Compact"/>
            </w:pPr>
            <w:r>
              <w:t xml:space="preserve"> No</w:t>
            </w:r>
          </w:p>
        </w:tc>
        <w:tc>
          <w:tcPr/>
          <w:p>
            <w:pPr>
              <w:pStyle w:val="Compact"/>
            </w:pPr>
            <w:r>
              <w:t xml:space="preserve">94.3% (96,169)</w:t>
            </w:r>
          </w:p>
        </w:tc>
        <w:tc>
          <w:tcPr/>
          <w:p>
            <w:pPr>
              <w:pStyle w:val="Compact"/>
            </w:pPr>
            <w:r>
              <w:t xml:space="preserve">94.3% (93,869)</w:t>
            </w:r>
          </w:p>
        </w:tc>
        <w:tc>
          <w:tcPr/>
          <w:p>
            <w:pPr>
              <w:pStyle w:val="Compact"/>
            </w:pPr>
            <w:r>
              <w:t xml:space="preserve">94.9% (2,300)</w:t>
            </w:r>
          </w:p>
        </w:tc>
        <w:tc>
          <w:tcPr/>
          <w:p>
            <w:pPr>
              <w:pStyle w:val="Compact"/>
            </w:pPr>
          </w:p>
        </w:tc>
      </w:tr>
      <w:tr>
        <w:tc>
          <w:tcPr/>
          <w:p>
            <w:pPr>
              <w:pStyle w:val="Compact"/>
            </w:pPr>
            <w:r>
              <w:t xml:space="preserve"> Yes</w:t>
            </w:r>
          </w:p>
        </w:tc>
        <w:tc>
          <w:tcPr/>
          <w:p>
            <w:pPr>
              <w:pStyle w:val="Compact"/>
            </w:pPr>
            <w:r>
              <w:t xml:space="preserve">5.7% (5,644)</w:t>
            </w:r>
          </w:p>
        </w:tc>
        <w:tc>
          <w:tcPr/>
          <w:p>
            <w:pPr>
              <w:pStyle w:val="Compact"/>
            </w:pPr>
            <w:r>
              <w:t xml:space="preserve">5.7% (5,526)</w:t>
            </w:r>
          </w:p>
        </w:tc>
        <w:tc>
          <w:tcPr/>
          <w:p>
            <w:pPr>
              <w:pStyle w:val="Compact"/>
            </w:pPr>
            <w:r>
              <w:t xml:space="preserve">5.1% (118)</w:t>
            </w:r>
          </w:p>
        </w:tc>
        <w:tc>
          <w:tcPr/>
          <w:p>
            <w:pPr>
              <w:pStyle w:val="Compact"/>
            </w:pPr>
          </w:p>
        </w:tc>
      </w:tr>
      <w:tr>
        <w:tc>
          <w:tcPr/>
          <w:p>
            <w:pPr>
              <w:pStyle w:val="Compact"/>
            </w:pPr>
            <w:r>
              <w:t xml:space="preserve">N18.6 recorded without a dialysis-dependence marker, % (unweighted n)</w:t>
            </w:r>
          </w:p>
        </w:tc>
        <w:tc>
          <w:tcPr/>
          <w:p>
            <w:pPr>
              <w:pStyle w:val="Compact"/>
            </w:pPr>
          </w:p>
        </w:tc>
        <w:tc>
          <w:tcPr/>
          <w:p>
            <w:pPr>
              <w:pStyle w:val="Compact"/>
            </w:pPr>
          </w:p>
        </w:tc>
        <w:tc>
          <w:tcPr/>
          <w:p>
            <w:pPr>
              <w:pStyle w:val="Compact"/>
            </w:pPr>
          </w:p>
        </w:tc>
        <w:tc>
          <w:tcPr/>
          <w:p>
            <w:pPr>
              <w:pStyle w:val="Compact"/>
            </w:pPr>
            <w:r>
              <w:t xml:space="preserve">0.072</w:t>
            </w:r>
          </w:p>
        </w:tc>
      </w:tr>
      <w:tr>
        <w:tc>
          <w:tcPr/>
          <w:p>
            <w:pPr>
              <w:pStyle w:val="Compact"/>
            </w:pPr>
            <w:r>
              <w:t xml:space="preserve"> No</w:t>
            </w:r>
          </w:p>
        </w:tc>
        <w:tc>
          <w:tcPr/>
          <w:p>
            <w:pPr>
              <w:pStyle w:val="Compact"/>
            </w:pPr>
            <w:r>
              <w:t xml:space="preserve">99.7% (101,546)</w:t>
            </w:r>
          </w:p>
        </w:tc>
        <w:tc>
          <w:tcPr/>
          <w:p>
            <w:pPr>
              <w:pStyle w:val="Compact"/>
            </w:pPr>
            <w:r>
              <w:t xml:space="preserve">99.7% (99,128)</w:t>
            </w:r>
          </w:p>
        </w:tc>
        <w:tc>
          <w:tcPr/>
          <w:p>
            <w:pPr>
              <w:pStyle w:val="Compact"/>
            </w:pPr>
            <w:r>
              <w:t xml:space="preserve">100.0% (2,418)</w:t>
            </w:r>
          </w:p>
        </w:tc>
        <w:tc>
          <w:tcPr/>
          <w:p>
            <w:pPr>
              <w:pStyle w:val="Compact"/>
            </w:pPr>
          </w:p>
        </w:tc>
      </w:tr>
      <w:tr>
        <w:tc>
          <w:tcPr/>
          <w:p>
            <w:pPr>
              <w:pStyle w:val="Compact"/>
            </w:pPr>
            <w:r>
              <w:t xml:space="preserve"> Yes</w:t>
            </w:r>
          </w:p>
        </w:tc>
        <w:tc>
          <w:tcPr/>
          <w:p>
            <w:pPr>
              <w:pStyle w:val="Compact"/>
            </w:pPr>
            <w:r>
              <w:t xml:space="preserve">0.3% (267)</w:t>
            </w:r>
          </w:p>
        </w:tc>
        <w:tc>
          <w:tcPr/>
          <w:p>
            <w:pPr>
              <w:pStyle w:val="Compact"/>
            </w:pPr>
            <w:r>
              <w:t xml:space="preserve">0.3% (267)</w:t>
            </w:r>
          </w:p>
        </w:tc>
        <w:tc>
          <w:tcPr/>
          <w:p>
            <w:pPr>
              <w:pStyle w:val="Compact"/>
            </w:pPr>
            <w:r>
              <w:t xml:space="preserve">0.0% (0)</w:t>
            </w:r>
          </w:p>
        </w:tc>
        <w:tc>
          <w:tcPr/>
          <w:p>
            <w:pPr>
              <w:pStyle w:val="Compact"/>
            </w:pPr>
          </w:p>
        </w:tc>
      </w:tr>
      <w:tr>
        <w:tc>
          <w:tcPr/>
          <w:p>
            <w:pPr>
              <w:pStyle w:val="Compact"/>
            </w:pPr>
            <w:r>
              <w:t xml:space="preserve">Elixhauser comorbidity count (all 31 flags), mean (SD)</w:t>
            </w:r>
          </w:p>
        </w:tc>
        <w:tc>
          <w:tcPr/>
          <w:p>
            <w:pPr>
              <w:pStyle w:val="Compact"/>
            </w:pPr>
            <w:r>
              <w:t xml:space="preserve">4.2 (1.8)</w:t>
            </w:r>
          </w:p>
        </w:tc>
        <w:tc>
          <w:tcPr/>
          <w:p>
            <w:pPr>
              <w:pStyle w:val="Compact"/>
            </w:pPr>
            <w:r>
              <w:t xml:space="preserve">4.2 (1.8)</w:t>
            </w:r>
          </w:p>
        </w:tc>
        <w:tc>
          <w:tcPr/>
          <w:p>
            <w:pPr>
              <w:pStyle w:val="Compact"/>
            </w:pPr>
            <w:r>
              <w:t xml:space="preserve">6.0 (1.7)</w:t>
            </w:r>
          </w:p>
        </w:tc>
        <w:tc>
          <w:tcPr/>
          <w:p>
            <w:pPr>
              <w:pStyle w:val="Compact"/>
            </w:pPr>
            <w:r>
              <w:t xml:space="preserve">1.028</w:t>
            </w:r>
          </w:p>
        </w:tc>
      </w:tr>
      <w:tr>
        <w:tc>
          <w:tcPr/>
          <w:p>
            <w:pPr>
              <w:pStyle w:val="Compact"/>
            </w:pPr>
            <w:r>
              <w:t xml:space="preserve">Residual Elixhauser comorbidity count, mean (SD)</w:t>
            </w:r>
          </w:p>
        </w:tc>
        <w:tc>
          <w:tcPr/>
          <w:p>
            <w:pPr>
              <w:pStyle w:val="Compact"/>
            </w:pPr>
            <w:r>
              <w:t xml:space="preserve">2.3 (1.2)</w:t>
            </w:r>
          </w:p>
        </w:tc>
        <w:tc>
          <w:tcPr/>
          <w:p>
            <w:pPr>
              <w:pStyle w:val="Compact"/>
            </w:pPr>
            <w:r>
              <w:t xml:space="preserve">2.3 (1.2)</w:t>
            </w:r>
          </w:p>
        </w:tc>
        <w:tc>
          <w:tcPr/>
          <w:p>
            <w:pPr>
              <w:pStyle w:val="Compact"/>
            </w:pPr>
            <w:r>
              <w:t xml:space="preserve">2.7 (1.4)</w:t>
            </w:r>
          </w:p>
        </w:tc>
        <w:tc>
          <w:tcPr/>
          <w:p>
            <w:pPr>
              <w:pStyle w:val="Compact"/>
            </w:pPr>
            <w:r>
              <w:t xml:space="preserve">0.321</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Weighted percentages are design-based national estimates using the HCUP discharge weight; unweighted n is the actual NRD sample size. Continuous variables are reported as design-weighted mean (SD). Standardized mean differences are reported in place of p-values; for a categorical variable the SMD shown is the maximum across its levels. 14 of 23 characteristics show |SMD| &gt;= 0.10: Age, years, mean (SD); Age group, % (unweighted n); Sex, % (unweighted n); Median household income quartile (patient ZIP code), % (unweighted n); Admission type, % (unweighted n); Discharge year, % (unweighted n); Congestive heart failure, % (unweighted n); Hypertension, % (unweighted n); Diabetes mellitus, % (unweighted n); Vascular disease (peripheral arterial, aortic or prior myocardial infarction), % (unweighted n); Prior major bleeding, % (unweighted n); Liver disease, % (unweighted n); Elixhauser comorbidity count (all 31 flags), mean (SD); Residual Elixhauser comorbidity count, mean (SD). Congestive heart failure, hypertension, diabetes, liver disease, alcohol use disorder and anaemia are taken from the AHRQ Elixhauser flags supplied with the data file; prior stroke, transient ischaemic attack or thromboembolism, vascular disease and prior major bleeding are coded from published ICD-10-CM lists. The residual Elixhauser count is the total Elixhauser count less renal failure and less every comorbidity entered individually in the model, so no comorbidity is counted twice. Cells representing fewer than 11 unweighted discharges are suppressed in accordance with the HCUP Data Use Agreement, together with every cell (and SMD) that would allow a suppressed cell to be recovered by subtraction; 12 cell(s) are suppressed in this table.</w:t>
            </w:r>
          </w:p>
        </w:tc>
      </w:tr>
    </w:tbl>
    <w:bookmarkEnd w:id="20"/>
    <w:bookmarkStart w:id="24" w:name="unadjusted-outcomes"/>
    <w:p>
      <w:pPr>
        <w:pStyle w:val="Heading2"/>
      </w:pPr>
      <w:r>
        <w:t xml:space="preserve">4.2 Unadjusted outcomes</w:t>
      </w:r>
    </w:p>
    <w:p>
      <w:pPr>
        <w:pStyle w:val="TableCaption"/>
      </w:pPr>
      <w:r>
        <w:t xml:space="preserve">Table 2. Unadjusted outcomes of the index hospitalization, by exposure.</w:t>
      </w:r>
    </w:p>
    <w:tbl>
      <w:tblPr>
        <w:tblStyle w:val="Table"/>
        <w:tblW w:type="pct" w:w="5000"/>
        <w:tblLayout w:type="fixed"/>
        <w:tblLook w:firstRow="1" w:lastRow="0" w:firstColumn="0" w:lastColumn="0" w:noHBand="0" w:noVBand="0" w:val="0020"/>
        <w:tblCaption w:val="Table 2. Unadjusted outcomes of the index hospitalization, by exposure."/>
      </w:tblPr>
      <w:tblGrid>
        <w:gridCol w:w="3046"/>
        <w:gridCol w:w="1624"/>
        <w:gridCol w:w="1624"/>
        <w:gridCol w:w="1624"/>
      </w:tblGrid>
      <w:tr>
        <w:trPr>
          <w:tblHeader w:val="on"/>
        </w:trPr>
        <w:tc>
          <w:tcPr/>
          <w:p>
            <w:pPr>
              <w:pStyle w:val="Compact"/>
            </w:pPr>
            <w:r>
              <w:t xml:space="preserve">Outcome</w:t>
            </w:r>
          </w:p>
        </w:tc>
        <w:tc>
          <w:tcPr/>
          <w:p>
            <w:pPr>
              <w:pStyle w:val="Compact"/>
            </w:pPr>
            <w:r>
              <w:t xml:space="preserve">Overall</w:t>
            </w:r>
          </w:p>
        </w:tc>
        <w:tc>
          <w:tcPr/>
          <w:p>
            <w:pPr>
              <w:pStyle w:val="Compact"/>
            </w:pPr>
            <w:r>
              <w:t xml:space="preserve">Unexposed</w:t>
            </w:r>
          </w:p>
        </w:tc>
        <w:tc>
          <w:tcPr/>
          <w:p>
            <w:pPr>
              <w:pStyle w:val="Compact"/>
            </w:pPr>
            <w:r>
              <w:t xml:space="preserve">Exposed</w:t>
            </w:r>
          </w:p>
        </w:tc>
      </w:tr>
      <w:tr>
        <w:tc>
          <w:tcPr/>
          <w:p>
            <w:pPr>
              <w:pStyle w:val="Compact"/>
            </w:pPr>
            <w:r>
              <w:t xml:space="preserve">30-day all-cause readmission, % (95% CI) (n)</w:t>
            </w:r>
          </w:p>
        </w:tc>
        <w:tc>
          <w:tcPr/>
          <w:p>
            <w:pPr>
              <w:pStyle w:val="Compact"/>
            </w:pPr>
            <w:r>
              <w:t xml:space="preserve">7.8% (7.6–8.0) (7,909)</w:t>
            </w:r>
          </w:p>
        </w:tc>
        <w:tc>
          <w:tcPr/>
          <w:p>
            <w:pPr>
              <w:pStyle w:val="Compact"/>
            </w:pPr>
            <w:r>
              <w:t xml:space="preserve">7.6% (7.3–7.8) (7,448)</w:t>
            </w:r>
          </w:p>
        </w:tc>
        <w:tc>
          <w:tcPr/>
          <w:p>
            <w:pPr>
              <w:pStyle w:val="Compact"/>
            </w:pPr>
            <w:r>
              <w:t xml:space="preserve">18.9% (17.0–20.7) (461)</w:t>
            </w:r>
          </w:p>
        </w:tc>
      </w:tr>
      <w:tr>
        <w:tc>
          <w:tcPr/>
          <w:p>
            <w:pPr>
              <w:pStyle w:val="Compact"/>
            </w:pPr>
            <w:r>
              <w:t xml:space="preserve">Pericardial effusion or tamponade at index, % (95% CI) (n)</w:t>
            </w:r>
          </w:p>
        </w:tc>
        <w:tc>
          <w:tcPr/>
          <w:p>
            <w:pPr>
              <w:pStyle w:val="Compact"/>
            </w:pPr>
            <w:r>
              <w:t xml:space="preserve">2.5% (2.4–2.7) (2,544)</w:t>
            </w:r>
          </w:p>
        </w:tc>
        <w:tc>
          <w:tcPr/>
          <w:p>
            <w:pPr>
              <w:pStyle w:val="Compact"/>
            </w:pPr>
            <w:r>
              <w:t xml:space="preserve">2.5% (2.3–2.6) (2,447)</w:t>
            </w:r>
          </w:p>
        </w:tc>
        <w:tc>
          <w:tcPr/>
          <w:p>
            <w:pPr>
              <w:pStyle w:val="Compact"/>
            </w:pPr>
            <w:r>
              <w:t xml:space="preserve">4.2% (3.2–5.2) (97)</w:t>
            </w:r>
          </w:p>
        </w:tc>
      </w:tr>
      <w:tr>
        <w:tc>
          <w:tcPr/>
          <w:p>
            <w:pPr>
              <w:pStyle w:val="Compact"/>
            </w:pPr>
            <w:r>
              <w:t xml:space="preserve">Pericardial drainage at index, % (95% CI) (n)</w:t>
            </w:r>
          </w:p>
        </w:tc>
        <w:tc>
          <w:tcPr/>
          <w:p>
            <w:pPr>
              <w:pStyle w:val="Compact"/>
            </w:pPr>
            <w:r>
              <w:t xml:space="preserve">0.6% (0.5–0.7) (608)</w:t>
            </w:r>
          </w:p>
        </w:tc>
        <w:tc>
          <w:tcPr/>
          <w:p>
            <w:pPr>
              <w:pStyle w:val="Compact"/>
            </w:pPr>
            <w:r>
              <w:t xml:space="preserve">0.6% (0.5–0.6) (589)</w:t>
            </w:r>
          </w:p>
        </w:tc>
        <w:tc>
          <w:tcPr/>
          <w:p>
            <w:pPr>
              <w:pStyle w:val="Compact"/>
            </w:pPr>
            <w:r>
              <w:t xml:space="preserve">0.9% (0.3–1.5) (19)</w:t>
            </w:r>
          </w:p>
        </w:tc>
      </w:tr>
      <w:tr>
        <w:tc>
          <w:tcPr/>
          <w:p>
            <w:pPr>
              <w:pStyle w:val="Compact"/>
            </w:pPr>
            <w:r>
              <w:t xml:space="preserve">Vascular complication at index, % (95% CI) (n)</w:t>
            </w:r>
          </w:p>
        </w:tc>
        <w:tc>
          <w:tcPr/>
          <w:p>
            <w:pPr>
              <w:pStyle w:val="Compact"/>
            </w:pPr>
            <w:r>
              <w:t xml:space="preserve">0.5% (0.5–0.6) (534)</w:t>
            </w:r>
          </w:p>
        </w:tc>
        <w:tc>
          <w:tcPr/>
          <w:p>
            <w:pPr>
              <w:pStyle w:val="Compact"/>
            </w:pPr>
            <w:r>
              <w:t xml:space="preserve">0.5% (0.5–0.6) (515)</w:t>
            </w:r>
          </w:p>
        </w:tc>
        <w:tc>
          <w:tcPr/>
          <w:p>
            <w:pPr>
              <w:pStyle w:val="Compact"/>
            </w:pPr>
            <w:r>
              <w:t xml:space="preserve">0.7% (0.4–1.0) (19)</w:t>
            </w:r>
          </w:p>
        </w:tc>
      </w:tr>
      <w:tr>
        <w:tc>
          <w:tcPr/>
          <w:p>
            <w:pPr>
              <w:pStyle w:val="Compact"/>
            </w:pPr>
            <w:r>
              <w:t xml:space="preserve">Non-home discharge, % (95% CI) (n)</w:t>
            </w:r>
          </w:p>
        </w:tc>
        <w:tc>
          <w:tcPr/>
          <w:p>
            <w:pPr>
              <w:pStyle w:val="Compact"/>
            </w:pPr>
            <w:r>
              <w:t xml:space="preserve">1.8% (1.7–2.0) (1,855)</w:t>
            </w:r>
          </w:p>
        </w:tc>
        <w:tc>
          <w:tcPr/>
          <w:p>
            <w:pPr>
              <w:pStyle w:val="Compact"/>
            </w:pPr>
            <w:r>
              <w:t xml:space="preserve">1.8% (1.7–1.9) (1,764)</w:t>
            </w:r>
          </w:p>
        </w:tc>
        <w:tc>
          <w:tcPr/>
          <w:p>
            <w:pPr>
              <w:pStyle w:val="Compact"/>
            </w:pPr>
            <w:r>
              <w:t xml:space="preserve">3.8% (2.9–4.8) (91)</w:t>
            </w:r>
          </w:p>
        </w:tc>
      </w:tr>
      <w:tr>
        <w:tc>
          <w:tcPr/>
          <w:p>
            <w:pPr>
              <w:pStyle w:val="Compact"/>
            </w:pPr>
            <w:r>
              <w:t xml:space="preserve">Length of stay, days, median (IQR)</w:t>
            </w:r>
          </w:p>
        </w:tc>
        <w:tc>
          <w:tcPr/>
          <w:p>
            <w:pPr>
              <w:pStyle w:val="Compact"/>
            </w:pPr>
            <w:r>
              <w:t xml:space="preserve">1 (1–1)</w:t>
            </w:r>
          </w:p>
        </w:tc>
        <w:tc>
          <w:tcPr/>
          <w:p>
            <w:pPr>
              <w:pStyle w:val="Compact"/>
            </w:pPr>
            <w:r>
              <w:t xml:space="preserve">1 (1–1)</w:t>
            </w:r>
          </w:p>
        </w:tc>
        <w:tc>
          <w:tcPr/>
          <w:p>
            <w:pPr>
              <w:pStyle w:val="Compact"/>
            </w:pPr>
            <w:r>
              <w:t xml:space="preserve">1 (1–1)</w:t>
            </w:r>
          </w:p>
        </w:tc>
      </w:tr>
      <w:tr>
        <w:tc>
          <w:tcPr/>
          <w:p>
            <w:pPr>
              <w:pStyle w:val="Compact"/>
            </w:pPr>
            <w:r>
              <w:t xml:space="preserve">Total cost, median (IQR), 2022 US dollars</w:t>
            </w:r>
          </w:p>
        </w:tc>
        <w:tc>
          <w:tcPr/>
          <w:p>
            <w:pPr>
              <w:pStyle w:val="Compact"/>
            </w:pPr>
            <w:r>
              <w:t xml:space="preserve">$28,449 ($21,836–$36,478)</w:t>
            </w:r>
          </w:p>
        </w:tc>
        <w:tc>
          <w:tcPr/>
          <w:p>
            <w:pPr>
              <w:pStyle w:val="Compact"/>
            </w:pPr>
            <w:r>
              <w:t xml:space="preserve">$28,415 ($21,807–$36,441)</w:t>
            </w:r>
          </w:p>
        </w:tc>
        <w:tc>
          <w:tcPr/>
          <w:p>
            <w:pPr>
              <w:pStyle w:val="Compact"/>
            </w:pPr>
            <w:r>
              <w:t xml:space="preserve">$29,980 ($23,338–$37,905)</w:t>
            </w:r>
          </w:p>
        </w:tc>
      </w:tr>
      <w:tr>
        <w:tc>
          <w:tcPr/>
          <w:p>
            <w:pPr>
              <w:pStyle w:val="Compact"/>
            </w:pPr>
            <w:r>
              <w:t xml:space="preserve">Total charges, median (IQR), 2022 US dollars</w:t>
            </w:r>
          </w:p>
        </w:tc>
        <w:tc>
          <w:tcPr/>
          <w:p>
            <w:pPr>
              <w:pStyle w:val="Compact"/>
            </w:pPr>
            <w:r>
              <w:t xml:space="preserve">$117,475 ($87,035–$169,713)</w:t>
            </w:r>
          </w:p>
        </w:tc>
        <w:tc>
          <w:tcPr/>
          <w:p>
            <w:pPr>
              <w:pStyle w:val="Compact"/>
            </w:pPr>
            <w:r>
              <w:t xml:space="preserve">$117,232 ($86,840–$169,504)</w:t>
            </w:r>
          </w:p>
        </w:tc>
        <w:tc>
          <w:tcPr/>
          <w:p>
            <w:pPr>
              <w:pStyle w:val="Compact"/>
            </w:pPr>
            <w:r>
              <w:t xml:space="preserve">$126,352 ($95,536–$178,356)</w:t>
            </w:r>
          </w:p>
        </w:tc>
      </w:tr>
    </w:tbl>
    <w:p>
      <w:pPr>
        <w:pStyle w:val="BodyText"/>
      </w:pPr>
      <w:r>
        <w:t xml:space="preserve"> </w:t>
      </w:r>
    </w:p>
    <w:p>
      <w:pPr>
        <w:pStyle w:val="TableCaption"/>
      </w:pPr>
      <w:r>
        <w:t xml:space="preserve">Table 2b. Index in-hospital mortality, computed on the full procedural cohort (which retains in-hospital deaths).</w:t>
      </w:r>
    </w:p>
    <w:tbl>
      <w:tblPr>
        <w:tblStyle w:val="Table"/>
        <w:tblW w:type="pct" w:w="5000"/>
        <w:tblLayout w:type="fixed"/>
        <w:tblLook w:firstRow="1" w:lastRow="0" w:firstColumn="0" w:lastColumn="0" w:noHBand="0" w:noVBand="0" w:val="0020"/>
        <w:tblCaption w:val="Table 2b. Index in-hospital mortality, computed on the full procedural cohort (which retains in-hospital deaths)."/>
      </w:tblPr>
      <w:tblGrid>
        <w:gridCol w:w="2508"/>
        <w:gridCol w:w="924"/>
        <w:gridCol w:w="792"/>
        <w:gridCol w:w="2310"/>
        <w:gridCol w:w="1386"/>
      </w:tblGrid>
      <w:tr>
        <w:trPr>
          <w:tblHeader w:val="on"/>
        </w:trPr>
        <w:tc>
          <w:tcPr/>
          <w:p>
            <w:pPr>
              <w:pStyle w:val="Compact"/>
            </w:pPr>
            <w:r>
              <w:t xml:space="preserve">Group</w:t>
            </w:r>
          </w:p>
        </w:tc>
        <w:tc>
          <w:tcPr/>
          <w:p>
            <w:pPr>
              <w:pStyle w:val="Compact"/>
            </w:pPr>
            <w:r>
              <w:t xml:space="preserve">Unweighted n</w:t>
            </w:r>
          </w:p>
        </w:tc>
        <w:tc>
          <w:tcPr/>
          <w:p>
            <w:pPr>
              <w:pStyle w:val="Compact"/>
            </w:pPr>
            <w:r>
              <w:t xml:space="preserve">Weighted N</w:t>
            </w:r>
          </w:p>
        </w:tc>
        <w:tc>
          <w:tcPr/>
          <w:p>
            <w:pPr>
              <w:pStyle w:val="Compact"/>
            </w:pPr>
            <w:r>
              <w:t xml:space="preserve">In-hospital mortality, % (95% CI)</w:t>
            </w:r>
          </w:p>
        </w:tc>
        <w:tc>
          <w:tcPr/>
          <w:p>
            <w:pPr>
              <w:pStyle w:val="Compact"/>
            </w:pPr>
            <w:r>
              <w:t xml:space="preserve">Deaths (unweighted)</w:t>
            </w:r>
          </w:p>
        </w:tc>
      </w:tr>
      <w:tr>
        <w:tc>
          <w:tcPr/>
          <w:p>
            <w:pPr>
              <w:pStyle w:val="Compact"/>
            </w:pPr>
            <w:r>
              <w:t xml:space="preserve">Overall</w:t>
            </w:r>
          </w:p>
        </w:tc>
        <w:tc>
          <w:tcPr/>
          <w:p>
            <w:pPr>
              <w:pStyle w:val="Compact"/>
            </w:pPr>
            <w:r>
              <w:t xml:space="preserve">112,868</w:t>
            </w:r>
          </w:p>
        </w:tc>
        <w:tc>
          <w:tcPr/>
          <w:p>
            <w:pPr>
              <w:pStyle w:val="Compact"/>
            </w:pPr>
            <w:r>
              <w:t xml:space="preserve">205,697</w:t>
            </w:r>
          </w:p>
        </w:tc>
        <w:tc>
          <w:tcPr/>
          <w:p>
            <w:pPr>
              <w:pStyle w:val="Compact"/>
            </w:pPr>
            <w:r>
              <w:t xml:space="preserve">&lt;11 (suppressed)</w:t>
            </w:r>
          </w:p>
        </w:tc>
        <w:tc>
          <w:tcPr/>
          <w:p>
            <w:pPr>
              <w:pStyle w:val="Compact"/>
            </w:pPr>
            <w:r>
              <w:t xml:space="preserve">&lt;11 (suppressed)</w:t>
            </w:r>
          </w:p>
        </w:tc>
      </w:tr>
      <w:tr>
        <w:tc>
          <w:tcPr/>
          <w:p>
            <w:pPr>
              <w:pStyle w:val="Compact"/>
            </w:pPr>
            <w:r>
              <w:t xml:space="preserve">No dialysis-dependent kidney failure</w:t>
            </w:r>
          </w:p>
        </w:tc>
        <w:tc>
          <w:tcPr/>
          <w:p>
            <w:pPr>
              <w:pStyle w:val="Compact"/>
            </w:pPr>
            <w:r>
              <w:t xml:space="preserve">110,181</w:t>
            </w:r>
          </w:p>
        </w:tc>
        <w:tc>
          <w:tcPr/>
          <w:p>
            <w:pPr>
              <w:pStyle w:val="Compact"/>
            </w:pPr>
            <w:r>
              <w:t xml:space="preserve">200,868</w:t>
            </w:r>
          </w:p>
        </w:tc>
        <w:tc>
          <w:tcPr/>
          <w:p>
            <w:pPr>
              <w:pStyle w:val="Compact"/>
            </w:pPr>
            <w:r>
              <w:t xml:space="preserve">&lt;11 (suppressed)</w:t>
            </w:r>
          </w:p>
        </w:tc>
        <w:tc>
          <w:tcPr/>
          <w:p>
            <w:pPr>
              <w:pStyle w:val="Compact"/>
            </w:pPr>
            <w:r>
              <w:t xml:space="preserve">&lt;11 (suppressed)</w:t>
            </w:r>
          </w:p>
        </w:tc>
      </w:tr>
      <w:tr>
        <w:tc>
          <w:tcPr/>
          <w:p>
            <w:pPr>
              <w:pStyle w:val="Compact"/>
            </w:pPr>
            <w:r>
              <w:t xml:space="preserve">Dialysis-dependent kidney failure</w:t>
            </w:r>
          </w:p>
        </w:tc>
        <w:tc>
          <w:tcPr/>
          <w:p>
            <w:pPr>
              <w:pStyle w:val="Compact"/>
            </w:pPr>
            <w:r>
              <w:t xml:space="preserve">2,687</w:t>
            </w:r>
          </w:p>
        </w:tc>
        <w:tc>
          <w:tcPr/>
          <w:p>
            <w:pPr>
              <w:pStyle w:val="Compact"/>
            </w:pPr>
            <w:r>
              <w:t xml:space="preserve">4,828</w:t>
            </w:r>
          </w:p>
        </w:tc>
        <w:tc>
          <w:tcPr/>
          <w:p>
            <w:pPr>
              <w:pStyle w:val="Compact"/>
            </w:pPr>
            <w:r>
              <w:t xml:space="preserve">&lt;11 (suppressed)</w:t>
            </w:r>
          </w:p>
        </w:tc>
        <w:tc>
          <w:tcPr/>
          <w:p>
            <w:pPr>
              <w:pStyle w:val="Compact"/>
            </w:pPr>
            <w:r>
              <w:t xml:space="preserve">&lt;11 (suppressed)</w:t>
            </w:r>
          </w:p>
        </w:tc>
      </w:tr>
    </w:tbl>
    <w:p>
      <w:pPr>
        <w:pStyle w:val="BodyText"/>
      </w:pPr>
      <w:r>
        <w:t xml:space="preserve"> </w:t>
      </w:r>
    </w:p>
    <w:p>
      <w:pPr>
        <w:pStyle w:val="TableCaption"/>
      </w:pPr>
      <w:r>
        <w:t xml:space="preserve">Table 2c. Characteristics of the readmission hospitalization, among index admissions followed by a readmission.</w:t>
      </w:r>
    </w:p>
    <w:tbl>
      <w:tblPr>
        <w:tblStyle w:val="Table"/>
        <w:tblW w:type="pct" w:w="5000"/>
        <w:tblLayout w:type="fixed"/>
        <w:tblLook w:firstRow="1" w:lastRow="0" w:firstColumn="0" w:lastColumn="0" w:noHBand="0" w:noVBand="0" w:val="0020"/>
        <w:tblCaption w:val="Table 2c. Characteristics of the readmission hospitalization, among index admissions followed by a readmission."/>
      </w:tblPr>
      <w:tblGrid>
        <w:gridCol w:w="3686"/>
        <w:gridCol w:w="1394"/>
        <w:gridCol w:w="1394"/>
        <w:gridCol w:w="1444"/>
      </w:tblGrid>
      <w:tr>
        <w:trPr>
          <w:tblHeader w:val="on"/>
        </w:trPr>
        <w:tc>
          <w:tcPr/>
          <w:p>
            <w:pPr>
              <w:pStyle w:val="Compact"/>
            </w:pPr>
            <w:r>
              <w:t xml:space="preserve">Outcome</w:t>
            </w:r>
          </w:p>
        </w:tc>
        <w:tc>
          <w:tcPr/>
          <w:p>
            <w:pPr>
              <w:pStyle w:val="Compact"/>
            </w:pPr>
            <w:r>
              <w:t xml:space="preserve">Overall</w:t>
            </w:r>
          </w:p>
        </w:tc>
        <w:tc>
          <w:tcPr/>
          <w:p>
            <w:pPr>
              <w:pStyle w:val="Compact"/>
            </w:pPr>
            <w:r>
              <w:t xml:space="preserve">Unexposed</w:t>
            </w:r>
          </w:p>
        </w:tc>
        <w:tc>
          <w:tcPr/>
          <w:p>
            <w:pPr>
              <w:pStyle w:val="Compact"/>
            </w:pPr>
            <w:r>
              <w:t xml:space="preserve">Exposed</w:t>
            </w:r>
          </w:p>
        </w:tc>
      </w:tr>
      <w:tr>
        <w:tc>
          <w:tcPr/>
          <w:p>
            <w:pPr>
              <w:pStyle w:val="Compact"/>
            </w:pPr>
            <w:r>
              <w:t xml:space="preserve">Time from index discharge to readmission, days, median (IQR)</w:t>
            </w:r>
          </w:p>
        </w:tc>
        <w:tc>
          <w:tcPr/>
          <w:p>
            <w:pPr>
              <w:pStyle w:val="Compact"/>
            </w:pPr>
            <w:r>
              <w:t xml:space="preserve">13 (6–20)</w:t>
            </w:r>
          </w:p>
        </w:tc>
        <w:tc>
          <w:tcPr/>
          <w:p>
            <w:pPr>
              <w:pStyle w:val="Compact"/>
            </w:pPr>
            <w:r>
              <w:t xml:space="preserve">13 (6–20)</w:t>
            </w:r>
          </w:p>
        </w:tc>
        <w:tc>
          <w:tcPr/>
          <w:p>
            <w:pPr>
              <w:pStyle w:val="Compact"/>
            </w:pPr>
            <w:r>
              <w:t xml:space="preserve">11 (6–19)</w:t>
            </w:r>
          </w:p>
        </w:tc>
      </w:tr>
      <w:tr>
        <w:tc>
          <w:tcPr/>
          <w:p>
            <w:pPr>
              <w:pStyle w:val="Compact"/>
            </w:pPr>
            <w:r>
              <w:t xml:space="preserve">Readmission length of stay, days, median (IQR)</w:t>
            </w:r>
          </w:p>
        </w:tc>
        <w:tc>
          <w:tcPr/>
          <w:p>
            <w:pPr>
              <w:pStyle w:val="Compact"/>
            </w:pPr>
            <w:r>
              <w:t xml:space="preserve">4 (2–6)</w:t>
            </w:r>
          </w:p>
        </w:tc>
        <w:tc>
          <w:tcPr/>
          <w:p>
            <w:pPr>
              <w:pStyle w:val="Compact"/>
            </w:pPr>
            <w:r>
              <w:t xml:space="preserve">4 (2–6)</w:t>
            </w:r>
          </w:p>
        </w:tc>
        <w:tc>
          <w:tcPr/>
          <w:p>
            <w:pPr>
              <w:pStyle w:val="Compact"/>
            </w:pPr>
            <w:r>
              <w:t xml:space="preserve">4 (2–6)</w:t>
            </w:r>
          </w:p>
        </w:tc>
      </w:tr>
      <w:tr>
        <w:tc>
          <w:tcPr/>
          <w:p>
            <w:pPr>
              <w:pStyle w:val="Compact"/>
            </w:pPr>
            <w:r>
              <w:t xml:space="preserve">Unplanned (non-elective) readmission, % (95% CI) (n)</w:t>
            </w:r>
          </w:p>
        </w:tc>
        <w:tc>
          <w:tcPr/>
          <w:p>
            <w:pPr>
              <w:pStyle w:val="Compact"/>
            </w:pPr>
            <w:r>
              <w:t xml:space="preserve">96.3% (95.8–96.8) (7,638)</w:t>
            </w:r>
          </w:p>
        </w:tc>
        <w:tc>
          <w:tcPr/>
          <w:p>
            <w:pPr>
              <w:pStyle w:val="Compact"/>
            </w:pPr>
            <w:r>
              <w:t xml:space="preserve">96.3% (95.8–96.9) (7,191)</w:t>
            </w:r>
          </w:p>
        </w:tc>
        <w:tc>
          <w:tcPr/>
          <w:p>
            <w:pPr>
              <w:pStyle w:val="Compact"/>
            </w:pPr>
            <w:r>
              <w:t xml:space="preserve">95.9% (93.5–98.3) (447)</w:t>
            </w:r>
          </w:p>
        </w:tc>
      </w:tr>
      <w:tr>
        <w:tc>
          <w:tcPr/>
          <w:p>
            <w:pPr>
              <w:pStyle w:val="Compact"/>
            </w:pPr>
            <w:r>
              <w:t xml:space="preserve">In-hospital death at readmission, % (95% CI) (n)</w:t>
            </w:r>
          </w:p>
        </w:tc>
        <w:tc>
          <w:tcPr/>
          <w:p>
            <w:pPr>
              <w:pStyle w:val="Compact"/>
            </w:pPr>
            <w:r>
              <w:t xml:space="preserve">2.6% (2.2–2.9) (198)</w:t>
            </w:r>
          </w:p>
        </w:tc>
        <w:tc>
          <w:tcPr/>
          <w:p>
            <w:pPr>
              <w:pStyle w:val="Compact"/>
            </w:pPr>
            <w:r>
              <w:t xml:space="preserve">2.5% (2.1–2.8) (177)</w:t>
            </w:r>
          </w:p>
        </w:tc>
        <w:tc>
          <w:tcPr/>
          <w:p>
            <w:pPr>
              <w:pStyle w:val="Compact"/>
            </w:pPr>
            <w:r>
              <w:t xml:space="preserve">4.5% (2.5–6.5) (21)</w:t>
            </w:r>
          </w:p>
        </w:tc>
      </w:tr>
      <w:tr>
        <w:tc>
          <w:tcPr/>
          <w:p>
            <w:pPr>
              <w:pStyle w:val="Compact"/>
            </w:pPr>
            <w:r>
              <w:t xml:space="preserve">Readmission with a bleeding principal diagnosis, % (95% CI) (n)</w:t>
            </w:r>
          </w:p>
        </w:tc>
        <w:tc>
          <w:tcPr/>
          <w:p>
            <w:pPr>
              <w:pStyle w:val="Compact"/>
            </w:pPr>
            <w:r>
              <w:t xml:space="preserve">10.6% (9.8–11.3) (833)</w:t>
            </w:r>
          </w:p>
        </w:tc>
        <w:tc>
          <w:tcPr/>
          <w:p>
            <w:pPr>
              <w:pStyle w:val="Compact"/>
            </w:pPr>
            <w:r>
              <w:t xml:space="preserve">10.5% (9.7–11.3) (781)</w:t>
            </w:r>
          </w:p>
        </w:tc>
        <w:tc>
          <w:tcPr/>
          <w:p>
            <w:pPr>
              <w:pStyle w:val="Compact"/>
            </w:pPr>
            <w:r>
              <w:t xml:space="preserve">10.9% (7.7–14.2) (52)</w:t>
            </w:r>
          </w:p>
        </w:tc>
      </w:tr>
      <w:tr>
        <w:tc>
          <w:tcPr/>
          <w:p>
            <w:pPr>
              <w:pStyle w:val="Compact"/>
            </w:pPr>
            <w:r>
              <w:t xml:space="preserve">Readmission with an ischaemic stroke principal diagnosis, % (95% CI) (n)</w:t>
            </w:r>
          </w:p>
        </w:tc>
        <w:tc>
          <w:tcPr/>
          <w:p>
            <w:pPr>
              <w:pStyle w:val="Compact"/>
            </w:pPr>
            <w:r>
              <w:t xml:space="preserve">&lt;11 (suppressed)</w:t>
            </w:r>
          </w:p>
        </w:tc>
        <w:tc>
          <w:tcPr/>
          <w:p>
            <w:pPr>
              <w:pStyle w:val="Compact"/>
            </w:pPr>
            <w:r>
              <w:t xml:space="preserve">&lt;11 (suppressed)</w:t>
            </w:r>
          </w:p>
        </w:tc>
        <w:tc>
          <w:tcPr/>
          <w:p>
            <w:pPr>
              <w:pStyle w:val="Compact"/>
            </w:pPr>
            <w:r>
              <w:t xml:space="preserve">&lt;11 (suppressed)</w:t>
            </w:r>
          </w:p>
        </w:tc>
      </w:tr>
      <w:tr>
        <w:tc>
          <w:tcPr/>
          <w:p>
            <w:pPr>
              <w:pStyle w:val="Compact"/>
            </w:pPr>
            <w:r>
              <w:t xml:space="preserve">Readmission cost, median (IQR), 2022 US dollars</w:t>
            </w:r>
          </w:p>
        </w:tc>
        <w:tc>
          <w:tcPr/>
          <w:p>
            <w:pPr>
              <w:pStyle w:val="Compact"/>
            </w:pPr>
            <w:r>
              <w:t xml:space="preserve">$9,669 ($6,064–$16,674)</w:t>
            </w:r>
          </w:p>
        </w:tc>
        <w:tc>
          <w:tcPr/>
          <w:p>
            <w:pPr>
              <w:pStyle w:val="Compact"/>
            </w:pPr>
            <w:r>
              <w:t xml:space="preserve">$9,520 ($6,021–$16,398)</w:t>
            </w:r>
          </w:p>
        </w:tc>
        <w:tc>
          <w:tcPr/>
          <w:p>
            <w:pPr>
              <w:pStyle w:val="Compact"/>
            </w:pPr>
            <w:r>
              <w:t xml:space="preserve">$12,944 ($7,453–$20,954)</w:t>
            </w:r>
          </w:p>
        </w:tc>
      </w:tr>
    </w:tbl>
    <w:p>
      <w:pPr>
        <w:pStyle w:val="BodyText"/>
      </w:pPr>
      <w:r>
        <w:t xml:space="preserve"> </w:t>
      </w:r>
    </w:p>
    <w:p>
      <w:pPr>
        <w:pStyle w:val="TableCaption"/>
      </w:pPr>
      <w:r>
        <w:t xml:space="preserve">Table 2d. Acute kidney injury during the index hospitalization, unexposed arm only.</w:t>
      </w:r>
    </w:p>
    <w:tbl>
      <w:tblPr>
        <w:tblStyle w:val="Table"/>
        <w:tblW w:type="pct" w:w="5000"/>
        <w:tblLayout w:type="fixed"/>
        <w:tblLook w:firstRow="1" w:lastRow="0" w:firstColumn="0" w:lastColumn="0" w:noHBand="0" w:noVBand="0" w:val="0020"/>
        <w:tblCaption w:val="Table 2d. Acute kidney injury during the index hospitalization, unexposed arm only."/>
      </w:tblPr>
      <w:tblGrid>
        <w:gridCol w:w="2617"/>
        <w:gridCol w:w="964"/>
        <w:gridCol w:w="2892"/>
        <w:gridCol w:w="1446"/>
      </w:tblGrid>
      <w:tr>
        <w:trPr>
          <w:tblHeader w:val="on"/>
        </w:trPr>
        <w:tc>
          <w:tcPr/>
          <w:p>
            <w:pPr>
              <w:pStyle w:val="Compact"/>
            </w:pPr>
            <w:r>
              <w:t xml:space="preserve">Group</w:t>
            </w:r>
          </w:p>
        </w:tc>
        <w:tc>
          <w:tcPr/>
          <w:p>
            <w:pPr>
              <w:pStyle w:val="Compact"/>
            </w:pPr>
            <w:r>
              <w:t xml:space="preserve">Unweighted n</w:t>
            </w:r>
          </w:p>
        </w:tc>
        <w:tc>
          <w:tcPr/>
          <w:p>
            <w:pPr>
              <w:pStyle w:val="Compact"/>
            </w:pPr>
            <w:r>
              <w:t xml:space="preserve">Acute kidney injury at index, % (95% CI)</w:t>
            </w:r>
          </w:p>
        </w:tc>
        <w:tc>
          <w:tcPr/>
          <w:p>
            <w:pPr>
              <w:pStyle w:val="Compact"/>
            </w:pPr>
            <w:r>
              <w:t xml:space="preserve">Events (unweighted)</w:t>
            </w:r>
          </w:p>
        </w:tc>
      </w:tr>
      <w:tr>
        <w:tc>
          <w:tcPr/>
          <w:p>
            <w:pPr>
              <w:pStyle w:val="Compact"/>
            </w:pPr>
            <w:r>
              <w:t xml:space="preserve">No dialysis-dependent kidney failure</w:t>
            </w:r>
          </w:p>
        </w:tc>
        <w:tc>
          <w:tcPr/>
          <w:p>
            <w:pPr>
              <w:pStyle w:val="Compact"/>
            </w:pPr>
            <w:r>
              <w:t xml:space="preserve">99,395</w:t>
            </w:r>
          </w:p>
        </w:tc>
        <w:tc>
          <w:tcPr/>
          <w:p>
            <w:pPr>
              <w:pStyle w:val="Compact"/>
            </w:pPr>
            <w:r>
              <w:t xml:space="preserve">1.8% (1.7–1.9)</w:t>
            </w:r>
          </w:p>
        </w:tc>
        <w:tc>
          <w:tcPr/>
          <w:p>
            <w:pPr>
              <w:pStyle w:val="Compact"/>
            </w:pPr>
            <w:r>
              <w:t xml:space="preserve">1,851</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All percentages are design-based national estimates with 95% confidence intervals from the survey design; the figure in parentheses after the interval is the unweighted event count. Readmission, procedural complications, length of stay, cost and disposition are computed on the index cohort (discharge survivors with a complete 30-day window and no concomitant cardiac surgery); in-hospital mortality is computed on the full LAAO cohort, which retains in-hospital deaths, because that is the only denominator on which a mortality rate is interpretable. The two denominators are reported separately and are never mixed. Readmission characteristics are computed on index admissions that were followed by a readmission. A binary outcome with fewer than 11 unweighted events or non-events in either arm is suppressed in every arm and in every table, so that no suppressed count can be recovered by subtraction (suppressed here: Ischaemic stroke readmission; In-hospital death at index). ACUTE KIDNEY INJURY IS REPORTED IN THE UNEXPOSED ARM ONLY (Table 2d): on a maintenance-dialysis background an N17 code does not carry its usual meaning, and a between-arm comparison of it would be uninterpretable rather than merely imprecise. These are unadjusted comparisons; the adjusted estimates are in Table 3.</w:t>
            </w:r>
          </w:p>
        </w:tc>
      </w:tr>
    </w:tbl>
    <w:p>
      <w:pPr>
        <w:pStyle w:val="CaptionedFigure"/>
      </w:pPr>
      <w:r>
        <w:drawing>
          <wp:inline>
            <wp:extent cx="5334000" cy="4140386"/>
            <wp:effectExtent b="0" l="0" r="0" t="0"/>
            <wp:docPr descr="Figure 2. Thirty-day readmission, unadjusted and adjusted." title="" id="22" name="Picture"/>
            <a:graphic>
              <a:graphicData uri="http://schemas.openxmlformats.org/drawingml/2006/picture">
                <pic:pic>
                  <pic:nvPicPr>
                    <pic:cNvPr descr="C:/Users/saada/Documents/Biostatistics/AliFam-Nerds/RCOP_NRD/NRD_Saad_LAAO_ESKD/figures/Figure2_readmission_rates.png" id="23" name="Picture"/>
                    <pic:cNvPicPr>
                      <a:picLocks noChangeArrowheads="1" noChangeAspect="1"/>
                    </pic:cNvPicPr>
                  </pic:nvPicPr>
                  <pic:blipFill>
                    <a:blip r:embed="rId21"/>
                    <a:stretch>
                      <a:fillRect/>
                    </a:stretch>
                  </pic:blipFill>
                  <pic:spPr bwMode="auto">
                    <a:xfrm>
                      <a:off x="0" y="0"/>
                      <a:ext cx="5334000" cy="4140386"/>
                    </a:xfrm>
                    <a:prstGeom prst="rect">
                      <a:avLst/>
                    </a:prstGeom>
                    <a:noFill/>
                    <a:ln w="9525">
                      <a:noFill/>
                      <a:headEnd/>
                      <a:tailEnd/>
                    </a:ln>
                  </pic:spPr>
                </pic:pic>
              </a:graphicData>
            </a:graphic>
          </wp:inline>
        </w:drawing>
      </w:r>
    </w:p>
    <w:p>
      <w:pPr>
        <w:pStyle w:val="ImageCaption"/>
      </w:pPr>
      <w:r>
        <w:t xml:space="preserve">Figure 2. Thirty-day readmission, unadjusted and adjusted.</w:t>
      </w:r>
    </w:p>
    <w:bookmarkEnd w:id="24"/>
    <w:bookmarkStart w:id="31" w:name="primary-analysis"/>
    <w:p>
      <w:pPr>
        <w:pStyle w:val="Heading2"/>
      </w:pPr>
      <w:r>
        <w:t xml:space="preserve">4.3 Primary analysis</w:t>
      </w:r>
    </w:p>
    <w:p>
      <w:pPr>
        <w:pStyle w:val="TableCaption"/>
      </w:pPr>
      <w:r>
        <w:t xml:space="preserve">Table 3. Primary model: adjusted odds ratio and adjusted absolute risk of 30-day all-cause readmission.</w:t>
      </w:r>
    </w:p>
    <w:tbl>
      <w:tblPr>
        <w:tblStyle w:val="Table"/>
        <w:tblW w:type="pct" w:w="5000"/>
        <w:tblLayout w:type="fixed"/>
        <w:tblLook w:firstRow="1" w:lastRow="0" w:firstColumn="0" w:lastColumn="0" w:noHBand="0" w:noVBand="0" w:val="0020"/>
        <w:tblCaption w:val="Table 3. Primary model: adjusted odds ratio and adjusted absolute risk of 30-day all-cause readmission."/>
      </w:tblPr>
      <w:tblGrid>
        <w:gridCol w:w="5400"/>
        <w:gridCol w:w="1710"/>
        <w:gridCol w:w="810"/>
      </w:tblGrid>
      <w:tr>
        <w:trPr>
          <w:tblHeader w:val="on"/>
        </w:trPr>
        <w:tc>
          <w:tcPr/>
          <w:p>
            <w:pPr>
              <w:pStyle w:val="Compact"/>
            </w:pPr>
            <w:r>
              <w:t xml:space="preserve">Quantity</w:t>
            </w:r>
          </w:p>
        </w:tc>
        <w:tc>
          <w:tcPr/>
          <w:p>
            <w:pPr>
              <w:pStyle w:val="Compact"/>
            </w:pPr>
            <w:r>
              <w:t xml:space="preserve">Estimate (95% CI)</w:t>
            </w:r>
          </w:p>
        </w:tc>
        <w:tc>
          <w:tcPr/>
          <w:p>
            <w:pPr>
              <w:pStyle w:val="Compact"/>
            </w:pPr>
            <w:r>
              <w:t xml:space="preserve">p value</w:t>
            </w:r>
          </w:p>
        </w:tc>
      </w:tr>
      <w:tr>
        <w:tc>
          <w:tcPr/>
          <w:p>
            <w:pPr>
              <w:pStyle w:val="Compact"/>
            </w:pPr>
            <w:r>
              <w:t xml:space="preserve">Adjusted risk, No dialysis-dependent kidney failure</w:t>
            </w:r>
          </w:p>
        </w:tc>
        <w:tc>
          <w:tcPr/>
          <w:p>
            <w:pPr>
              <w:pStyle w:val="Compact"/>
            </w:pPr>
            <w:r>
              <w:t xml:space="preserve">7.6% (7.4–7.8)</w:t>
            </w:r>
          </w:p>
        </w:tc>
        <w:tc>
          <w:tcPr/>
          <w:p>
            <w:pPr>
              <w:pStyle w:val="Compact"/>
            </w:pPr>
          </w:p>
        </w:tc>
      </w:tr>
      <w:tr>
        <w:tc>
          <w:tcPr/>
          <w:p>
            <w:pPr>
              <w:pStyle w:val="Compact"/>
            </w:pPr>
            <w:r>
              <w:t xml:space="preserve">Adjusted risk, Dialysis-dependent kidney failure</w:t>
            </w:r>
          </w:p>
        </w:tc>
        <w:tc>
          <w:tcPr/>
          <w:p>
            <w:pPr>
              <w:pStyle w:val="Compact"/>
            </w:pPr>
            <w:r>
              <w:t xml:space="preserve">15.8% (14.3–17.4)</w:t>
            </w:r>
          </w:p>
        </w:tc>
        <w:tc>
          <w:tcPr/>
          <w:p>
            <w:pPr>
              <w:pStyle w:val="Compact"/>
            </w:pPr>
          </w:p>
        </w:tc>
      </w:tr>
      <w:tr>
        <w:tc>
          <w:tcPr/>
          <w:p>
            <w:pPr>
              <w:pStyle w:val="Compact"/>
            </w:pPr>
            <w:r>
              <w:t xml:space="preserve">Adjusted risk difference (percentage points)</w:t>
            </w:r>
          </w:p>
        </w:tc>
        <w:tc>
          <w:tcPr/>
          <w:p>
            <w:pPr>
              <w:pStyle w:val="Compact"/>
            </w:pPr>
            <w:r>
              <w:t xml:space="preserve">8.22 (6.66–9.77)</w:t>
            </w:r>
          </w:p>
        </w:tc>
        <w:tc>
          <w:tcPr/>
          <w:p>
            <w:pPr>
              <w:pStyle w:val="Compact"/>
            </w:pPr>
            <w:r>
              <w:t xml:space="preserve">&lt;0.001</w:t>
            </w:r>
          </w:p>
        </w:tc>
      </w:tr>
      <w:tr>
        <w:tc>
          <w:tcPr/>
          <w:p>
            <w:pPr>
              <w:pStyle w:val="Compact"/>
            </w:pPr>
            <w:r>
              <w:t xml:space="preserve">Adjusted risk ratio</w:t>
            </w:r>
          </w:p>
        </w:tc>
        <w:tc>
          <w:tcPr/>
          <w:p>
            <w:pPr>
              <w:pStyle w:val="Compact"/>
            </w:pPr>
            <w:r>
              <w:t xml:space="preserve">2.08 (1.88–2.30)</w:t>
            </w:r>
          </w:p>
        </w:tc>
        <w:tc>
          <w:tcPr/>
          <w:p>
            <w:pPr>
              <w:pStyle w:val="Compact"/>
            </w:pPr>
          </w:p>
        </w:tc>
      </w:tr>
      <w:tr>
        <w:tc>
          <w:tcPr/>
          <w:p>
            <w:pPr>
              <w:pStyle w:val="Compact"/>
            </w:pPr>
            <w:r>
              <w:t xml:space="preserve">Adjusted odds ratio</w:t>
            </w:r>
          </w:p>
        </w:tc>
        <w:tc>
          <w:tcPr/>
          <w:p>
            <w:pPr>
              <w:pStyle w:val="Compact"/>
            </w:pPr>
            <w:r>
              <w:t xml:space="preserve">2.34 (2.07–2.65)</w:t>
            </w:r>
          </w:p>
        </w:tc>
        <w:tc>
          <w:tcPr/>
          <w:p>
            <w:pPr>
              <w:pStyle w:val="Compact"/>
            </w:pPr>
            <w:r>
              <w:t xml:space="preserve">&lt;0.001</w:t>
            </w:r>
          </w:p>
        </w:tc>
      </w:tr>
      <w:tr>
        <w:tc>
          <w:tcPr/>
          <w:p>
            <w:pPr>
              <w:pStyle w:val="Compact"/>
            </w:pPr>
            <w:r>
              <w:t xml:space="preserve">Number needed to be exposed for one additional readmission</w:t>
            </w:r>
          </w:p>
        </w:tc>
        <w:tc>
          <w:tcPr/>
          <w:p>
            <w:pPr>
              <w:pStyle w:val="Compact"/>
            </w:pPr>
            <w:r>
              <w:t xml:space="preserve">12</w:t>
            </w:r>
          </w:p>
        </w:tc>
        <w:tc>
          <w:tcPr/>
          <w:p>
            <w:pPr>
              <w:pStyle w:val="Compact"/>
            </w:pPr>
          </w:p>
        </w:tc>
      </w:tr>
    </w:tbl>
    <w:p>
      <w:pPr>
        <w:pStyle w:val="BodyText"/>
      </w:pPr>
      <w:r>
        <w:t xml:space="preserve"> </w:t>
      </w:r>
    </w:p>
    <w:p>
      <w:pPr>
        <w:pStyle w:val="TableCaption"/>
      </w:pPr>
      <w:r>
        <w:t xml:space="preserve">Table 3b. The two co-primary estimators.</w:t>
      </w:r>
    </w:p>
    <w:tbl>
      <w:tblPr>
        <w:tblStyle w:val="Table"/>
        <w:tblW w:type="pct" w:w="5000"/>
        <w:tblLayout w:type="fixed"/>
        <w:tblLook w:firstRow="1" w:lastRow="0" w:firstColumn="0" w:lastColumn="0" w:noHBand="0" w:noVBand="0" w:val="0020"/>
        <w:tblCaption w:val="Table 3b. The two co-primary estimators."/>
      </w:tblPr>
      <w:tblGrid>
        <w:gridCol w:w="2743"/>
        <w:gridCol w:w="1138"/>
        <w:gridCol w:w="465"/>
        <w:gridCol w:w="2018"/>
        <w:gridCol w:w="1552"/>
      </w:tblGrid>
      <w:tr>
        <w:trPr>
          <w:tblHeader w:val="on"/>
        </w:trPr>
        <w:tc>
          <w:tcPr/>
          <w:p>
            <w:pPr>
              <w:pStyle w:val="Compact"/>
            </w:pPr>
            <w:r>
              <w:t xml:space="preserve">Analysis</w:t>
            </w:r>
          </w:p>
        </w:tc>
        <w:tc>
          <w:tcPr/>
          <w:p>
            <w:pPr>
              <w:pStyle w:val="Compact"/>
            </w:pPr>
            <w:r>
              <w:t xml:space="preserve">Adjusted OR (95% CI)</w:t>
            </w:r>
          </w:p>
        </w:tc>
        <w:tc>
          <w:tcPr/>
          <w:p>
            <w:pPr>
              <w:pStyle w:val="Compact"/>
            </w:pPr>
            <w:r>
              <w:t xml:space="preserve">p value</w:t>
            </w:r>
          </w:p>
        </w:tc>
        <w:tc>
          <w:tcPr/>
          <w:p>
            <w:pPr>
              <w:pStyle w:val="Compact"/>
            </w:pPr>
            <w:r>
              <w:t xml:space="preserve">Adjusted risk difference, pp (95% CI)</w:t>
            </w:r>
          </w:p>
        </w:tc>
        <w:tc>
          <w:tcPr/>
          <w:p>
            <w:pPr>
              <w:pStyle w:val="Compact"/>
            </w:pPr>
            <w:r>
              <w:t xml:space="preserve">Adjusted risk ratio (95% CI)</w:t>
            </w:r>
          </w:p>
        </w:tc>
      </w:tr>
      <w:tr>
        <w:tc>
          <w:tcPr/>
          <w:p>
            <w:pPr>
              <w:pStyle w:val="Compact"/>
            </w:pPr>
            <w:r>
              <w:t xml:space="preserve">Survey-weighted logistic regression – CO-PRIMARY</w:t>
            </w:r>
          </w:p>
        </w:tc>
        <w:tc>
          <w:tcPr/>
          <w:p>
            <w:pPr>
              <w:pStyle w:val="Compact"/>
            </w:pPr>
            <w:r>
              <w:t xml:space="preserve">2.34 (2.07–2.65)</w:t>
            </w:r>
          </w:p>
        </w:tc>
        <w:tc>
          <w:tcPr/>
          <w:p>
            <w:pPr>
              <w:pStyle w:val="Compact"/>
            </w:pPr>
            <w:r>
              <w:t xml:space="preserve">&lt;0.001</w:t>
            </w:r>
          </w:p>
        </w:tc>
        <w:tc>
          <w:tcPr/>
          <w:p>
            <w:pPr>
              <w:pStyle w:val="Compact"/>
            </w:pPr>
            <w:r>
              <w:t xml:space="preserve">8.22 (6.66–9.77)</w:t>
            </w:r>
          </w:p>
        </w:tc>
        <w:tc>
          <w:tcPr/>
          <w:p>
            <w:pPr>
              <w:pStyle w:val="Compact"/>
            </w:pPr>
            <w:r>
              <w:t xml:space="preserve">2.08 (1.88–2.30)</w:t>
            </w:r>
          </w:p>
        </w:tc>
      </w:tr>
      <w:tr>
        <w:tc>
          <w:tcPr/>
          <w:p>
            <w:pPr>
              <w:pStyle w:val="Compact"/>
            </w:pPr>
            <w:r>
              <w:t xml:space="preserve">Overlap-weighted (ATO), doubly robust – CO-PRIMARY</w:t>
            </w:r>
          </w:p>
        </w:tc>
        <w:tc>
          <w:tcPr/>
          <w:p>
            <w:pPr>
              <w:pStyle w:val="Compact"/>
            </w:pPr>
            <w:r>
              <w:t xml:space="preserve">2.29 (2.02–2.59)</w:t>
            </w:r>
          </w:p>
        </w:tc>
        <w:tc>
          <w:tcPr/>
          <w:p>
            <w:pPr>
              <w:pStyle w:val="Compact"/>
            </w:pPr>
            <w:r>
              <w:t xml:space="preserve">&lt;0.001</w:t>
            </w:r>
          </w:p>
        </w:tc>
        <w:tc>
          <w:tcPr/>
          <w:p>
            <w:pPr>
              <w:pStyle w:val="Compact"/>
            </w:pPr>
            <w:r>
              <w:t xml:space="preserve">9.36 (7.64–11.08)</w:t>
            </w:r>
          </w:p>
        </w:tc>
        <w:tc>
          <w:tcPr/>
          <w:p>
            <w:pPr>
              <w:pStyle w:val="Compact"/>
            </w:pPr>
            <w:r>
              <w:t xml:space="preserve">1.99 (1.81–2.20)</w:t>
            </w:r>
          </w:p>
        </w:tc>
      </w:tr>
    </w:tbl>
    <w:p>
      <w:pPr>
        <w:pStyle w:val="BodyText"/>
      </w:pPr>
      <w:r>
        <w:t xml:space="preserve"> </w:t>
      </w:r>
    </w:p>
    <w:p>
      <w:pPr>
        <w:pStyle w:val="TableCaption"/>
      </w:pPr>
      <w:r>
        <w:t xml:space="preserve">Table 3c. Events-per-parameter accounting.</w:t>
      </w:r>
    </w:p>
    <w:tbl>
      <w:tblPr>
        <w:tblStyle w:val="Table"/>
        <w:tblW w:type="pct" w:w="5000"/>
        <w:tblLayout w:type="fixed"/>
        <w:tblLook w:firstRow="1" w:lastRow="0" w:firstColumn="0" w:lastColumn="0" w:noHBand="0" w:noVBand="0" w:val="0020"/>
        <w:tblCaption w:val="Table 3c. Events-per-parameter accounting."/>
      </w:tblPr>
      <w:tblGrid>
        <w:gridCol w:w="6930"/>
        <w:gridCol w:w="990"/>
      </w:tblGrid>
      <w:tr>
        <w:trPr>
          <w:tblHeader w:val="on"/>
        </w:trPr>
        <w:tc>
          <w:tcPr/>
          <w:p>
            <w:pPr>
              <w:pStyle w:val="Compact"/>
            </w:pPr>
            <w:r>
              <w:t xml:space="preserve">Quantity</w:t>
            </w:r>
          </w:p>
        </w:tc>
        <w:tc>
          <w:tcPr/>
          <w:p>
            <w:pPr>
              <w:pStyle w:val="Compact"/>
            </w:pPr>
            <w:r>
              <w:t xml:space="preserve">Value</w:t>
            </w:r>
          </w:p>
        </w:tc>
      </w:tr>
      <w:tr>
        <w:tc>
          <w:tcPr/>
          <w:p>
            <w:pPr>
              <w:pStyle w:val="Compact"/>
            </w:pPr>
            <w:r>
              <w:t xml:space="preserve">Index admissions analysed</w:t>
            </w:r>
          </w:p>
        </w:tc>
        <w:tc>
          <w:tcPr/>
          <w:p>
            <w:pPr>
              <w:pStyle w:val="Compact"/>
            </w:pPr>
            <w:r>
              <w:t xml:space="preserve">101,813</w:t>
            </w:r>
          </w:p>
        </w:tc>
      </w:tr>
      <w:tr>
        <w:tc>
          <w:tcPr/>
          <w:p>
            <w:pPr>
              <w:pStyle w:val="Compact"/>
            </w:pPr>
            <w:r>
              <w:t xml:space="preserve">Exposed index admissions</w:t>
            </w:r>
          </w:p>
        </w:tc>
        <w:tc>
          <w:tcPr/>
          <w:p>
            <w:pPr>
              <w:pStyle w:val="Compact"/>
            </w:pPr>
            <w:r>
              <w:t xml:space="preserve">2,418</w:t>
            </w:r>
          </w:p>
        </w:tc>
      </w:tr>
      <w:tr>
        <w:tc>
          <w:tcPr/>
          <w:p>
            <w:pPr>
              <w:pStyle w:val="Compact"/>
            </w:pPr>
            <w:r>
              <w:t xml:space="preserve">Readmission events, whole cohort</w:t>
            </w:r>
          </w:p>
        </w:tc>
        <w:tc>
          <w:tcPr/>
          <w:p>
            <w:pPr>
              <w:pStyle w:val="Compact"/>
            </w:pPr>
            <w:r>
              <w:t xml:space="preserve">7,909</w:t>
            </w:r>
          </w:p>
        </w:tc>
      </w:tr>
      <w:tr>
        <w:tc>
          <w:tcPr/>
          <w:p>
            <w:pPr>
              <w:pStyle w:val="Compact"/>
            </w:pPr>
            <w:r>
              <w:t xml:space="preserve">Readmission events, exposed arm</w:t>
            </w:r>
          </w:p>
        </w:tc>
        <w:tc>
          <w:tcPr/>
          <w:p>
            <w:pPr>
              <w:pStyle w:val="Compact"/>
            </w:pPr>
            <w:r>
              <w:t xml:space="preserve">461</w:t>
            </w:r>
          </w:p>
        </w:tc>
      </w:tr>
      <w:tr>
        <w:tc>
          <w:tcPr/>
          <w:p>
            <w:pPr>
              <w:pStyle w:val="Compact"/>
            </w:pPr>
            <w:r>
              <w:t xml:space="preserve">Model parameters (design-matrix columns, excluding intercept)</w:t>
            </w:r>
          </w:p>
        </w:tc>
        <w:tc>
          <w:tcPr/>
          <w:p>
            <w:pPr>
              <w:pStyle w:val="Compact"/>
            </w:pPr>
            <w:r>
              <w:t xml:space="preserve">42</w:t>
            </w:r>
          </w:p>
        </w:tc>
      </w:tr>
      <w:tr>
        <w:tc>
          <w:tcPr/>
          <w:p>
            <w:pPr>
              <w:pStyle w:val="Compact"/>
            </w:pPr>
            <w:r>
              <w:t xml:space="preserve">Events per parameter, whole cohort</w:t>
            </w:r>
          </w:p>
        </w:tc>
        <w:tc>
          <w:tcPr/>
          <w:p>
            <w:pPr>
              <w:pStyle w:val="Compact"/>
            </w:pPr>
            <w:r>
              <w:t xml:space="preserve">188.3</w:t>
            </w:r>
          </w:p>
        </w:tc>
      </w:tr>
      <w:tr>
        <w:tc>
          <w:tcPr/>
          <w:p>
            <w:pPr>
              <w:pStyle w:val="Compact"/>
            </w:pPr>
            <w:r>
              <w:t xml:space="preserve">Exposed events per parameter</w:t>
            </w:r>
          </w:p>
        </w:tc>
        <w:tc>
          <w:tcPr/>
          <w:p>
            <w:pPr>
              <w:pStyle w:val="Compact"/>
            </w:pPr>
            <w:r>
              <w:t xml:space="preserve">11.0</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The primary model is a survey-weighted logistic regression of 30-day all-cause readmission on dialysis-dependent kidney failure, adjusted for the pre-specified compact covariate block: age modelled as a restricted cubic spline with four knots, sex, primary payer, ZIP-code income quartile, NCHS urban-rural residence, admission type, hospital bed size, location and teaching status, discharge year, hospital LAAO volume tertile, the CHA₂DS₂-VASc components (heart failure, hypertension, diabetes, prior stroke/TIA/thromboembolism, vascular disease), the HAS-BLED-adjacent components (prior major bleeding, liver disease, alcohol use disorder, anaemia), and a residual Elixhauser comorbidity count. The full 31-flag Elixhauser set is deliberately NOT used: with this exposed event count it would produce unstable estimates, and the clinically relevant comorbidities are entered individually instead. Renal failure is excluded from the comorbidity count by pre-specification because it is collinear with the exposure by construction. Adjusted absolute risks were obtained by marginal standardization over the whole analytic cohort with delta-method variance on the design-based covariance matrix and t critical values on 1996 design degrees of freedom. No pre-specified covariate required removal by the sparse-cell guard. The overlap-weighted estimate in Table 3b is a CO-PRIMARY estimator in this study rather than a sensitivity analysis, because it reduces the outcome model to a single exposure term while balancing the full covariate set through the propensity score. The effective sample size after overlap weighting was 7,864, and 0 of 20 covariates retained an absolute standardized mean difference of 0.10 or more. Sequential Models 1 to 4 are NOT monotone – check whether a covariate has been misclassified as a mediator. Model 5 is OVER-ADJUSTED: the Model 4 to Model 5 change is attenuation consistent with mediation and is not an adjusted estimate. All secondary outcomes are exploratory and form one Benjamini-Hochberg family (adjusted over the 6 outcome(s) with at least 11 events and non-events in each arm); the primary outcome is not a member of it.</w:t>
            </w:r>
          </w:p>
        </w:tc>
      </w:tr>
    </w:tbl>
    <w:p>
      <w:pPr>
        <w:pStyle w:val="BodyText"/>
      </w:pPr>
      <w:r>
        <w:rPr>
          <w:b/>
          <w:bCs/>
        </w:rPr>
        <w:t xml:space="preserve">E-value.</w:t>
      </w:r>
      <w:r>
        <w:t xml:space="preserve"> </w:t>
      </w:r>
      <w:r>
        <w:t xml:space="preserve">An unmeasured confounder would need to be associated with both dialysis-dependent kidney failure and 30-day readmission by a risk ratio of at least 3.58 each, above and beyond the measured covariates, to explain away the observed adjusted risk ratio of 2.08; to move the confidence limit closest to the null to 1.00 the required association is 3.17. The most plausible such confounders here are frailty and dialysis vintage, neither of which the Nationwide Readmissions Database records in any form.</w:t>
      </w:r>
    </w:p>
    <w:p>
      <w:pPr>
        <w:pStyle w:val="TableCaption"/>
      </w:pPr>
      <w:r>
        <w:t xml:space="preserve">Table 3d. Independent cross-check of the marginal standardization.</w:t>
      </w:r>
    </w:p>
    <w:tbl>
      <w:tblPr>
        <w:tblStyle w:val="Table"/>
        <w:tblW w:type="pct" w:w="5000"/>
        <w:tblLayout w:type="fixed"/>
        <w:tblLook w:firstRow="1" w:lastRow="0" w:firstColumn="0" w:lastColumn="0" w:noHBand="0" w:noVBand="0" w:val="0020"/>
        <w:tblCaption w:val="Table 3d. Independent cross-check of the marginal standardization."/>
      </w:tblPr>
      <w:tblGrid>
        <w:gridCol w:w="2058"/>
        <w:gridCol w:w="715"/>
        <w:gridCol w:w="1610"/>
        <w:gridCol w:w="939"/>
        <w:gridCol w:w="2595"/>
      </w:tblGrid>
      <w:tr>
        <w:trPr>
          <w:tblHeader w:val="on"/>
        </w:trPr>
        <w:tc>
          <w:tcPr/>
          <w:p>
            <w:pPr>
              <w:pStyle w:val="Compact"/>
            </w:pPr>
            <w:r>
              <w:t xml:space="preserve">Quantity</w:t>
            </w:r>
          </w:p>
        </w:tc>
        <w:tc>
          <w:tcPr/>
          <w:p>
            <w:pPr>
              <w:pStyle w:val="Compact"/>
            </w:pPr>
            <w:r>
              <w:t xml:space="preserve">svy_std_risk()</w:t>
            </w:r>
          </w:p>
        </w:tc>
        <w:tc>
          <w:tcPr/>
          <w:p>
            <w:pPr>
              <w:pStyle w:val="Compact"/>
            </w:pPr>
            <w:r>
              <w:t xml:space="preserve">marginaleffects::avg_comparisons()</w:t>
            </w:r>
          </w:p>
        </w:tc>
        <w:tc>
          <w:tcPr/>
          <w:p>
            <w:pPr>
              <w:pStyle w:val="Compact"/>
            </w:pPr>
            <w:r>
              <w:t xml:space="preserve">Absolute difference</w:t>
            </w:r>
          </w:p>
        </w:tc>
        <w:tc>
          <w:tcPr/>
          <w:p>
            <w:pPr>
              <w:pStyle w:val="Compact"/>
            </w:pPr>
            <w:r>
              <w:t xml:space="preserve">Agreement</w:t>
            </w:r>
          </w:p>
        </w:tc>
      </w:tr>
      <w:tr>
        <w:tc>
          <w:tcPr/>
          <w:p>
            <w:pPr>
              <w:pStyle w:val="Compact"/>
            </w:pPr>
            <w:r>
              <w:t xml:space="preserve">Adjusted risk difference (percentage points)</w:t>
            </w:r>
          </w:p>
        </w:tc>
        <w:tc>
          <w:tcPr/>
          <w:p>
            <w:pPr>
              <w:pStyle w:val="Compact"/>
            </w:pPr>
            <w:r>
              <w:t xml:space="preserve">8.2153</w:t>
            </w:r>
          </w:p>
        </w:tc>
        <w:tc>
          <w:tcPr/>
          <w:p>
            <w:pPr>
              <w:pStyle w:val="Compact"/>
            </w:pPr>
            <w:r>
              <w:t xml:space="preserve">8.2153</w:t>
            </w:r>
          </w:p>
        </w:tc>
        <w:tc>
          <w:tcPr/>
          <w:p>
            <w:pPr>
              <w:pStyle w:val="Compact"/>
            </w:pPr>
            <w:r>
              <w:t xml:space="preserve">0.000000</w:t>
            </w:r>
          </w:p>
        </w:tc>
        <w:tc>
          <w:tcPr/>
          <w:p>
            <w:pPr>
              <w:pStyle w:val="Compact"/>
            </w:pPr>
            <w:r>
              <w:t xml:space="preserve">AGREE (to three decimal places on the probability scale)</w:t>
            </w:r>
          </w:p>
        </w:tc>
      </w:tr>
    </w:tbl>
    <w:p>
      <w:pPr>
        <w:pStyle w:val="BodyText"/>
      </w:pPr>
      <w:r>
        <w:t xml:space="preserve"> </w:t>
      </w:r>
    </w:p>
    <w:p>
      <w:pPr>
        <w:pStyle w:val="TableCaption"/>
      </w:pPr>
      <w:r>
        <w:t xml:space="preserve">Table 3e. Covariate balance before and after overlap weighting.</w:t>
      </w:r>
    </w:p>
    <w:tbl>
      <w:tblPr>
        <w:tblStyle w:val="Table"/>
        <w:tblW w:type="pct" w:w="5000"/>
        <w:tblLayout w:type="fixed"/>
        <w:tblLook w:firstRow="1" w:lastRow="0" w:firstColumn="0" w:lastColumn="0" w:noHBand="0" w:noVBand="0" w:val="0020"/>
        <w:tblCaption w:val="Table 3e. Covariate balance before and after overlap weighting."/>
      </w:tblPr>
      <w:tblGrid>
        <w:gridCol w:w="3985"/>
        <w:gridCol w:w="1109"/>
        <w:gridCol w:w="1059"/>
        <w:gridCol w:w="1765"/>
      </w:tblGrid>
      <w:tr>
        <w:trPr>
          <w:tblHeader w:val="on"/>
        </w:trPr>
        <w:tc>
          <w:tcPr/>
          <w:p>
            <w:pPr>
              <w:pStyle w:val="Compact"/>
            </w:pPr>
            <w:r>
              <w:t xml:space="preserve">Variable</w:t>
            </w:r>
          </w:p>
        </w:tc>
        <w:tc>
          <w:tcPr/>
          <w:p>
            <w:pPr>
              <w:pStyle w:val="Compact"/>
            </w:pPr>
            <w:r>
              <w:t xml:space="preserve">SMD before weighting</w:t>
            </w:r>
          </w:p>
        </w:tc>
        <w:tc>
          <w:tcPr/>
          <w:p>
            <w:pPr>
              <w:pStyle w:val="Compact"/>
            </w:pPr>
            <w:r>
              <w:t xml:space="preserve">SMD after weighting</w:t>
            </w:r>
          </w:p>
        </w:tc>
        <w:tc>
          <w:tcPr/>
          <w:p>
            <w:pPr>
              <w:pStyle w:val="Compact"/>
            </w:pPr>
            <w:r>
              <w:t xml:space="preserve">Balanced (|SMD| &lt; 0.10)</w:t>
            </w:r>
          </w:p>
        </w:tc>
      </w:tr>
      <w:tr>
        <w:tc>
          <w:tcPr/>
          <w:p>
            <w:pPr>
              <w:pStyle w:val="Compact"/>
            </w:pPr>
            <w:r>
              <w:t xml:space="preserve">Age, years</w:t>
            </w:r>
          </w:p>
        </w:tc>
        <w:tc>
          <w:tcPr/>
          <w:p>
            <w:pPr>
              <w:pStyle w:val="Compact"/>
            </w:pPr>
            <w:r>
              <w:t xml:space="preserve">0.587</w:t>
            </w:r>
          </w:p>
        </w:tc>
        <w:tc>
          <w:tcPr/>
          <w:p>
            <w:pPr>
              <w:pStyle w:val="Compact"/>
            </w:pPr>
            <w:r>
              <w:t xml:space="preserve">0.000</w:t>
            </w:r>
          </w:p>
        </w:tc>
        <w:tc>
          <w:tcPr/>
          <w:p>
            <w:pPr>
              <w:pStyle w:val="Compact"/>
            </w:pPr>
            <w:r>
              <w:t xml:space="preserve">Yes</w:t>
            </w:r>
          </w:p>
        </w:tc>
      </w:tr>
      <w:tr>
        <w:tc>
          <w:tcPr/>
          <w:p>
            <w:pPr>
              <w:pStyle w:val="Compact"/>
            </w:pPr>
            <w:r>
              <w:t xml:space="preserve">Sex</w:t>
            </w:r>
          </w:p>
        </w:tc>
        <w:tc>
          <w:tcPr/>
          <w:p>
            <w:pPr>
              <w:pStyle w:val="Compact"/>
            </w:pPr>
            <w:r>
              <w:t xml:space="preserve">0.144</w:t>
            </w:r>
          </w:p>
        </w:tc>
        <w:tc>
          <w:tcPr/>
          <w:p>
            <w:pPr>
              <w:pStyle w:val="Compact"/>
            </w:pPr>
            <w:r>
              <w:t xml:space="preserve">0.000</w:t>
            </w:r>
          </w:p>
        </w:tc>
        <w:tc>
          <w:tcPr/>
          <w:p>
            <w:pPr>
              <w:pStyle w:val="Compact"/>
            </w:pPr>
            <w:r>
              <w:t xml:space="preserve">Yes</w:t>
            </w:r>
          </w:p>
        </w:tc>
      </w:tr>
      <w:tr>
        <w:tc>
          <w:tcPr/>
          <w:p>
            <w:pPr>
              <w:pStyle w:val="Compact"/>
            </w:pPr>
            <w:r>
              <w:t xml:space="preserve">Primary expected payer</w:t>
            </w:r>
          </w:p>
        </w:tc>
        <w:tc>
          <w:tcPr/>
          <w:p>
            <w:pPr>
              <w:pStyle w:val="Compact"/>
            </w:pPr>
            <w:r>
              <w:t xml:space="preserve">suppressed</w:t>
            </w:r>
          </w:p>
        </w:tc>
        <w:tc>
          <w:tcPr/>
          <w:p>
            <w:pPr>
              <w:pStyle w:val="Compact"/>
            </w:pPr>
            <w:r>
              <w:t xml:space="preserve">suppressed</w:t>
            </w:r>
          </w:p>
        </w:tc>
        <w:tc>
          <w:tcPr/>
          <w:p>
            <w:pPr>
              <w:pStyle w:val="Compact"/>
            </w:pPr>
            <w:r>
              <w:t xml:space="preserve">suppressed</w:t>
            </w:r>
          </w:p>
        </w:tc>
      </w:tr>
      <w:tr>
        <w:tc>
          <w:tcPr/>
          <w:p>
            <w:pPr>
              <w:pStyle w:val="Compact"/>
            </w:pPr>
            <w:r>
              <w:t xml:space="preserve">Median household income quartile (patient ZIP code)</w:t>
            </w:r>
          </w:p>
        </w:tc>
        <w:tc>
          <w:tcPr/>
          <w:p>
            <w:pPr>
              <w:pStyle w:val="Compact"/>
            </w:pPr>
            <w:r>
              <w:t xml:space="preserve">0.142</w:t>
            </w:r>
          </w:p>
        </w:tc>
        <w:tc>
          <w:tcPr/>
          <w:p>
            <w:pPr>
              <w:pStyle w:val="Compact"/>
            </w:pPr>
            <w:r>
              <w:t xml:space="preserve">0.000</w:t>
            </w:r>
          </w:p>
        </w:tc>
        <w:tc>
          <w:tcPr/>
          <w:p>
            <w:pPr>
              <w:pStyle w:val="Compact"/>
            </w:pPr>
            <w:r>
              <w:t xml:space="preserve">Yes</w:t>
            </w:r>
          </w:p>
        </w:tc>
      </w:tr>
      <w:tr>
        <w:tc>
          <w:tcPr/>
          <w:p>
            <w:pPr>
              <w:pStyle w:val="Compact"/>
            </w:pPr>
            <w:r>
              <w:t xml:space="preserve">Patient residence (NCHS urban-rural classification)</w:t>
            </w:r>
          </w:p>
        </w:tc>
        <w:tc>
          <w:tcPr/>
          <w:p>
            <w:pPr>
              <w:pStyle w:val="Compact"/>
            </w:pPr>
            <w:r>
              <w:t xml:space="preserve">suppressed</w:t>
            </w:r>
          </w:p>
        </w:tc>
        <w:tc>
          <w:tcPr/>
          <w:p>
            <w:pPr>
              <w:pStyle w:val="Compact"/>
            </w:pPr>
            <w:r>
              <w:t xml:space="preserve">suppressed</w:t>
            </w:r>
          </w:p>
        </w:tc>
        <w:tc>
          <w:tcPr/>
          <w:p>
            <w:pPr>
              <w:pStyle w:val="Compact"/>
            </w:pPr>
            <w:r>
              <w:t xml:space="preserve">suppressed</w:t>
            </w:r>
          </w:p>
        </w:tc>
      </w:tr>
      <w:tr>
        <w:tc>
          <w:tcPr/>
          <w:p>
            <w:pPr>
              <w:pStyle w:val="Compact"/>
            </w:pPr>
            <w:r>
              <w:t xml:space="preserve">Admission type</w:t>
            </w:r>
          </w:p>
        </w:tc>
        <w:tc>
          <w:tcPr/>
          <w:p>
            <w:pPr>
              <w:pStyle w:val="Compact"/>
            </w:pPr>
            <w:r>
              <w:t xml:space="preserve">0.106</w:t>
            </w:r>
          </w:p>
        </w:tc>
        <w:tc>
          <w:tcPr/>
          <w:p>
            <w:pPr>
              <w:pStyle w:val="Compact"/>
            </w:pPr>
            <w:r>
              <w:t xml:space="preserve">0.000</w:t>
            </w:r>
          </w:p>
        </w:tc>
        <w:tc>
          <w:tcPr/>
          <w:p>
            <w:pPr>
              <w:pStyle w:val="Compact"/>
            </w:pPr>
            <w:r>
              <w:t xml:space="preserve">Yes</w:t>
            </w:r>
          </w:p>
        </w:tc>
      </w:tr>
      <w:tr>
        <w:tc>
          <w:tcPr/>
          <w:p>
            <w:pPr>
              <w:pStyle w:val="Compact"/>
            </w:pPr>
            <w:r>
              <w:t xml:space="preserve">Hospital location and teaching status</w:t>
            </w:r>
          </w:p>
        </w:tc>
        <w:tc>
          <w:tcPr/>
          <w:p>
            <w:pPr>
              <w:pStyle w:val="Compact"/>
            </w:pPr>
            <w:r>
              <w:t xml:space="preserve">0.059</w:t>
            </w:r>
          </w:p>
        </w:tc>
        <w:tc>
          <w:tcPr/>
          <w:p>
            <w:pPr>
              <w:pStyle w:val="Compact"/>
            </w:pPr>
            <w:r>
              <w:t xml:space="preserve">0.000</w:t>
            </w:r>
          </w:p>
        </w:tc>
        <w:tc>
          <w:tcPr/>
          <w:p>
            <w:pPr>
              <w:pStyle w:val="Compact"/>
            </w:pPr>
            <w:r>
              <w:t xml:space="preserve">Yes</w:t>
            </w:r>
          </w:p>
        </w:tc>
      </w:tr>
      <w:tr>
        <w:tc>
          <w:tcPr/>
          <w:p>
            <w:pPr>
              <w:pStyle w:val="Compact"/>
            </w:pPr>
            <w:r>
              <w:t xml:space="preserve">Hospital bed size</w:t>
            </w:r>
          </w:p>
        </w:tc>
        <w:tc>
          <w:tcPr/>
          <w:p>
            <w:pPr>
              <w:pStyle w:val="Compact"/>
            </w:pPr>
            <w:r>
              <w:t xml:space="preserve">0.041</w:t>
            </w:r>
          </w:p>
        </w:tc>
        <w:tc>
          <w:tcPr/>
          <w:p>
            <w:pPr>
              <w:pStyle w:val="Compact"/>
            </w:pPr>
            <w:r>
              <w:t xml:space="preserve">0.000</w:t>
            </w:r>
          </w:p>
        </w:tc>
        <w:tc>
          <w:tcPr/>
          <w:p>
            <w:pPr>
              <w:pStyle w:val="Compact"/>
            </w:pPr>
            <w:r>
              <w:t xml:space="preserve">Yes</w:t>
            </w:r>
          </w:p>
        </w:tc>
      </w:tr>
      <w:tr>
        <w:tc>
          <w:tcPr/>
          <w:p>
            <w:pPr>
              <w:pStyle w:val="Compact"/>
            </w:pPr>
            <w:r>
              <w:t xml:space="preserve">Discharge year</w:t>
            </w:r>
          </w:p>
        </w:tc>
        <w:tc>
          <w:tcPr/>
          <w:p>
            <w:pPr>
              <w:pStyle w:val="Compact"/>
            </w:pPr>
            <w:r>
              <w:t xml:space="preserve">0.114</w:t>
            </w:r>
          </w:p>
        </w:tc>
        <w:tc>
          <w:tcPr/>
          <w:p>
            <w:pPr>
              <w:pStyle w:val="Compact"/>
            </w:pPr>
            <w:r>
              <w:t xml:space="preserve">0.000</w:t>
            </w:r>
          </w:p>
        </w:tc>
        <w:tc>
          <w:tcPr/>
          <w:p>
            <w:pPr>
              <w:pStyle w:val="Compact"/>
            </w:pPr>
            <w:r>
              <w:t xml:space="preserve">Yes</w:t>
            </w:r>
          </w:p>
        </w:tc>
      </w:tr>
      <w:tr>
        <w:tc>
          <w:tcPr/>
          <w:p>
            <w:pPr>
              <w:pStyle w:val="Compact"/>
            </w:pPr>
            <w:r>
              <w:t xml:space="preserve">Hospital LAAO volume tertile (within year)</w:t>
            </w:r>
          </w:p>
        </w:tc>
        <w:tc>
          <w:tcPr/>
          <w:p>
            <w:pPr>
              <w:pStyle w:val="Compact"/>
            </w:pPr>
            <w:r>
              <w:t xml:space="preserve">0.084</w:t>
            </w:r>
          </w:p>
        </w:tc>
        <w:tc>
          <w:tcPr/>
          <w:p>
            <w:pPr>
              <w:pStyle w:val="Compact"/>
            </w:pPr>
            <w:r>
              <w:t xml:space="preserve">0.000</w:t>
            </w:r>
          </w:p>
        </w:tc>
        <w:tc>
          <w:tcPr/>
          <w:p>
            <w:pPr>
              <w:pStyle w:val="Compact"/>
            </w:pPr>
            <w:r>
              <w:t xml:space="preserve">Yes</w:t>
            </w:r>
          </w:p>
        </w:tc>
      </w:tr>
      <w:tr>
        <w:tc>
          <w:tcPr/>
          <w:p>
            <w:pPr>
              <w:pStyle w:val="Compact"/>
            </w:pPr>
            <w:r>
              <w:t xml:space="preserve">Congestive heart failure</w:t>
            </w:r>
          </w:p>
        </w:tc>
        <w:tc>
          <w:tcPr/>
          <w:p>
            <w:pPr>
              <w:pStyle w:val="Compact"/>
            </w:pPr>
            <w:r>
              <w:t xml:space="preserve">0.468</w:t>
            </w:r>
          </w:p>
        </w:tc>
        <w:tc>
          <w:tcPr/>
          <w:p>
            <w:pPr>
              <w:pStyle w:val="Compact"/>
            </w:pPr>
            <w:r>
              <w:t xml:space="preserve">0.000</w:t>
            </w:r>
          </w:p>
        </w:tc>
        <w:tc>
          <w:tcPr/>
          <w:p>
            <w:pPr>
              <w:pStyle w:val="Compact"/>
            </w:pPr>
            <w:r>
              <w:t xml:space="preserve">Yes</w:t>
            </w:r>
          </w:p>
        </w:tc>
      </w:tr>
      <w:tr>
        <w:tc>
          <w:tcPr/>
          <w:p>
            <w:pPr>
              <w:pStyle w:val="Compact"/>
            </w:pPr>
            <w:r>
              <w:t xml:space="preserve">Hypertension</w:t>
            </w:r>
          </w:p>
        </w:tc>
        <w:tc>
          <w:tcPr/>
          <w:p>
            <w:pPr>
              <w:pStyle w:val="Compact"/>
            </w:pPr>
            <w:r>
              <w:t xml:space="preserve">0.331</w:t>
            </w:r>
          </w:p>
        </w:tc>
        <w:tc>
          <w:tcPr/>
          <w:p>
            <w:pPr>
              <w:pStyle w:val="Compact"/>
            </w:pPr>
            <w:r>
              <w:t xml:space="preserve">0.000</w:t>
            </w:r>
          </w:p>
        </w:tc>
        <w:tc>
          <w:tcPr/>
          <w:p>
            <w:pPr>
              <w:pStyle w:val="Compact"/>
            </w:pPr>
            <w:r>
              <w:t xml:space="preserve">Yes</w:t>
            </w:r>
          </w:p>
        </w:tc>
      </w:tr>
      <w:tr>
        <w:tc>
          <w:tcPr/>
          <w:p>
            <w:pPr>
              <w:pStyle w:val="Compact"/>
            </w:pPr>
            <w:r>
              <w:t xml:space="preserve">Diabetes mellitus</w:t>
            </w:r>
          </w:p>
        </w:tc>
        <w:tc>
          <w:tcPr/>
          <w:p>
            <w:pPr>
              <w:pStyle w:val="Compact"/>
            </w:pPr>
            <w:r>
              <w:t xml:space="preserve">0.636</w:t>
            </w:r>
          </w:p>
        </w:tc>
        <w:tc>
          <w:tcPr/>
          <w:p>
            <w:pPr>
              <w:pStyle w:val="Compact"/>
            </w:pPr>
            <w:r>
              <w:t xml:space="preserve">0.000</w:t>
            </w:r>
          </w:p>
        </w:tc>
        <w:tc>
          <w:tcPr/>
          <w:p>
            <w:pPr>
              <w:pStyle w:val="Compact"/>
            </w:pPr>
            <w:r>
              <w:t xml:space="preserve">Yes</w:t>
            </w:r>
          </w:p>
        </w:tc>
      </w:tr>
      <w:tr>
        <w:tc>
          <w:tcPr/>
          <w:p>
            <w:pPr>
              <w:pStyle w:val="Compact"/>
            </w:pPr>
            <w:r>
              <w:t xml:space="preserve">Prior stroke, TIA or thromboembolism</w:t>
            </w:r>
          </w:p>
        </w:tc>
        <w:tc>
          <w:tcPr/>
          <w:p>
            <w:pPr>
              <w:pStyle w:val="Compact"/>
            </w:pPr>
            <w:r>
              <w:t xml:space="preserve">0.063</w:t>
            </w:r>
          </w:p>
        </w:tc>
        <w:tc>
          <w:tcPr/>
          <w:p>
            <w:pPr>
              <w:pStyle w:val="Compact"/>
            </w:pPr>
            <w:r>
              <w:t xml:space="preserve">0.000</w:t>
            </w:r>
          </w:p>
        </w:tc>
        <w:tc>
          <w:tcPr/>
          <w:p>
            <w:pPr>
              <w:pStyle w:val="Compact"/>
            </w:pPr>
            <w:r>
              <w:t xml:space="preserve">Yes</w:t>
            </w:r>
          </w:p>
        </w:tc>
      </w:tr>
      <w:tr>
        <w:tc>
          <w:tcPr/>
          <w:p>
            <w:pPr>
              <w:pStyle w:val="Compact"/>
            </w:pPr>
            <w:r>
              <w:t xml:space="preserve">Vascular disease (peripheral arterial, aortic or prior myocardial infarction)</w:t>
            </w:r>
          </w:p>
        </w:tc>
        <w:tc>
          <w:tcPr/>
          <w:p>
            <w:pPr>
              <w:pStyle w:val="Compact"/>
            </w:pPr>
            <w:r>
              <w:t xml:space="preserve">0.253</w:t>
            </w:r>
          </w:p>
        </w:tc>
        <w:tc>
          <w:tcPr/>
          <w:p>
            <w:pPr>
              <w:pStyle w:val="Compact"/>
            </w:pPr>
            <w:r>
              <w:t xml:space="preserve">0.000</w:t>
            </w:r>
          </w:p>
        </w:tc>
        <w:tc>
          <w:tcPr/>
          <w:p>
            <w:pPr>
              <w:pStyle w:val="Compact"/>
            </w:pPr>
            <w:r>
              <w:t xml:space="preserve">Yes</w:t>
            </w:r>
          </w:p>
        </w:tc>
      </w:tr>
      <w:tr>
        <w:tc>
          <w:tcPr/>
          <w:p>
            <w:pPr>
              <w:pStyle w:val="Compact"/>
            </w:pPr>
            <w:r>
              <w:t xml:space="preserve">Prior major bleeding</w:t>
            </w:r>
          </w:p>
        </w:tc>
        <w:tc>
          <w:tcPr/>
          <w:p>
            <w:pPr>
              <w:pStyle w:val="Compact"/>
            </w:pPr>
            <w:r>
              <w:t xml:space="preserve">0.109</w:t>
            </w:r>
          </w:p>
        </w:tc>
        <w:tc>
          <w:tcPr/>
          <w:p>
            <w:pPr>
              <w:pStyle w:val="Compact"/>
            </w:pPr>
            <w:r>
              <w:t xml:space="preserve">0.000</w:t>
            </w:r>
          </w:p>
        </w:tc>
        <w:tc>
          <w:tcPr/>
          <w:p>
            <w:pPr>
              <w:pStyle w:val="Compact"/>
            </w:pPr>
            <w:r>
              <w:t xml:space="preserve">Yes</w:t>
            </w:r>
          </w:p>
        </w:tc>
      </w:tr>
      <w:tr>
        <w:tc>
          <w:tcPr/>
          <w:p>
            <w:pPr>
              <w:pStyle w:val="Compact"/>
            </w:pPr>
            <w:r>
              <w:t xml:space="preserve">Liver disease</w:t>
            </w:r>
          </w:p>
        </w:tc>
        <w:tc>
          <w:tcPr/>
          <w:p>
            <w:pPr>
              <w:pStyle w:val="Compact"/>
            </w:pPr>
            <w:r>
              <w:t xml:space="preserve">0.121</w:t>
            </w:r>
          </w:p>
        </w:tc>
        <w:tc>
          <w:tcPr/>
          <w:p>
            <w:pPr>
              <w:pStyle w:val="Compact"/>
            </w:pPr>
            <w:r>
              <w:t xml:space="preserve">0.000</w:t>
            </w:r>
          </w:p>
        </w:tc>
        <w:tc>
          <w:tcPr/>
          <w:p>
            <w:pPr>
              <w:pStyle w:val="Compact"/>
            </w:pPr>
            <w:r>
              <w:t xml:space="preserve">Yes</w:t>
            </w:r>
          </w:p>
        </w:tc>
      </w:tr>
      <w:tr>
        <w:tc>
          <w:tcPr/>
          <w:p>
            <w:pPr>
              <w:pStyle w:val="Compact"/>
            </w:pPr>
            <w:r>
              <w:t xml:space="preserve">Alcohol use disorder</w:t>
            </w:r>
          </w:p>
        </w:tc>
        <w:tc>
          <w:tcPr/>
          <w:p>
            <w:pPr>
              <w:pStyle w:val="Compact"/>
            </w:pPr>
            <w:r>
              <w:t xml:space="preserve">0.007</w:t>
            </w:r>
          </w:p>
        </w:tc>
        <w:tc>
          <w:tcPr/>
          <w:p>
            <w:pPr>
              <w:pStyle w:val="Compact"/>
            </w:pPr>
            <w:r>
              <w:t xml:space="preserve">0.000</w:t>
            </w:r>
          </w:p>
        </w:tc>
        <w:tc>
          <w:tcPr/>
          <w:p>
            <w:pPr>
              <w:pStyle w:val="Compact"/>
            </w:pPr>
            <w:r>
              <w:t xml:space="preserve">Yes</w:t>
            </w:r>
          </w:p>
        </w:tc>
      </w:tr>
      <w:tr>
        <w:tc>
          <w:tcPr/>
          <w:p>
            <w:pPr>
              <w:pStyle w:val="Compact"/>
            </w:pPr>
            <w:r>
              <w:t xml:space="preserve">Anaemia (deficiency or blood-loss)</w:t>
            </w:r>
          </w:p>
        </w:tc>
        <w:tc>
          <w:tcPr/>
          <w:p>
            <w:pPr>
              <w:pStyle w:val="Compact"/>
            </w:pPr>
            <w:r>
              <w:t xml:space="preserve">0.030</w:t>
            </w:r>
          </w:p>
        </w:tc>
        <w:tc>
          <w:tcPr/>
          <w:p>
            <w:pPr>
              <w:pStyle w:val="Compact"/>
            </w:pPr>
            <w:r>
              <w:t xml:space="preserve">0.000</w:t>
            </w:r>
          </w:p>
        </w:tc>
        <w:tc>
          <w:tcPr/>
          <w:p>
            <w:pPr>
              <w:pStyle w:val="Compact"/>
            </w:pPr>
            <w:r>
              <w:t xml:space="preserve">Yes</w:t>
            </w:r>
          </w:p>
        </w:tc>
      </w:tr>
      <w:tr>
        <w:tc>
          <w:tcPr/>
          <w:p>
            <w:pPr>
              <w:pStyle w:val="Compact"/>
            </w:pPr>
            <w:r>
              <w:t xml:space="preserve">Residual Elixhauser comorbidity count</w:t>
            </w:r>
          </w:p>
        </w:tc>
        <w:tc>
          <w:tcPr/>
          <w:p>
            <w:pPr>
              <w:pStyle w:val="Compact"/>
            </w:pPr>
            <w:r>
              <w:t xml:space="preserve">0.321</w:t>
            </w:r>
          </w:p>
        </w:tc>
        <w:tc>
          <w:tcPr/>
          <w:p>
            <w:pPr>
              <w:pStyle w:val="Compact"/>
            </w:pPr>
            <w:r>
              <w:t xml:space="preserve">0.000</w:t>
            </w:r>
          </w:p>
        </w:tc>
        <w:tc>
          <w:tcPr/>
          <w:p>
            <w:pPr>
              <w:pStyle w:val="Compact"/>
            </w:pPr>
            <w:r>
              <w:t xml:space="preserve">Yes</w:t>
            </w:r>
          </w:p>
        </w:tc>
      </w:tr>
    </w:tbl>
    <w:p>
      <w:pPr>
        <w:pStyle w:val="CaptionedFigure"/>
      </w:pPr>
      <w:r>
        <w:drawing>
          <wp:inline>
            <wp:extent cx="5334000" cy="4140386"/>
            <wp:effectExtent b="0" l="0" r="0" t="0"/>
            <wp:docPr descr="Figure S2. Adjusted 30-day readmission risk across age, by exposure." title="" id="26" name="Picture"/>
            <a:graphic>
              <a:graphicData uri="http://schemas.openxmlformats.org/drawingml/2006/picture">
                <pic:pic>
                  <pic:nvPicPr>
                    <pic:cNvPr descr="C:/Users/saada/Documents/Biostatistics/AliFam-Nerds/RCOP_NRD/NRD_Saad_LAAO_ESKD/figures/FigureS2_age_spline.png" id="27" name="Picture"/>
                    <pic:cNvPicPr>
                      <a:picLocks noChangeArrowheads="1" noChangeAspect="1"/>
                    </pic:cNvPicPr>
                  </pic:nvPicPr>
                  <pic:blipFill>
                    <a:blip r:embed="rId25"/>
                    <a:stretch>
                      <a:fillRect/>
                    </a:stretch>
                  </pic:blipFill>
                  <pic:spPr bwMode="auto">
                    <a:xfrm>
                      <a:off x="0" y="0"/>
                      <a:ext cx="5334000" cy="4140386"/>
                    </a:xfrm>
                    <a:prstGeom prst="rect">
                      <a:avLst/>
                    </a:prstGeom>
                    <a:noFill/>
                    <a:ln w="9525">
                      <a:noFill/>
                      <a:headEnd/>
                      <a:tailEnd/>
                    </a:ln>
                  </pic:spPr>
                </pic:pic>
              </a:graphicData>
            </a:graphic>
          </wp:inline>
        </w:drawing>
      </w:r>
    </w:p>
    <w:p>
      <w:pPr>
        <w:pStyle w:val="ImageCaption"/>
      </w:pPr>
      <w:r>
        <w:t xml:space="preserve">Figure S2. Adjusted 30-day readmission risk across age, by exposure.</w:t>
      </w:r>
    </w:p>
    <w:p>
      <w:pPr>
        <w:pStyle w:val="CaptionedFigure"/>
      </w:pPr>
      <w:r>
        <w:drawing>
          <wp:inline>
            <wp:extent cx="5334000" cy="4889500"/>
            <wp:effectExtent b="0" l="0" r="0" t="0"/>
            <wp:docPr descr="Figure S3. Covariate balance before and after overlap weighting." title="" id="29" name="Picture"/>
            <a:graphic>
              <a:graphicData uri="http://schemas.openxmlformats.org/drawingml/2006/picture">
                <pic:pic>
                  <pic:nvPicPr>
                    <pic:cNvPr descr="C:/Users/saada/Documents/Biostatistics/AliFam-Nerds/RCOP_NRD/NRD_Saad_LAAO_ESKD/figures/FigureS3_covariate_balance.png" id="30" name="Picture"/>
                    <pic:cNvPicPr>
                      <a:picLocks noChangeArrowheads="1" noChangeAspect="1"/>
                    </pic:cNvPicPr>
                  </pic:nvPicPr>
                  <pic:blipFill>
                    <a:blip r:embed="rId28"/>
                    <a:stretch>
                      <a:fillRect/>
                    </a:stretch>
                  </pic:blipFill>
                  <pic:spPr bwMode="auto">
                    <a:xfrm>
                      <a:off x="0" y="0"/>
                      <a:ext cx="5334000" cy="4889500"/>
                    </a:xfrm>
                    <a:prstGeom prst="rect">
                      <a:avLst/>
                    </a:prstGeom>
                    <a:noFill/>
                    <a:ln w="9525">
                      <a:noFill/>
                      <a:headEnd/>
                      <a:tailEnd/>
                    </a:ln>
                  </pic:spPr>
                </pic:pic>
              </a:graphicData>
            </a:graphic>
          </wp:inline>
        </w:drawing>
      </w:r>
    </w:p>
    <w:p>
      <w:pPr>
        <w:pStyle w:val="ImageCaption"/>
      </w:pPr>
      <w:r>
        <w:t xml:space="preserve">Figure S3. Covariate balance before and after overlap weighting.</w:t>
      </w:r>
    </w:p>
    <w:bookmarkEnd w:id="31"/>
    <w:bookmarkStart w:id="35" w:name="sequential-adjustment"/>
    <w:p>
      <w:pPr>
        <w:pStyle w:val="Heading2"/>
      </w:pPr>
      <w:r>
        <w:t xml:space="preserve">4.4 Sequential adjustment</w:t>
      </w:r>
    </w:p>
    <w:p>
      <w:pPr>
        <w:pStyle w:val="TableCaption"/>
      </w:pPr>
      <w:r>
        <w:t xml:space="preserve">Table 4. Sequential covariate adjustment, exposure estimate only.</w:t>
      </w:r>
    </w:p>
    <w:tbl>
      <w:tblPr>
        <w:tblStyle w:val="Table"/>
        <w:tblW w:type="pct" w:w="5000"/>
        <w:tblLayout w:type="fixed"/>
        <w:tblLook w:firstRow="1" w:lastRow="0" w:firstColumn="0" w:lastColumn="0" w:noHBand="0" w:noVBand="0" w:val="0020"/>
        <w:tblCaption w:val="Table 4. Sequential covariate adjustment, exposure estimate only."/>
      </w:tblPr>
      <w:tblGrid>
        <w:gridCol w:w="4075"/>
        <w:gridCol w:w="845"/>
        <w:gridCol w:w="346"/>
        <w:gridCol w:w="1499"/>
        <w:gridCol w:w="1153"/>
      </w:tblGrid>
      <w:tr>
        <w:trPr>
          <w:tblHeader w:val="on"/>
        </w:trPr>
        <w:tc>
          <w:tcPr/>
          <w:p>
            <w:pPr>
              <w:pStyle w:val="Compact"/>
            </w:pPr>
            <w:r>
              <w:t xml:space="preserve">Analysis</w:t>
            </w:r>
          </w:p>
        </w:tc>
        <w:tc>
          <w:tcPr/>
          <w:p>
            <w:pPr>
              <w:pStyle w:val="Compact"/>
            </w:pPr>
            <w:r>
              <w:t xml:space="preserve">Adjusted OR (95% CI)</w:t>
            </w:r>
          </w:p>
        </w:tc>
        <w:tc>
          <w:tcPr/>
          <w:p>
            <w:pPr>
              <w:pStyle w:val="Compact"/>
            </w:pPr>
            <w:r>
              <w:t xml:space="preserve">p value</w:t>
            </w:r>
          </w:p>
        </w:tc>
        <w:tc>
          <w:tcPr/>
          <w:p>
            <w:pPr>
              <w:pStyle w:val="Compact"/>
            </w:pPr>
            <w:r>
              <w:t xml:space="preserve">Adjusted risk difference, pp (95% CI)</w:t>
            </w:r>
          </w:p>
        </w:tc>
        <w:tc>
          <w:tcPr/>
          <w:p>
            <w:pPr>
              <w:pStyle w:val="Compact"/>
            </w:pPr>
            <w:r>
              <w:t xml:space="preserve">Adjusted risk ratio (95% CI)</w:t>
            </w:r>
          </w:p>
        </w:tc>
      </w:tr>
      <w:tr>
        <w:tc>
          <w:tcPr/>
          <w:p>
            <w:pPr>
              <w:pStyle w:val="Compact"/>
            </w:pPr>
            <w:r>
              <w:t xml:space="preserve">Model 1: unadjusted</w:t>
            </w:r>
          </w:p>
        </w:tc>
        <w:tc>
          <w:tcPr/>
          <w:p>
            <w:pPr>
              <w:pStyle w:val="Compact"/>
            </w:pPr>
            <w:r>
              <w:t xml:space="preserve">2.84 (2.53–3.20)</w:t>
            </w:r>
          </w:p>
        </w:tc>
        <w:tc>
          <w:tcPr/>
          <w:p>
            <w:pPr>
              <w:pStyle w:val="Compact"/>
            </w:pPr>
            <w:r>
              <w:t xml:space="preserve">&lt;0.001</w:t>
            </w:r>
          </w:p>
        </w:tc>
        <w:tc>
          <w:tcPr/>
          <w:p>
            <w:pPr>
              <w:pStyle w:val="Compact"/>
            </w:pPr>
            <w:r>
              <w:t xml:space="preserve">11.31 (9.54–13.07)</w:t>
            </w:r>
          </w:p>
        </w:tc>
        <w:tc>
          <w:tcPr/>
          <w:p>
            <w:pPr>
              <w:pStyle w:val="Compact"/>
            </w:pPr>
            <w:r>
              <w:t xml:space="preserve">2.50 (2.27–2.75)</w:t>
            </w:r>
          </w:p>
        </w:tc>
      </w:tr>
      <w:tr>
        <w:tc>
          <w:tcPr/>
          <w:p>
            <w:pPr>
              <w:pStyle w:val="Compact"/>
            </w:pPr>
            <w:r>
              <w:t xml:space="preserve">Model 2: + demographic and administrative covariates</w:t>
            </w:r>
          </w:p>
        </w:tc>
        <w:tc>
          <w:tcPr/>
          <w:p>
            <w:pPr>
              <w:pStyle w:val="Compact"/>
            </w:pPr>
            <w:r>
              <w:t xml:space="preserve">2.89 (2.57–3.26)</w:t>
            </w:r>
          </w:p>
        </w:tc>
        <w:tc>
          <w:tcPr/>
          <w:p>
            <w:pPr>
              <w:pStyle w:val="Compact"/>
            </w:pPr>
            <w:r>
              <w:t xml:space="preserve">&lt;0.001</w:t>
            </w:r>
          </w:p>
        </w:tc>
        <w:tc>
          <w:tcPr/>
          <w:p>
            <w:pPr>
              <w:pStyle w:val="Compact"/>
            </w:pPr>
            <w:r>
              <w:t xml:space="preserve">11.43 (9.64–13.21)</w:t>
            </w:r>
          </w:p>
        </w:tc>
        <w:tc>
          <w:tcPr/>
          <w:p>
            <w:pPr>
              <w:pStyle w:val="Compact"/>
            </w:pPr>
            <w:r>
              <w:t xml:space="preserve">2.51 (2.28–2.77)</w:t>
            </w:r>
          </w:p>
        </w:tc>
      </w:tr>
      <w:tr>
        <w:tc>
          <w:tcPr/>
          <w:p>
            <w:pPr>
              <w:pStyle w:val="Compact"/>
            </w:pPr>
            <w:r>
              <w:t xml:space="preserve">Model 3: + hospital covariates including LAAO volume</w:t>
            </w:r>
          </w:p>
        </w:tc>
        <w:tc>
          <w:tcPr/>
          <w:p>
            <w:pPr>
              <w:pStyle w:val="Compact"/>
            </w:pPr>
            <w:r>
              <w:t xml:space="preserve">2.84 (2.52–3.21)</w:t>
            </w:r>
          </w:p>
        </w:tc>
        <w:tc>
          <w:tcPr/>
          <w:p>
            <w:pPr>
              <w:pStyle w:val="Compact"/>
            </w:pPr>
            <w:r>
              <w:t xml:space="preserve">&lt;0.001</w:t>
            </w:r>
          </w:p>
        </w:tc>
        <w:tc>
          <w:tcPr/>
          <w:p>
            <w:pPr>
              <w:pStyle w:val="Compact"/>
            </w:pPr>
            <w:r>
              <w:t xml:space="preserve">11.13 (9.36–12.89)</w:t>
            </w:r>
          </w:p>
        </w:tc>
        <w:tc>
          <w:tcPr/>
          <w:p>
            <w:pPr>
              <w:pStyle w:val="Compact"/>
            </w:pPr>
            <w:r>
              <w:t xml:space="preserve">2.47 (2.24–2.73)</w:t>
            </w:r>
          </w:p>
        </w:tc>
      </w:tr>
      <w:tr>
        <w:tc>
          <w:tcPr/>
          <w:p>
            <w:pPr>
              <w:pStyle w:val="Compact"/>
            </w:pPr>
            <w:r>
              <w:t xml:space="preserve">Model 4: + clinical-score covariate block (PRIMARY MODEL)</w:t>
            </w:r>
          </w:p>
        </w:tc>
        <w:tc>
          <w:tcPr/>
          <w:p>
            <w:pPr>
              <w:pStyle w:val="Compact"/>
            </w:pPr>
            <w:r>
              <w:t xml:space="preserve">2.34 (2.07–2.65)</w:t>
            </w:r>
          </w:p>
        </w:tc>
        <w:tc>
          <w:tcPr/>
          <w:p>
            <w:pPr>
              <w:pStyle w:val="Compact"/>
            </w:pPr>
            <w:r>
              <w:t xml:space="preserve">&lt;0.001</w:t>
            </w:r>
          </w:p>
        </w:tc>
        <w:tc>
          <w:tcPr/>
          <w:p>
            <w:pPr>
              <w:pStyle w:val="Compact"/>
            </w:pPr>
            <w:r>
              <w:t xml:space="preserve">8.22 (6.66–9.77)</w:t>
            </w:r>
          </w:p>
        </w:tc>
        <w:tc>
          <w:tcPr/>
          <w:p>
            <w:pPr>
              <w:pStyle w:val="Compact"/>
            </w:pPr>
            <w:r>
              <w:t xml:space="preserve">2.08 (1.88–2.30)</w:t>
            </w:r>
          </w:p>
        </w:tc>
      </w:tr>
      <w:tr>
        <w:tc>
          <w:tcPr/>
          <w:p>
            <w:pPr>
              <w:pStyle w:val="Compact"/>
            </w:pPr>
            <w:r>
              <w:t xml:space="preserve">Model 5: + mediators (length of stay, discharge disposition) – OVER-ADJUSTED, not the adjusted estimate</w:t>
            </w:r>
          </w:p>
        </w:tc>
        <w:tc>
          <w:tcPr/>
          <w:p>
            <w:pPr>
              <w:pStyle w:val="Compact"/>
            </w:pPr>
            <w:r>
              <w:t xml:space="preserve">2.30 (2.03–2.61)</w:t>
            </w:r>
          </w:p>
        </w:tc>
        <w:tc>
          <w:tcPr/>
          <w:p>
            <w:pPr>
              <w:pStyle w:val="Compact"/>
            </w:pPr>
            <w:r>
              <w:t xml:space="preserve">&lt;0.001</w:t>
            </w:r>
          </w:p>
        </w:tc>
        <w:tc>
          <w:tcPr/>
          <w:p>
            <w:pPr>
              <w:pStyle w:val="Compact"/>
            </w:pPr>
            <w:r>
              <w:t xml:space="preserve">7.98 (6.42–9.53)</w:t>
            </w:r>
          </w:p>
        </w:tc>
        <w:tc>
          <w:tcPr/>
          <w:p>
            <w:pPr>
              <w:pStyle w:val="Compact"/>
            </w:pPr>
            <w:r>
              <w:t xml:space="preserve">2.05 (1.85–2.27)</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Model 4 is the primary specification. Model 5 additionally conditions on length of stay and discharge disposition, which are mediators; the change from Model 4 to Model 5 is attenuation consistent with mediation and is NOT an adjusted estimate.</w:t>
            </w:r>
          </w:p>
        </w:tc>
      </w:tr>
    </w:tbl>
    <w:p>
      <w:pPr>
        <w:pStyle w:val="CaptionedFigure"/>
      </w:pPr>
      <w:r>
        <w:drawing>
          <wp:inline>
            <wp:extent cx="5334000" cy="3348566"/>
            <wp:effectExtent b="0" l="0" r="0" t="0"/>
            <wp:docPr descr="Figure S5. Effect of sequential covariate adjustment." title="" id="33" name="Picture"/>
            <a:graphic>
              <a:graphicData uri="http://schemas.openxmlformats.org/drawingml/2006/picture">
                <pic:pic>
                  <pic:nvPicPr>
                    <pic:cNvPr descr="C:/Users/saada/Documents/Biostatistics/AliFam-Nerds/RCOP_NRD/NRD_Saad_LAAO_ESKD/figures/FigureS5_sequential_adjustment.png" id="34" name="Picture"/>
                    <pic:cNvPicPr>
                      <a:picLocks noChangeArrowheads="1" noChangeAspect="1"/>
                    </pic:cNvPicPr>
                  </pic:nvPicPr>
                  <pic:blipFill>
                    <a:blip r:embed="rId32"/>
                    <a:stretch>
                      <a:fillRect/>
                    </a:stretch>
                  </pic:blipFill>
                  <pic:spPr bwMode="auto">
                    <a:xfrm>
                      <a:off x="0" y="0"/>
                      <a:ext cx="5334000" cy="3348566"/>
                    </a:xfrm>
                    <a:prstGeom prst="rect">
                      <a:avLst/>
                    </a:prstGeom>
                    <a:noFill/>
                    <a:ln w="9525">
                      <a:noFill/>
                      <a:headEnd/>
                      <a:tailEnd/>
                    </a:ln>
                  </pic:spPr>
                </pic:pic>
              </a:graphicData>
            </a:graphic>
          </wp:inline>
        </w:drawing>
      </w:r>
    </w:p>
    <w:p>
      <w:pPr>
        <w:pStyle w:val="ImageCaption"/>
      </w:pPr>
      <w:r>
        <w:t xml:space="preserve">Figure S5. Effect of sequential covariate adjustment.</w:t>
      </w:r>
    </w:p>
    <w:bookmarkEnd w:id="35"/>
    <w:bookmarkStart w:id="39" w:name="secondary-outcomes"/>
    <w:p>
      <w:pPr>
        <w:pStyle w:val="Heading2"/>
      </w:pPr>
      <w:r>
        <w:t xml:space="preserve">4.5 Secondary outcomes</w:t>
      </w:r>
    </w:p>
    <w:p>
      <w:pPr>
        <w:pStyle w:val="TableCaption"/>
      </w:pPr>
      <w:r>
        <w:t xml:space="preserve">Table 4b. Secondary outcomes, with Benjamini-Hochberg adjustment within the pre-specified family.</w:t>
      </w:r>
    </w:p>
    <w:tbl>
      <w:tblPr>
        <w:tblStyle w:val="Table"/>
        <w:tblW w:type="pct" w:w="5000"/>
        <w:tblLayout w:type="fixed"/>
        <w:tblLook w:firstRow="1" w:lastRow="0" w:firstColumn="0" w:lastColumn="0" w:noHBand="0" w:noVBand="0" w:val="0020"/>
        <w:tblCaption w:val="Table 4b. Secondary outcomes, with Benjamini-Hochberg adjustment within the pre-specified family."/>
      </w:tblPr>
      <w:tblGrid>
        <w:gridCol w:w="3824"/>
        <w:gridCol w:w="1120"/>
        <w:gridCol w:w="811"/>
        <w:gridCol w:w="1352"/>
        <w:gridCol w:w="347"/>
        <w:gridCol w:w="463"/>
      </w:tblGrid>
      <w:tr>
        <w:trPr>
          <w:tblHeader w:val="on"/>
        </w:trPr>
        <w:tc>
          <w:tcPr/>
          <w:p>
            <w:pPr>
              <w:pStyle w:val="Compact"/>
            </w:pPr>
            <w:r>
              <w:t xml:space="preserve">Secondary outcome</w:t>
            </w:r>
          </w:p>
        </w:tc>
        <w:tc>
          <w:tcPr/>
          <w:p>
            <w:pPr>
              <w:pStyle w:val="Compact"/>
            </w:pPr>
            <w:r>
              <w:t xml:space="preserve">Denominator</w:t>
            </w:r>
          </w:p>
        </w:tc>
        <w:tc>
          <w:tcPr/>
          <w:p>
            <w:pPr>
              <w:pStyle w:val="Compact"/>
            </w:pPr>
            <w:r>
              <w:t xml:space="preserve">Events (unweighted)</w:t>
            </w:r>
          </w:p>
        </w:tc>
        <w:tc>
          <w:tcPr/>
          <w:p>
            <w:pPr>
              <w:pStyle w:val="Compact"/>
            </w:pPr>
            <w:r>
              <w:t xml:space="preserve">Adjusted OR (95% CI)</w:t>
            </w:r>
          </w:p>
        </w:tc>
        <w:tc>
          <w:tcPr/>
          <w:p>
            <w:pPr>
              <w:pStyle w:val="Compact"/>
            </w:pPr>
            <w:r>
              <w:t xml:space="preserve">p value</w:t>
            </w:r>
          </w:p>
        </w:tc>
        <w:tc>
          <w:tcPr/>
          <w:p>
            <w:pPr>
              <w:pStyle w:val="Compact"/>
            </w:pPr>
            <w:r>
              <w:t xml:space="preserve">BH q value</w:t>
            </w:r>
          </w:p>
        </w:tc>
      </w:tr>
      <w:tr>
        <w:tc>
          <w:tcPr/>
          <w:p>
            <w:pPr>
              <w:pStyle w:val="Compact"/>
            </w:pPr>
            <w:r>
              <w:t xml:space="preserve">Bleeding readmission (GI haemorrhage, intracranial haemorrhage or acute posthaemorrhagic anaemia)</w:t>
            </w:r>
          </w:p>
        </w:tc>
        <w:tc>
          <w:tcPr/>
          <w:p>
            <w:pPr>
              <w:pStyle w:val="Compact"/>
            </w:pPr>
            <w:r>
              <w:t xml:space="preserve">Readmitted index admissions</w:t>
            </w:r>
          </w:p>
        </w:tc>
        <w:tc>
          <w:tcPr/>
          <w:p>
            <w:pPr>
              <w:pStyle w:val="Compact"/>
            </w:pPr>
            <w:r>
              <w:t xml:space="preserve">833</w:t>
            </w:r>
          </w:p>
        </w:tc>
        <w:tc>
          <w:tcPr/>
          <w:p>
            <w:pPr>
              <w:pStyle w:val="Compact"/>
            </w:pPr>
            <w:r>
              <w:t xml:space="preserve">1.10 (0.79–1.54)</w:t>
            </w:r>
          </w:p>
        </w:tc>
        <w:tc>
          <w:tcPr/>
          <w:p>
            <w:pPr>
              <w:pStyle w:val="Compact"/>
            </w:pPr>
            <w:r>
              <w:t xml:space="preserve">0.564</w:t>
            </w:r>
          </w:p>
        </w:tc>
        <w:tc>
          <w:tcPr/>
          <w:p>
            <w:pPr>
              <w:pStyle w:val="Compact"/>
            </w:pPr>
            <w:r>
              <w:t xml:space="preserve">0.564</w:t>
            </w:r>
          </w:p>
        </w:tc>
      </w:tr>
      <w:tr>
        <w:tc>
          <w:tcPr/>
          <w:p>
            <w:pPr>
              <w:pStyle w:val="Compact"/>
            </w:pPr>
            <w:r>
              <w:t xml:space="preserve">Ischaemic stroke readmission (CCSR CIR020)</w:t>
            </w:r>
          </w:p>
        </w:tc>
        <w:tc>
          <w:tcPr/>
          <w:p>
            <w:pPr>
              <w:pStyle w:val="Compact"/>
            </w:pPr>
            <w:r>
              <w:t xml:space="preserve">Readmitted index admissions</w:t>
            </w:r>
          </w:p>
        </w:tc>
        <w:tc>
          <w:tcPr/>
          <w:p>
            <w:pPr>
              <w:pStyle w:val="Compact"/>
            </w:pPr>
            <w:r>
              <w:t xml:space="preserve">&lt;11 (suppressed)</w:t>
            </w:r>
          </w:p>
        </w:tc>
        <w:tc>
          <w:tcPr/>
          <w:p>
            <w:pPr>
              <w:pStyle w:val="Compact"/>
            </w:pPr>
            <w:r>
              <w:t xml:space="preserve">Suppressed (&lt;11 events in an arm)</w:t>
            </w:r>
          </w:p>
        </w:tc>
        <w:tc>
          <w:tcPr/>
          <w:p>
            <w:pPr>
              <w:pStyle w:val="Compact"/>
            </w:pPr>
            <w:r>
              <w:t xml:space="preserve">—</w:t>
            </w:r>
          </w:p>
        </w:tc>
        <w:tc>
          <w:tcPr/>
          <w:p>
            <w:pPr>
              <w:pStyle w:val="Compact"/>
            </w:pPr>
            <w:r>
              <w:t xml:space="preserve">—</w:t>
            </w:r>
          </w:p>
        </w:tc>
      </w:tr>
      <w:tr>
        <w:tc>
          <w:tcPr/>
          <w:p>
            <w:pPr>
              <w:pStyle w:val="Compact"/>
            </w:pPr>
            <w:r>
              <w:t xml:space="preserve">Unplanned (non-elective) readmission</w:t>
            </w:r>
          </w:p>
        </w:tc>
        <w:tc>
          <w:tcPr/>
          <w:p>
            <w:pPr>
              <w:pStyle w:val="Compact"/>
            </w:pPr>
            <w:r>
              <w:t xml:space="preserve">Readmitted index admissions</w:t>
            </w:r>
          </w:p>
        </w:tc>
        <w:tc>
          <w:tcPr/>
          <w:p>
            <w:pPr>
              <w:pStyle w:val="Compact"/>
            </w:pPr>
            <w:r>
              <w:t xml:space="preserve">7,638</w:t>
            </w:r>
          </w:p>
        </w:tc>
        <w:tc>
          <w:tcPr/>
          <w:p>
            <w:pPr>
              <w:pStyle w:val="Compact"/>
            </w:pPr>
            <w:r>
              <w:t xml:space="preserve">0.71 (0.39–1.28)</w:t>
            </w:r>
          </w:p>
        </w:tc>
        <w:tc>
          <w:tcPr/>
          <w:p>
            <w:pPr>
              <w:pStyle w:val="Compact"/>
            </w:pPr>
            <w:r>
              <w:t xml:space="preserve">0.249</w:t>
            </w:r>
          </w:p>
        </w:tc>
        <w:tc>
          <w:tcPr/>
          <w:p>
            <w:pPr>
              <w:pStyle w:val="Compact"/>
            </w:pPr>
            <w:r>
              <w:t xml:space="preserve">0.298</w:t>
            </w:r>
          </w:p>
        </w:tc>
      </w:tr>
      <w:tr>
        <w:tc>
          <w:tcPr/>
          <w:p>
            <w:pPr>
              <w:pStyle w:val="Compact"/>
            </w:pPr>
            <w:r>
              <w:t xml:space="preserve">In-hospital death at readmission</w:t>
            </w:r>
          </w:p>
        </w:tc>
        <w:tc>
          <w:tcPr/>
          <w:p>
            <w:pPr>
              <w:pStyle w:val="Compact"/>
            </w:pPr>
            <w:r>
              <w:t xml:space="preserve">Readmitted index admissions</w:t>
            </w:r>
          </w:p>
        </w:tc>
        <w:tc>
          <w:tcPr/>
          <w:p>
            <w:pPr>
              <w:pStyle w:val="Compact"/>
            </w:pPr>
            <w:r>
              <w:t xml:space="preserve">198</w:t>
            </w:r>
          </w:p>
        </w:tc>
        <w:tc>
          <w:tcPr/>
          <w:p>
            <w:pPr>
              <w:pStyle w:val="Compact"/>
            </w:pPr>
            <w:r>
              <w:t xml:space="preserve">1.83 (1.11–3.03)</w:t>
            </w:r>
          </w:p>
        </w:tc>
        <w:tc>
          <w:tcPr/>
          <w:p>
            <w:pPr>
              <w:pStyle w:val="Compact"/>
            </w:pPr>
            <w:r>
              <w:t xml:space="preserve">0.018</w:t>
            </w:r>
          </w:p>
        </w:tc>
        <w:tc>
          <w:tcPr/>
          <w:p>
            <w:pPr>
              <w:pStyle w:val="Compact"/>
            </w:pPr>
            <w:r>
              <w:t xml:space="preserve">0.037</w:t>
            </w:r>
          </w:p>
        </w:tc>
      </w:tr>
      <w:tr>
        <w:tc>
          <w:tcPr/>
          <w:p>
            <w:pPr>
              <w:pStyle w:val="Compact"/>
            </w:pPr>
            <w:r>
              <w:t xml:space="preserve">Pericardial effusion or tamponade at index</w:t>
            </w:r>
          </w:p>
        </w:tc>
        <w:tc>
          <w:tcPr/>
          <w:p>
            <w:pPr>
              <w:pStyle w:val="Compact"/>
            </w:pPr>
            <w:r>
              <w:t xml:space="preserve">Index admissions</w:t>
            </w:r>
          </w:p>
        </w:tc>
        <w:tc>
          <w:tcPr/>
          <w:p>
            <w:pPr>
              <w:pStyle w:val="Compact"/>
            </w:pPr>
            <w:r>
              <w:t xml:space="preserve">2,544</w:t>
            </w:r>
          </w:p>
        </w:tc>
        <w:tc>
          <w:tcPr/>
          <w:p>
            <w:pPr>
              <w:pStyle w:val="Compact"/>
            </w:pPr>
            <w:r>
              <w:t xml:space="preserve">1.63 (1.29–2.05)</w:t>
            </w:r>
          </w:p>
        </w:tc>
        <w:tc>
          <w:tcPr/>
          <w:p>
            <w:pPr>
              <w:pStyle w:val="Compact"/>
            </w:pPr>
            <w:r>
              <w:t xml:space="preserve">&lt;0.001</w:t>
            </w:r>
          </w:p>
        </w:tc>
        <w:tc>
          <w:tcPr/>
          <w:p>
            <w:pPr>
              <w:pStyle w:val="Compact"/>
            </w:pPr>
            <w:r>
              <w:t xml:space="preserve">&lt;0.001</w:t>
            </w:r>
          </w:p>
        </w:tc>
      </w:tr>
      <w:tr>
        <w:tc>
          <w:tcPr/>
          <w:p>
            <w:pPr>
              <w:pStyle w:val="Compact"/>
            </w:pPr>
            <w:r>
              <w:t xml:space="preserve">Pericardial drainage at index</w:t>
            </w:r>
          </w:p>
        </w:tc>
        <w:tc>
          <w:tcPr/>
          <w:p>
            <w:pPr>
              <w:pStyle w:val="Compact"/>
            </w:pPr>
            <w:r>
              <w:t xml:space="preserve">Index admissions</w:t>
            </w:r>
          </w:p>
        </w:tc>
        <w:tc>
          <w:tcPr/>
          <w:p>
            <w:pPr>
              <w:pStyle w:val="Compact"/>
            </w:pPr>
            <w:r>
              <w:t xml:space="preserve">608</w:t>
            </w:r>
          </w:p>
        </w:tc>
        <w:tc>
          <w:tcPr/>
          <w:p>
            <w:pPr>
              <w:pStyle w:val="Compact"/>
            </w:pPr>
            <w:r>
              <w:t xml:space="preserve">1.44 (0.83–2.52)</w:t>
            </w:r>
          </w:p>
        </w:tc>
        <w:tc>
          <w:tcPr/>
          <w:p>
            <w:pPr>
              <w:pStyle w:val="Compact"/>
            </w:pPr>
            <w:r>
              <w:t xml:space="preserve">0.195</w:t>
            </w:r>
          </w:p>
        </w:tc>
        <w:tc>
          <w:tcPr/>
          <w:p>
            <w:pPr>
              <w:pStyle w:val="Compact"/>
            </w:pPr>
            <w:r>
              <w:t xml:space="preserve">0.293</w:t>
            </w:r>
          </w:p>
        </w:tc>
      </w:tr>
      <w:tr>
        <w:tc>
          <w:tcPr/>
          <w:p>
            <w:pPr>
              <w:pStyle w:val="Compact"/>
            </w:pPr>
            <w:r>
              <w:t xml:space="preserve">Non-home discharge at index</w:t>
            </w:r>
          </w:p>
        </w:tc>
        <w:tc>
          <w:tcPr/>
          <w:p>
            <w:pPr>
              <w:pStyle w:val="Compact"/>
            </w:pPr>
            <w:r>
              <w:t xml:space="preserve">Index admissions</w:t>
            </w:r>
          </w:p>
        </w:tc>
        <w:tc>
          <w:tcPr/>
          <w:p>
            <w:pPr>
              <w:pStyle w:val="Compact"/>
            </w:pPr>
            <w:r>
              <w:t xml:space="preserve">1,855</w:t>
            </w:r>
          </w:p>
        </w:tc>
        <w:tc>
          <w:tcPr/>
          <w:p>
            <w:pPr>
              <w:pStyle w:val="Compact"/>
            </w:pPr>
            <w:r>
              <w:t xml:space="preserve">1.71 (1.34–2.19)</w:t>
            </w:r>
          </w:p>
        </w:tc>
        <w:tc>
          <w:tcPr/>
          <w:p>
            <w:pPr>
              <w:pStyle w:val="Compact"/>
            </w:pPr>
            <w:r>
              <w:t xml:space="preserve">&lt;0.001</w:t>
            </w:r>
          </w:p>
        </w:tc>
        <w:tc>
          <w:tcPr/>
          <w:p>
            <w:pPr>
              <w:pStyle w:val="Compact"/>
            </w:pPr>
            <w:r>
              <w:t xml:space="preserve">&lt;0.001</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All secondary outcomes are exploratory. Outcomes measured on the readmission record are conditional on being readmitted and have a readmitted denominator. The primary outcome is not a member of this family.</w:t>
            </w:r>
          </w:p>
        </w:tc>
      </w:tr>
    </w:tbl>
    <w:p>
      <w:pPr>
        <w:pStyle w:val="CaptionedFigure"/>
      </w:pPr>
      <w:r>
        <w:drawing>
          <wp:inline>
            <wp:extent cx="5334000" cy="3762632"/>
            <wp:effectExtent b="0" l="0" r="0" t="0"/>
            <wp:docPr descr="Figure S6. Secondary outcomes." title="" id="37" name="Picture"/>
            <a:graphic>
              <a:graphicData uri="http://schemas.openxmlformats.org/drawingml/2006/picture">
                <pic:pic>
                  <pic:nvPicPr>
                    <pic:cNvPr descr="C:/Users/saada/Documents/Biostatistics/AliFam-Nerds/RCOP_NRD/NRD_Saad_LAAO_ESKD/figures/FigureS6_secondary_outcomes.png" id="38" name="Picture"/>
                    <pic:cNvPicPr>
                      <a:picLocks noChangeArrowheads="1" noChangeAspect="1"/>
                    </pic:cNvPicPr>
                  </pic:nvPicPr>
                  <pic:blipFill>
                    <a:blip r:embed="rId36"/>
                    <a:stretch>
                      <a:fillRect/>
                    </a:stretch>
                  </pic:blipFill>
                  <pic:spPr bwMode="auto">
                    <a:xfrm>
                      <a:off x="0" y="0"/>
                      <a:ext cx="5334000" cy="3762632"/>
                    </a:xfrm>
                    <a:prstGeom prst="rect">
                      <a:avLst/>
                    </a:prstGeom>
                    <a:noFill/>
                    <a:ln w="9525">
                      <a:noFill/>
                      <a:headEnd/>
                      <a:tailEnd/>
                    </a:ln>
                  </pic:spPr>
                </pic:pic>
              </a:graphicData>
            </a:graphic>
          </wp:inline>
        </w:drawing>
      </w:r>
    </w:p>
    <w:p>
      <w:pPr>
        <w:pStyle w:val="ImageCaption"/>
      </w:pPr>
      <w:r>
        <w:t xml:space="preserve">Figure S6. Secondary outcomes.</w:t>
      </w:r>
    </w:p>
    <w:bookmarkEnd w:id="39"/>
    <w:bookmarkStart w:id="43" w:name="cause-of-readmission"/>
    <w:p>
      <w:pPr>
        <w:pStyle w:val="Heading2"/>
      </w:pPr>
      <w:r>
        <w:t xml:space="preserve">4.6 Cause of readmission</w:t>
      </w:r>
    </w:p>
    <w:p>
      <w:pPr>
        <w:pStyle w:val="TableCaption"/>
      </w:pPr>
      <w:r>
        <w:t xml:space="preserve">Table 5. Principal cause of the first 30-day readmission, by exposure (exploratory).</w:t>
      </w:r>
    </w:p>
    <w:tbl>
      <w:tblPr>
        <w:tblStyle w:val="Table"/>
        <w:tblW w:type="pct" w:w="5000"/>
        <w:tblLayout w:type="fixed"/>
        <w:tblLook w:firstRow="1" w:lastRow="0" w:firstColumn="0" w:lastColumn="0" w:noHBand="0" w:noVBand="0" w:val="0020"/>
        <w:tblCaption w:val="Table 5. Principal cause of the first 30-day readmission, by exposure (exploratory)."/>
      </w:tblPr>
      <w:tblGrid>
        <w:gridCol w:w="1980"/>
        <w:gridCol w:w="594"/>
        <w:gridCol w:w="2227"/>
        <w:gridCol w:w="2079"/>
        <w:gridCol w:w="445"/>
        <w:gridCol w:w="594"/>
      </w:tblGrid>
      <w:tr>
        <w:trPr>
          <w:tblHeader w:val="on"/>
        </w:trPr>
        <w:tc>
          <w:tcPr/>
          <w:p>
            <w:pPr>
              <w:pStyle w:val="Compact"/>
            </w:pPr>
            <w:r>
              <w:t xml:space="preserve">Cause of readmission (DXCCSR category)</w:t>
            </w:r>
          </w:p>
        </w:tc>
        <w:tc>
          <w:tcPr/>
          <w:p>
            <w:pPr>
              <w:pStyle w:val="Compact"/>
            </w:pPr>
            <w:r>
              <w:t xml:space="preserve">Overall, %</w:t>
            </w:r>
          </w:p>
        </w:tc>
        <w:tc>
          <w:tcPr/>
          <w:p>
            <w:pPr>
              <w:pStyle w:val="Compact"/>
            </w:pPr>
            <w:r>
              <w:t xml:space="preserve">No dialysis-dependent kidney failure, % (n)</w:t>
            </w:r>
          </w:p>
        </w:tc>
        <w:tc>
          <w:tcPr/>
          <w:p>
            <w:pPr>
              <w:pStyle w:val="Compact"/>
            </w:pPr>
            <w:r>
              <w:t xml:space="preserve">Dialysis-dependent kidney failure, % (n)</w:t>
            </w:r>
          </w:p>
        </w:tc>
        <w:tc>
          <w:tcPr/>
          <w:p>
            <w:pPr>
              <w:pStyle w:val="Compact"/>
            </w:pPr>
            <w:r>
              <w:t xml:space="preserve">p value</w:t>
            </w:r>
          </w:p>
        </w:tc>
        <w:tc>
          <w:tcPr/>
          <w:p>
            <w:pPr>
              <w:pStyle w:val="Compact"/>
            </w:pPr>
            <w:r>
              <w:t xml:space="preserve">BH q value</w:t>
            </w:r>
          </w:p>
        </w:tc>
      </w:tr>
      <w:tr>
        <w:tc>
          <w:tcPr/>
          <w:p>
            <w:pPr>
              <w:pStyle w:val="Compact"/>
            </w:pPr>
            <w:r>
              <w:t xml:space="preserve">Cardiac dysrhythmias</w:t>
            </w:r>
          </w:p>
        </w:tc>
        <w:tc>
          <w:tcPr/>
          <w:p>
            <w:pPr>
              <w:pStyle w:val="Compact"/>
            </w:pPr>
            <w:r>
              <w:t xml:space="preserve">8.8%</w:t>
            </w:r>
          </w:p>
        </w:tc>
        <w:tc>
          <w:tcPr/>
          <w:p>
            <w:pPr>
              <w:pStyle w:val="Compact"/>
            </w:pPr>
            <w:r>
              <w:t xml:space="preserve">9.1% (669)</w:t>
            </w:r>
          </w:p>
        </w:tc>
        <w:tc>
          <w:tcPr/>
          <w:p>
            <w:pPr>
              <w:pStyle w:val="Compact"/>
            </w:pPr>
            <w:r>
              <w:t xml:space="preserve">4.2% (21)</w:t>
            </w:r>
          </w:p>
        </w:tc>
        <w:tc>
          <w:tcPr/>
          <w:p>
            <w:pPr>
              <w:pStyle w:val="Compact"/>
            </w:pPr>
            <w:r>
              <w:t xml:space="preserve">&lt;0.001</w:t>
            </w:r>
          </w:p>
        </w:tc>
        <w:tc>
          <w:tcPr/>
          <w:p>
            <w:pPr>
              <w:pStyle w:val="Compact"/>
            </w:pPr>
            <w:r>
              <w:t xml:space="preserve">0.002</w:t>
            </w:r>
          </w:p>
        </w:tc>
      </w:tr>
      <w:tr>
        <w:tc>
          <w:tcPr/>
          <w:p>
            <w:pPr>
              <w:pStyle w:val="Compact"/>
            </w:pPr>
            <w:r>
              <w:t xml:space="preserve">Gastrointestinal hemorrhage</w:t>
            </w:r>
          </w:p>
        </w:tc>
        <w:tc>
          <w:tcPr/>
          <w:p>
            <w:pPr>
              <w:pStyle w:val="Compact"/>
            </w:pPr>
            <w:r>
              <w:t xml:space="preserve">8.1%</w:t>
            </w:r>
          </w:p>
        </w:tc>
        <w:tc>
          <w:tcPr/>
          <w:p>
            <w:pPr>
              <w:pStyle w:val="Compact"/>
            </w:pPr>
            <w:r>
              <w:t xml:space="preserve">8.0% (595)</w:t>
            </w:r>
          </w:p>
        </w:tc>
        <w:tc>
          <w:tcPr/>
          <w:p>
            <w:pPr>
              <w:pStyle w:val="Compact"/>
            </w:pPr>
            <w:r>
              <w:t xml:space="preserve">9.5% (45)</w:t>
            </w:r>
          </w:p>
        </w:tc>
        <w:tc>
          <w:tcPr/>
          <w:p>
            <w:pPr>
              <w:pStyle w:val="Compact"/>
            </w:pPr>
            <w:r>
              <w:t xml:space="preserve">0.291</w:t>
            </w:r>
          </w:p>
        </w:tc>
        <w:tc>
          <w:tcPr/>
          <w:p>
            <w:pPr>
              <w:pStyle w:val="Compact"/>
            </w:pPr>
            <w:r>
              <w:t xml:space="preserve">0.436</w:t>
            </w:r>
          </w:p>
        </w:tc>
      </w:tr>
      <w:tr>
        <w:tc>
          <w:tcPr/>
          <w:p>
            <w:pPr>
              <w:pStyle w:val="Compact"/>
            </w:pPr>
            <w:r>
              <w:t xml:space="preserve">Septicemia</w:t>
            </w:r>
          </w:p>
        </w:tc>
        <w:tc>
          <w:tcPr/>
          <w:p>
            <w:pPr>
              <w:pStyle w:val="Compact"/>
            </w:pPr>
            <w:r>
              <w:t xml:space="preserve">6.1%</w:t>
            </w:r>
          </w:p>
        </w:tc>
        <w:tc>
          <w:tcPr/>
          <w:p>
            <w:pPr>
              <w:pStyle w:val="Compact"/>
            </w:pPr>
            <w:r>
              <w:t xml:space="preserve">6.1% (447)</w:t>
            </w:r>
          </w:p>
        </w:tc>
        <w:tc>
          <w:tcPr/>
          <w:p>
            <w:pPr>
              <w:pStyle w:val="Compact"/>
            </w:pPr>
            <w:r>
              <w:t xml:space="preserve">6.1% (31)</w:t>
            </w:r>
          </w:p>
        </w:tc>
        <w:tc>
          <w:tcPr/>
          <w:p>
            <w:pPr>
              <w:pStyle w:val="Compact"/>
            </w:pPr>
            <w:r>
              <w:t xml:space="preserve">0.976</w:t>
            </w:r>
          </w:p>
        </w:tc>
        <w:tc>
          <w:tcPr/>
          <w:p>
            <w:pPr>
              <w:pStyle w:val="Compact"/>
            </w:pPr>
            <w:r>
              <w:t xml:space="preserve">0.976</w:t>
            </w:r>
          </w:p>
        </w:tc>
      </w:tr>
      <w:tr>
        <w:tc>
          <w:tcPr/>
          <w:p>
            <w:pPr>
              <w:pStyle w:val="Compact"/>
            </w:pPr>
            <w:r>
              <w:t xml:space="preserve">Other</w:t>
            </w:r>
          </w:p>
        </w:tc>
        <w:tc>
          <w:tcPr/>
          <w:p>
            <w:pPr>
              <w:pStyle w:val="Compact"/>
            </w:pPr>
            <w:r>
              <w:t xml:space="preserve">77.1%</w:t>
            </w:r>
          </w:p>
        </w:tc>
        <w:tc>
          <w:tcPr/>
          <w:p>
            <w:pPr>
              <w:pStyle w:val="Compact"/>
            </w:pPr>
            <w:r>
              <w:t xml:space="preserve">76.9% (5,737)</w:t>
            </w:r>
          </w:p>
        </w:tc>
        <w:tc>
          <w:tcPr/>
          <w:p>
            <w:pPr>
              <w:pStyle w:val="Compact"/>
            </w:pPr>
            <w:r>
              <w:t xml:space="preserve">80.2% (364)</w:t>
            </w:r>
          </w:p>
        </w:tc>
        <w:tc>
          <w:tcPr/>
          <w:p>
            <w:pPr>
              <w:pStyle w:val="Compact"/>
            </w:pPr>
            <w:r>
              <w:t xml:space="preserve">—</w:t>
            </w:r>
          </w:p>
        </w:tc>
        <w:tc>
          <w:tcPr/>
          <w:p>
            <w:pPr>
              <w:pStyle w:val="Compact"/>
            </w:pPr>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EXPLORATORY. Based on 7,909 unweighted 30-day readmissions with a recorded principal diagnosis, mapped to the AHRQ DXCCSR v2025.1 default inpatient category. 3 readmission principal diagnosis code(s) had no default CCSR assignment and are grouped under</w:t>
            </w:r>
            <w:r>
              <w:t xml:space="preserve"> </w:t>
            </w:r>
            <w:r>
              <w:t xml:space="preserve">‘Other’</w:t>
            </w:r>
            <w:r>
              <w:t xml:space="preserve">. The top 4 categories by overall weighted share are reported – four rather than ten or fifteen because this cohort has a thin exposed arm; the number was fixed in the analysis plan before any result was seen. All remaining categories are folded into</w:t>
            </w:r>
            <w:r>
              <w:t xml:space="preserve"> </w:t>
            </w:r>
            <w:r>
              <w:t xml:space="preserve">‘Other’</w:t>
            </w:r>
            <w:r>
              <w:t xml:space="preserve">, as are 1 category that fell below the 11 unweighted discharge threshold in at least one exposure arm (Heart failure). Percentages are within-arm shares of all readmissions in that arm and sum to 100% down each column. P values are design-based Wald tests from survey-weighted logistic regression of the category indicator on exposure; q values are Benjamini-Hochberg adjusted across the reported categories, a family separate from the secondary-outcome family.</w:t>
            </w:r>
          </w:p>
        </w:tc>
      </w:tr>
    </w:tbl>
    <w:p>
      <w:pPr>
        <w:pStyle w:val="CaptionedFigure"/>
      </w:pPr>
      <w:r>
        <w:drawing>
          <wp:inline>
            <wp:extent cx="5334000" cy="3880731"/>
            <wp:effectExtent b="0" l="0" r="0" t="0"/>
            <wp:docPr descr="Figure 5. Principal cause of the first 30-day readmission." title="" id="41" name="Picture"/>
            <a:graphic>
              <a:graphicData uri="http://schemas.openxmlformats.org/drawingml/2006/picture">
                <pic:pic>
                  <pic:nvPicPr>
                    <pic:cNvPr descr="C:/Users/saada/Documents/Biostatistics/AliFam-Nerds/RCOP_NRD/NRD_Saad_LAAO_ESKD/figures/Figure5_readmission_causes.png" id="42" name="Picture"/>
                    <pic:cNvPicPr>
                      <a:picLocks noChangeArrowheads="1" noChangeAspect="1"/>
                    </pic:cNvPicPr>
                  </pic:nvPicPr>
                  <pic:blipFill>
                    <a:blip r:embed="rId40"/>
                    <a:stretch>
                      <a:fillRect/>
                    </a:stretch>
                  </pic:blipFill>
                  <pic:spPr bwMode="auto">
                    <a:xfrm>
                      <a:off x="0" y="0"/>
                      <a:ext cx="5334000" cy="3880731"/>
                    </a:xfrm>
                    <a:prstGeom prst="rect">
                      <a:avLst/>
                    </a:prstGeom>
                    <a:noFill/>
                    <a:ln w="9525">
                      <a:noFill/>
                      <a:headEnd/>
                      <a:tailEnd/>
                    </a:ln>
                  </pic:spPr>
                </pic:pic>
              </a:graphicData>
            </a:graphic>
          </wp:inline>
        </w:drawing>
      </w:r>
    </w:p>
    <w:p>
      <w:pPr>
        <w:pStyle w:val="ImageCaption"/>
      </w:pPr>
      <w:r>
        <w:t xml:space="preserve">Figure 5. Principal cause of the first 30-day readmission.</w:t>
      </w:r>
    </w:p>
    <w:bookmarkEnd w:id="43"/>
    <w:bookmarkStart w:id="47" w:name="timing-of-readmission"/>
    <w:p>
      <w:pPr>
        <w:pStyle w:val="Heading2"/>
      </w:pPr>
      <w:r>
        <w:t xml:space="preserve">4.7 Timing of readmission</w:t>
      </w:r>
    </w:p>
    <w:p>
      <w:pPr>
        <w:pStyle w:val="CaptionedFigure"/>
      </w:pPr>
      <w:r>
        <w:drawing>
          <wp:inline>
            <wp:extent cx="5334000" cy="4894729"/>
            <wp:effectExtent b="0" l="0" r="0" t="0"/>
            <wp:docPr descr="Figure 4. Cumulative incidence of first readmission among discharge survivors." title="" id="45" name="Picture"/>
            <a:graphic>
              <a:graphicData uri="http://schemas.openxmlformats.org/drawingml/2006/picture">
                <pic:pic>
                  <pic:nvPicPr>
                    <pic:cNvPr descr="C:/Users/saada/Documents/Biostatistics/AliFam-Nerds/RCOP_NRD/NRD_Saad_LAAO_ESKD/figures/Figure4_cumulative_incidence.png" id="46" name="Picture"/>
                    <pic:cNvPicPr>
                      <a:picLocks noChangeArrowheads="1" noChangeAspect="1"/>
                    </pic:cNvPicPr>
                  </pic:nvPicPr>
                  <pic:blipFill>
                    <a:blip r:embed="rId44"/>
                    <a:stretch>
                      <a:fillRect/>
                    </a:stretch>
                  </pic:blipFill>
                  <pic:spPr bwMode="auto">
                    <a:xfrm>
                      <a:off x="0" y="0"/>
                      <a:ext cx="5334000" cy="4894729"/>
                    </a:xfrm>
                    <a:prstGeom prst="rect">
                      <a:avLst/>
                    </a:prstGeom>
                    <a:noFill/>
                    <a:ln w="9525">
                      <a:noFill/>
                      <a:headEnd/>
                      <a:tailEnd/>
                    </a:ln>
                  </pic:spPr>
                </pic:pic>
              </a:graphicData>
            </a:graphic>
          </wp:inline>
        </w:drawing>
      </w:r>
    </w:p>
    <w:p>
      <w:pPr>
        <w:pStyle w:val="ImageCaption"/>
      </w:pPr>
      <w:r>
        <w:t xml:space="preserve">Figure 4. Cumulative incidence of first readmission among discharge survivors.</w:t>
      </w:r>
    </w:p>
    <w:p>
      <w:pPr>
        <w:pStyle w:val="TableCaption"/>
      </w:pPr>
      <w:r>
        <w:t xml:space="preserve">Figure 4 at-risk table: index admissions not yet readmitted (unweighted).</w:t>
      </w:r>
    </w:p>
    <w:tbl>
      <w:tblPr>
        <w:tblStyle w:val="Table"/>
        <w:tblW w:type="pct" w:w="5000"/>
        <w:tblLayout w:type="fixed"/>
        <w:tblLook w:firstRow="1" w:lastRow="0" w:firstColumn="0" w:lastColumn="0" w:noHBand="0" w:noVBand="0" w:val="0020"/>
        <w:tblCaption w:val="Figure 4 at-risk table: index admissions not yet readmitted (unweighted)."/>
      </w:tblPr>
      <w:tblGrid>
        <w:gridCol w:w="4299"/>
        <w:gridCol w:w="905"/>
        <w:gridCol w:w="905"/>
        <w:gridCol w:w="905"/>
        <w:gridCol w:w="905"/>
      </w:tblGrid>
      <w:tr>
        <w:trPr>
          <w:tblHeader w:val="on"/>
        </w:trPr>
        <w:tc>
          <w:tcPr/>
          <w:p>
            <w:pPr>
              <w:pStyle w:val="Compact"/>
            </w:pPr>
            <w:r>
              <w:t xml:space="preserve">Arm</w:t>
            </w:r>
          </w:p>
        </w:tc>
        <w:tc>
          <w:tcPr/>
          <w:p>
            <w:pPr>
              <w:pStyle w:val="Compact"/>
            </w:pPr>
            <w:r>
              <w:t xml:space="preserve">Day 0</w:t>
            </w:r>
          </w:p>
        </w:tc>
        <w:tc>
          <w:tcPr/>
          <w:p>
            <w:pPr>
              <w:pStyle w:val="Compact"/>
            </w:pPr>
            <w:r>
              <w:t xml:space="preserve">Day 10</w:t>
            </w:r>
          </w:p>
        </w:tc>
        <w:tc>
          <w:tcPr/>
          <w:p>
            <w:pPr>
              <w:pStyle w:val="Compact"/>
            </w:pPr>
            <w:r>
              <w:t xml:space="preserve">Day 19</w:t>
            </w:r>
          </w:p>
        </w:tc>
        <w:tc>
          <w:tcPr/>
          <w:p>
            <w:pPr>
              <w:pStyle w:val="Compact"/>
            </w:pPr>
            <w:r>
              <w:t xml:space="preserve">Day 30</w:t>
            </w:r>
          </w:p>
        </w:tc>
      </w:tr>
      <w:tr>
        <w:tc>
          <w:tcPr/>
          <w:p>
            <w:pPr>
              <w:pStyle w:val="Compact"/>
            </w:pPr>
            <w:r>
              <w:t xml:space="preserve">No dialysis-dependent kidney failure</w:t>
            </w:r>
          </w:p>
        </w:tc>
        <w:tc>
          <w:tcPr/>
          <w:p>
            <w:pPr>
              <w:pStyle w:val="Compact"/>
            </w:pPr>
            <w:r>
              <w:t xml:space="preserve">99,395</w:t>
            </w:r>
          </w:p>
        </w:tc>
        <w:tc>
          <w:tcPr/>
          <w:p>
            <w:pPr>
              <w:pStyle w:val="Compact"/>
            </w:pPr>
            <w:r>
              <w:t xml:space="preserve">96,217</w:t>
            </w:r>
          </w:p>
        </w:tc>
        <w:tc>
          <w:tcPr/>
          <w:p>
            <w:pPr>
              <w:pStyle w:val="Compact"/>
            </w:pPr>
            <w:r>
              <w:t xml:space="preserve">94,001</w:t>
            </w:r>
          </w:p>
        </w:tc>
        <w:tc>
          <w:tcPr/>
          <w:p>
            <w:pPr>
              <w:pStyle w:val="Compact"/>
            </w:pPr>
            <w:r>
              <w:t xml:space="preserve">91,947</w:t>
            </w:r>
          </w:p>
        </w:tc>
      </w:tr>
      <w:tr>
        <w:tc>
          <w:tcPr/>
          <w:p>
            <w:pPr>
              <w:pStyle w:val="Compact"/>
            </w:pPr>
            <w:r>
              <w:t xml:space="preserve">Dialysis-dependent kidney failure</w:t>
            </w:r>
          </w:p>
        </w:tc>
        <w:tc>
          <w:tcPr/>
          <w:p>
            <w:pPr>
              <w:pStyle w:val="Compact"/>
            </w:pPr>
            <w:r>
              <w:t xml:space="preserve">2,418</w:t>
            </w:r>
          </w:p>
        </w:tc>
        <w:tc>
          <w:tcPr/>
          <w:p>
            <w:pPr>
              <w:pStyle w:val="Compact"/>
            </w:pPr>
            <w:r>
              <w:t xml:space="preserve">2,201</w:t>
            </w:r>
          </w:p>
        </w:tc>
        <w:tc>
          <w:tcPr/>
          <w:p>
            <w:pPr>
              <w:pStyle w:val="Compact"/>
            </w:pPr>
            <w:r>
              <w:t xml:space="preserve">2,061</w:t>
            </w:r>
          </w:p>
        </w:tc>
        <w:tc>
          <w:tcPr/>
          <w:p>
            <w:pPr>
              <w:pStyle w:val="Compact"/>
            </w:pPr>
            <w:r>
              <w:t xml:space="preserve">1,957</w:t>
            </w:r>
          </w:p>
        </w:tc>
      </w:tr>
    </w:tbl>
    <w:p>
      <w:pPr>
        <w:pStyle w:val="BodyText"/>
      </w:pPr>
      <w:r>
        <w:t xml:space="preserve">This is a cumulative incidence curve for the first readmission among discharge survivors, not a survival curve. Death after discharge is not observed in the Nationwide Readmissions Database and is an uncontrollable competing risk; because post-discharge mortality is substantially higher in dialysis-dependent patients, that competing risk attenuates the observed difference between arms rather than inflating it.</w:t>
      </w:r>
    </w:p>
    <w:bookmarkEnd w:id="47"/>
    <w:bookmarkStart w:id="51" w:name="exploratory-subgroups"/>
    <w:p>
      <w:pPr>
        <w:pStyle w:val="Heading2"/>
      </w:pPr>
      <w:r>
        <w:t xml:space="preserve">4.8 Exploratory subgroups</w:t>
      </w:r>
    </w:p>
    <w:p>
      <w:pPr>
        <w:pStyle w:val="TableCaption"/>
      </w:pPr>
      <w:r>
        <w:t xml:space="preserve">Table 5b. Exploratory subgroup analyses.</w:t>
      </w:r>
    </w:p>
    <w:tbl>
      <w:tblPr>
        <w:tblStyle w:val="Table"/>
        <w:tblW w:type="pct" w:w="5000"/>
        <w:tblLayout w:type="fixed"/>
        <w:tblLook w:firstRow="1" w:lastRow="0" w:firstColumn="0" w:lastColumn="0" w:noHBand="0" w:noVBand="0" w:val="0020"/>
        <w:tblCaption w:val="Table 5b. Exploratory subgroup analyses."/>
      </w:tblPr>
      <w:tblGrid>
        <w:gridCol w:w="1312"/>
        <w:gridCol w:w="1093"/>
        <w:gridCol w:w="612"/>
        <w:gridCol w:w="962"/>
        <w:gridCol w:w="1181"/>
        <w:gridCol w:w="962"/>
        <w:gridCol w:w="1137"/>
        <w:gridCol w:w="656"/>
      </w:tblGrid>
      <w:tr>
        <w:trPr>
          <w:tblHeader w:val="on"/>
        </w:trPr>
        <w:tc>
          <w:tcPr/>
          <w:p>
            <w:pPr>
              <w:pStyle w:val="Compact"/>
            </w:pPr>
            <w:r>
              <w:t xml:space="preserve">Subgroup</w:t>
            </w:r>
          </w:p>
        </w:tc>
        <w:tc>
          <w:tcPr/>
          <w:p>
            <w:pPr>
              <w:pStyle w:val="Compact"/>
            </w:pPr>
            <w:r>
              <w:t xml:space="preserve">Level</w:t>
            </w:r>
          </w:p>
        </w:tc>
        <w:tc>
          <w:tcPr/>
          <w:p>
            <w:pPr>
              <w:pStyle w:val="Compact"/>
            </w:pPr>
            <w:r>
              <w:t xml:space="preserve">Unweighted n</w:t>
            </w:r>
          </w:p>
        </w:tc>
        <w:tc>
          <w:tcPr/>
          <w:p>
            <w:pPr>
              <w:pStyle w:val="Compact"/>
            </w:pPr>
            <w:r>
              <w:t xml:space="preserve">Exposed (unweighted)</w:t>
            </w:r>
          </w:p>
        </w:tc>
        <w:tc>
          <w:tcPr/>
          <w:p>
            <w:pPr>
              <w:pStyle w:val="Compact"/>
            </w:pPr>
            <w:r>
              <w:t xml:space="preserve">Readmissions (unweighted)</w:t>
            </w:r>
          </w:p>
        </w:tc>
        <w:tc>
          <w:tcPr/>
          <w:p>
            <w:pPr>
              <w:pStyle w:val="Compact"/>
            </w:pPr>
            <w:r>
              <w:t xml:space="preserve">Adjusted OR (95% CI)</w:t>
            </w:r>
          </w:p>
        </w:tc>
        <w:tc>
          <w:tcPr/>
          <w:p>
            <w:pPr>
              <w:pStyle w:val="Compact"/>
            </w:pPr>
            <w:r>
              <w:t xml:space="preserve">Adjusted RD, pp (95% CI)</w:t>
            </w:r>
          </w:p>
        </w:tc>
        <w:tc>
          <w:tcPr/>
          <w:p>
            <w:pPr>
              <w:pStyle w:val="Compact"/>
            </w:pPr>
            <w:r>
              <w:t xml:space="preserve">Interaction p</w:t>
            </w:r>
          </w:p>
        </w:tc>
      </w:tr>
      <w:tr>
        <w:tc>
          <w:tcPr/>
          <w:p>
            <w:pPr>
              <w:pStyle w:val="Compact"/>
            </w:pPr>
            <w:r>
              <w:t xml:space="preserve">Overall (primary model)</w:t>
            </w:r>
          </w:p>
        </w:tc>
        <w:tc>
          <w:tcPr/>
          <w:p>
            <w:pPr>
              <w:pStyle w:val="Compact"/>
            </w:pPr>
          </w:p>
        </w:tc>
        <w:tc>
          <w:tcPr/>
          <w:p>
            <w:pPr>
              <w:pStyle w:val="Compact"/>
            </w:pPr>
            <w:r>
              <w:t xml:space="preserve">101,813</w:t>
            </w:r>
          </w:p>
        </w:tc>
        <w:tc>
          <w:tcPr/>
          <w:p>
            <w:pPr>
              <w:pStyle w:val="Compact"/>
            </w:pPr>
            <w:r>
              <w:t xml:space="preserve">2,418</w:t>
            </w:r>
          </w:p>
        </w:tc>
        <w:tc>
          <w:tcPr/>
          <w:p>
            <w:pPr>
              <w:pStyle w:val="Compact"/>
            </w:pPr>
            <w:r>
              <w:t xml:space="preserve">7,909</w:t>
            </w:r>
          </w:p>
        </w:tc>
        <w:tc>
          <w:tcPr/>
          <w:p>
            <w:pPr>
              <w:pStyle w:val="Compact"/>
            </w:pPr>
            <w:r>
              <w:t xml:space="preserve">2.34 (2.07–2.65)</w:t>
            </w:r>
          </w:p>
        </w:tc>
        <w:tc>
          <w:tcPr/>
          <w:p>
            <w:pPr>
              <w:pStyle w:val="Compact"/>
            </w:pPr>
            <w:r>
              <w:t xml:space="preserve">8.22 (6.66–9.77)</w:t>
            </w:r>
          </w:p>
        </w:tc>
        <w:tc>
          <w:tcPr/>
          <w:p>
            <w:pPr>
              <w:pStyle w:val="Compact"/>
            </w:pPr>
          </w:p>
        </w:tc>
      </w:tr>
      <w:tr>
        <w:tc>
          <w:tcPr/>
          <w:p>
            <w:pPr>
              <w:pStyle w:val="Compact"/>
            </w:pPr>
            <w:r>
              <w:t xml:space="preserve">Prior major bleeding vs none</w:t>
            </w:r>
          </w:p>
        </w:tc>
        <w:tc>
          <w:tcPr/>
          <w:p>
            <w:pPr>
              <w:pStyle w:val="Compact"/>
            </w:pPr>
            <w:r>
              <w:t xml:space="preserve">No prior major bleeding</w:t>
            </w:r>
          </w:p>
        </w:tc>
        <w:tc>
          <w:tcPr/>
          <w:p>
            <w:pPr>
              <w:pStyle w:val="Compact"/>
            </w:pPr>
            <w:r>
              <w:t xml:space="preserve">97,718</w:t>
            </w:r>
          </w:p>
        </w:tc>
        <w:tc>
          <w:tcPr/>
          <w:p>
            <w:pPr>
              <w:pStyle w:val="Compact"/>
            </w:pPr>
            <w:r>
              <w:t xml:space="preserve">2,266</w:t>
            </w:r>
          </w:p>
        </w:tc>
        <w:tc>
          <w:tcPr/>
          <w:p>
            <w:pPr>
              <w:pStyle w:val="Compact"/>
            </w:pPr>
            <w:r>
              <w:t xml:space="preserve">7,289</w:t>
            </w:r>
          </w:p>
        </w:tc>
        <w:tc>
          <w:tcPr/>
          <w:p>
            <w:pPr>
              <w:pStyle w:val="Compact"/>
            </w:pPr>
            <w:r>
              <w:t xml:space="preserve">2.39 (2.10–2.71)</w:t>
            </w:r>
          </w:p>
        </w:tc>
        <w:tc>
          <w:tcPr/>
          <w:p>
            <w:pPr>
              <w:pStyle w:val="Compact"/>
            </w:pPr>
            <w:r>
              <w:t xml:space="preserve">8.25 (6.65–9.86)</w:t>
            </w:r>
          </w:p>
        </w:tc>
        <w:tc>
          <w:tcPr/>
          <w:p>
            <w:pPr>
              <w:pStyle w:val="Compact"/>
            </w:pPr>
            <w:r>
              <w:t xml:space="preserve">0.265</w:t>
            </w:r>
          </w:p>
        </w:tc>
      </w:tr>
      <w:tr>
        <w:tc>
          <w:tcPr/>
          <w:p>
            <w:pPr>
              <w:pStyle w:val="Compact"/>
            </w:pPr>
          </w:p>
        </w:tc>
        <w:tc>
          <w:tcPr/>
          <w:p>
            <w:pPr>
              <w:pStyle w:val="Compact"/>
            </w:pPr>
            <w:r>
              <w:t xml:space="preserve">Prior major bleeding</w:t>
            </w:r>
          </w:p>
        </w:tc>
        <w:tc>
          <w:tcPr/>
          <w:p>
            <w:pPr>
              <w:pStyle w:val="Compact"/>
            </w:pPr>
            <w:r>
              <w:t xml:space="preserve">4,095</w:t>
            </w:r>
          </w:p>
        </w:tc>
        <w:tc>
          <w:tcPr/>
          <w:p>
            <w:pPr>
              <w:pStyle w:val="Compact"/>
            </w:pPr>
            <w:r>
              <w:t xml:space="preserve">152</w:t>
            </w:r>
          </w:p>
        </w:tc>
        <w:tc>
          <w:tcPr/>
          <w:p>
            <w:pPr>
              <w:pStyle w:val="Compact"/>
            </w:pPr>
            <w:r>
              <w:t xml:space="preserve">620</w:t>
            </w:r>
          </w:p>
        </w:tc>
        <w:tc>
          <w:tcPr/>
          <w:p>
            <w:pPr>
              <w:pStyle w:val="Compact"/>
            </w:pPr>
            <w:r>
              <w:t xml:space="preserve">1.88 (1.26–2.82)</w:t>
            </w:r>
          </w:p>
        </w:tc>
        <w:tc>
          <w:tcPr/>
          <w:p>
            <w:pPr>
              <w:pStyle w:val="Compact"/>
            </w:pPr>
            <w:r>
              <w:t xml:space="preserve">9.17 (2.36–15.99)</w:t>
            </w:r>
          </w:p>
        </w:tc>
        <w:tc>
          <w:tcPr/>
          <w:p>
            <w:pPr>
              <w:pStyle w:val="Compact"/>
            </w:pPr>
          </w:p>
        </w:tc>
      </w:tr>
      <w:tr>
        <w:tc>
          <w:tcPr/>
          <w:p>
            <w:pPr>
              <w:pStyle w:val="Compact"/>
            </w:pPr>
            <w:r>
              <w:t xml:space="preserve">Age ≥75 vs &lt;75 years</w:t>
            </w:r>
          </w:p>
        </w:tc>
        <w:tc>
          <w:tcPr/>
          <w:p>
            <w:pPr>
              <w:pStyle w:val="Compact"/>
            </w:pPr>
            <w:r>
              <w:t xml:space="preserve">&lt;75 years</w:t>
            </w:r>
          </w:p>
        </w:tc>
        <w:tc>
          <w:tcPr/>
          <w:p>
            <w:pPr>
              <w:pStyle w:val="Compact"/>
            </w:pPr>
            <w:r>
              <w:t xml:space="preserve">38,857</w:t>
            </w:r>
          </w:p>
        </w:tc>
        <w:tc>
          <w:tcPr/>
          <w:p>
            <w:pPr>
              <w:pStyle w:val="Compact"/>
            </w:pPr>
            <w:r>
              <w:t xml:space="preserve">1,454</w:t>
            </w:r>
          </w:p>
        </w:tc>
        <w:tc>
          <w:tcPr/>
          <w:p>
            <w:pPr>
              <w:pStyle w:val="Compact"/>
            </w:pPr>
            <w:r>
              <w:t xml:space="preserve">2,715</w:t>
            </w:r>
          </w:p>
        </w:tc>
        <w:tc>
          <w:tcPr/>
          <w:p>
            <w:pPr>
              <w:pStyle w:val="Compact"/>
            </w:pPr>
            <w:r>
              <w:t xml:space="preserve">2.12 (1.79–2.52)</w:t>
            </w:r>
          </w:p>
        </w:tc>
        <w:tc>
          <w:tcPr/>
          <w:p>
            <w:pPr>
              <w:pStyle w:val="Compact"/>
            </w:pPr>
            <w:r>
              <w:t xml:space="preserve">6.30 (4.47–8.12)</w:t>
            </w:r>
          </w:p>
        </w:tc>
        <w:tc>
          <w:tcPr/>
          <w:p>
            <w:pPr>
              <w:pStyle w:val="Compact"/>
            </w:pPr>
            <w:r>
              <w:t xml:space="preserve">0.126</w:t>
            </w:r>
          </w:p>
        </w:tc>
      </w:tr>
      <w:tr>
        <w:tc>
          <w:tcPr/>
          <w:p>
            <w:pPr>
              <w:pStyle w:val="Compact"/>
            </w:pPr>
          </w:p>
        </w:tc>
        <w:tc>
          <w:tcPr/>
          <w:p>
            <w:pPr>
              <w:pStyle w:val="Compact"/>
            </w:pPr>
            <w:r>
              <w:t xml:space="preserve">≥75 years</w:t>
            </w:r>
          </w:p>
        </w:tc>
        <w:tc>
          <w:tcPr/>
          <w:p>
            <w:pPr>
              <w:pStyle w:val="Compact"/>
            </w:pPr>
            <w:r>
              <w:t xml:space="preserve">62,956</w:t>
            </w:r>
          </w:p>
        </w:tc>
        <w:tc>
          <w:tcPr/>
          <w:p>
            <w:pPr>
              <w:pStyle w:val="Compact"/>
            </w:pPr>
            <w:r>
              <w:t xml:space="preserve">964</w:t>
            </w:r>
          </w:p>
        </w:tc>
        <w:tc>
          <w:tcPr/>
          <w:p>
            <w:pPr>
              <w:pStyle w:val="Compact"/>
            </w:pPr>
            <w:r>
              <w:t xml:space="preserve">5,194</w:t>
            </w:r>
          </w:p>
        </w:tc>
        <w:tc>
          <w:tcPr/>
          <w:p>
            <w:pPr>
              <w:pStyle w:val="Compact"/>
            </w:pPr>
            <w:r>
              <w:t xml:space="preserve">2.63 (2.20–3.13)</w:t>
            </w:r>
          </w:p>
        </w:tc>
        <w:tc>
          <w:tcPr/>
          <w:p>
            <w:pPr>
              <w:pStyle w:val="Compact"/>
            </w:pPr>
            <w:r>
              <w:t xml:space="preserve">10.36 (7.83–12.89)</w:t>
            </w:r>
          </w:p>
        </w:tc>
        <w:tc>
          <w:tcPr/>
          <w:p>
            <w:pPr>
              <w:pStyle w:val="Compact"/>
            </w:pPr>
          </w:p>
        </w:tc>
      </w:tr>
      <w:tr>
        <w:tc>
          <w:tcPr/>
          <w:p>
            <w:pPr>
              <w:pStyle w:val="Compact"/>
            </w:pPr>
            <w:r>
              <w:t xml:space="preserve">Hospital LAAO volume tertile</w:t>
            </w:r>
          </w:p>
        </w:tc>
        <w:tc>
          <w:tcPr/>
          <w:p>
            <w:pPr>
              <w:pStyle w:val="Compact"/>
            </w:pPr>
            <w:r>
              <w:t xml:space="preserve">High</w:t>
            </w:r>
          </w:p>
        </w:tc>
        <w:tc>
          <w:tcPr/>
          <w:p>
            <w:pPr>
              <w:pStyle w:val="Compact"/>
            </w:pPr>
            <w:r>
              <w:t xml:space="preserve">34,492</w:t>
            </w:r>
          </w:p>
        </w:tc>
        <w:tc>
          <w:tcPr/>
          <w:p>
            <w:pPr>
              <w:pStyle w:val="Compact"/>
            </w:pPr>
            <w:r>
              <w:t xml:space="preserve">742</w:t>
            </w:r>
          </w:p>
        </w:tc>
        <w:tc>
          <w:tcPr/>
          <w:p>
            <w:pPr>
              <w:pStyle w:val="Compact"/>
            </w:pPr>
            <w:r>
              <w:t xml:space="preserve">2,432</w:t>
            </w:r>
          </w:p>
        </w:tc>
        <w:tc>
          <w:tcPr/>
          <w:p>
            <w:pPr>
              <w:pStyle w:val="Compact"/>
            </w:pPr>
            <w:r>
              <w:t xml:space="preserve">2.46 (1.92–3.14)</w:t>
            </w:r>
          </w:p>
        </w:tc>
        <w:tc>
          <w:tcPr/>
          <w:p>
            <w:pPr>
              <w:pStyle w:val="Compact"/>
            </w:pPr>
            <w:r>
              <w:t xml:space="preserve">8.11 (5.16–11.06)</w:t>
            </w:r>
          </w:p>
        </w:tc>
        <w:tc>
          <w:tcPr/>
          <w:p>
            <w:pPr>
              <w:pStyle w:val="Compact"/>
            </w:pPr>
            <w:r>
              <w:t xml:space="preserve">0.535</w:t>
            </w:r>
          </w:p>
        </w:tc>
      </w:tr>
      <w:tr>
        <w:tc>
          <w:tcPr/>
          <w:p>
            <w:pPr>
              <w:pStyle w:val="Compact"/>
            </w:pPr>
          </w:p>
        </w:tc>
        <w:tc>
          <w:tcPr/>
          <w:p>
            <w:pPr>
              <w:pStyle w:val="Compact"/>
            </w:pPr>
            <w:r>
              <w:t xml:space="preserve">Middle</w:t>
            </w:r>
          </w:p>
        </w:tc>
        <w:tc>
          <w:tcPr/>
          <w:p>
            <w:pPr>
              <w:pStyle w:val="Compact"/>
            </w:pPr>
            <w:r>
              <w:t xml:space="preserve">33,826</w:t>
            </w:r>
          </w:p>
        </w:tc>
        <w:tc>
          <w:tcPr/>
          <w:p>
            <w:pPr>
              <w:pStyle w:val="Compact"/>
            </w:pPr>
            <w:r>
              <w:t xml:space="preserve">775</w:t>
            </w:r>
          </w:p>
        </w:tc>
        <w:tc>
          <w:tcPr/>
          <w:p>
            <w:pPr>
              <w:pStyle w:val="Compact"/>
            </w:pPr>
            <w:r>
              <w:t xml:space="preserve">2,600</w:t>
            </w:r>
          </w:p>
        </w:tc>
        <w:tc>
          <w:tcPr/>
          <w:p>
            <w:pPr>
              <w:pStyle w:val="Compact"/>
            </w:pPr>
            <w:r>
              <w:t xml:space="preserve">2.17 (1.74–2.70)</w:t>
            </w:r>
          </w:p>
        </w:tc>
        <w:tc>
          <w:tcPr/>
          <w:p>
            <w:pPr>
              <w:pStyle w:val="Compact"/>
            </w:pPr>
            <w:r>
              <w:t xml:space="preserve">7.28 (4.63–9.92)</w:t>
            </w:r>
          </w:p>
        </w:tc>
        <w:tc>
          <w:tcPr/>
          <w:p>
            <w:pPr>
              <w:pStyle w:val="Compact"/>
            </w:pPr>
          </w:p>
        </w:tc>
      </w:tr>
      <w:tr>
        <w:tc>
          <w:tcPr/>
          <w:p>
            <w:pPr>
              <w:pStyle w:val="Compact"/>
            </w:pPr>
          </w:p>
        </w:tc>
        <w:tc>
          <w:tcPr/>
          <w:p>
            <w:pPr>
              <w:pStyle w:val="Compact"/>
            </w:pPr>
            <w:r>
              <w:t xml:space="preserve">Low</w:t>
            </w:r>
          </w:p>
        </w:tc>
        <w:tc>
          <w:tcPr/>
          <w:p>
            <w:pPr>
              <w:pStyle w:val="Compact"/>
            </w:pPr>
            <w:r>
              <w:t xml:space="preserve">33,495</w:t>
            </w:r>
          </w:p>
        </w:tc>
        <w:tc>
          <w:tcPr/>
          <w:p>
            <w:pPr>
              <w:pStyle w:val="Compact"/>
            </w:pPr>
            <w:r>
              <w:t xml:space="preserve">901</w:t>
            </w:r>
          </w:p>
        </w:tc>
        <w:tc>
          <w:tcPr/>
          <w:p>
            <w:pPr>
              <w:pStyle w:val="Compact"/>
            </w:pPr>
            <w:r>
              <w:t xml:space="preserve">2,877</w:t>
            </w:r>
          </w:p>
        </w:tc>
        <w:tc>
          <w:tcPr/>
          <w:p>
            <w:pPr>
              <w:pStyle w:val="Compact"/>
            </w:pPr>
            <w:r>
              <w:t xml:space="preserve">2.40 (1.95–2.95)</w:t>
            </w:r>
          </w:p>
        </w:tc>
        <w:tc>
          <w:tcPr/>
          <w:p>
            <w:pPr>
              <w:pStyle w:val="Compact"/>
            </w:pPr>
            <w:r>
              <w:t xml:space="preserve">9.19 (6.38–11.99)</w:t>
            </w:r>
          </w:p>
        </w:tc>
        <w:tc>
          <w:tcPr/>
          <w:p>
            <w:pPr>
              <w:pStyle w:val="Compact"/>
            </w:pP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ALL SUBGROUP RESULTS ARE EXPLORATORY and are not adjusted for multiplicity. Each estimate is the adjusted association between dialysis-dependent kidney failure and 30-day readmission, refitted within that subgroup using the primary covariate block. A stratum is reported only when each of its four exposure-by-outcome cells holds at least 11 unweighted discharges; the interaction p value is derived from every stratum and is suppressed whenever any stratum is. Effect modification is assessed by a design-based Wald test on the whole interaction block, fitted on the rows with a non-missing modifier; the modifier’s deterministic parent covariate is removed from that model so that no coefficient is aliased (prior major bleeding for the bleeding subgroup, the volume tertile for the volume subgroup). Non-overlapping subgroup confidence intervals are NOT evidence of interaction and are not interpreted as such. The prior-major-bleeding subgroup is the pre-specified restricted comparison that addresses indication bias directly. No subgroup finding appears in the Conclusions.</w:t>
            </w:r>
          </w:p>
        </w:tc>
      </w:tr>
    </w:tbl>
    <w:p>
      <w:pPr>
        <w:pStyle w:val="CaptionedFigure"/>
      </w:pPr>
      <w:r>
        <w:drawing>
          <wp:inline>
            <wp:extent cx="5334000" cy="3407833"/>
            <wp:effectExtent b="0" l="0" r="0" t="0"/>
            <wp:docPr descr="Figure 3. Exploratory subgroup analyses." title="" id="49" name="Picture"/>
            <a:graphic>
              <a:graphicData uri="http://schemas.openxmlformats.org/drawingml/2006/picture">
                <pic:pic>
                  <pic:nvPicPr>
                    <pic:cNvPr descr="C:/Users/saada/Documents/Biostatistics/AliFam-Nerds/RCOP_NRD/NRD_Saad_LAAO_ESKD/figures/Figure3_subgroups.png" id="50" name="Picture"/>
                    <pic:cNvPicPr>
                      <a:picLocks noChangeArrowheads="1" noChangeAspect="1"/>
                    </pic:cNvPicPr>
                  </pic:nvPicPr>
                  <pic:blipFill>
                    <a:blip r:embed="rId48"/>
                    <a:stretch>
                      <a:fillRect/>
                    </a:stretch>
                  </pic:blipFill>
                  <pic:spPr bwMode="auto">
                    <a:xfrm>
                      <a:off x="0" y="0"/>
                      <a:ext cx="5334000" cy="3407833"/>
                    </a:xfrm>
                    <a:prstGeom prst="rect">
                      <a:avLst/>
                    </a:prstGeom>
                    <a:noFill/>
                    <a:ln w="9525">
                      <a:noFill/>
                      <a:headEnd/>
                      <a:tailEnd/>
                    </a:ln>
                  </pic:spPr>
                </pic:pic>
              </a:graphicData>
            </a:graphic>
          </wp:inline>
        </w:drawing>
      </w:r>
    </w:p>
    <w:p>
      <w:pPr>
        <w:pStyle w:val="ImageCaption"/>
      </w:pPr>
      <w:r>
        <w:t xml:space="preserve">Figure 3. Exploratory subgroup analyses.</w:t>
      </w:r>
    </w:p>
    <w:bookmarkEnd w:id="51"/>
    <w:bookmarkStart w:id="55" w:name="temporal-trends"/>
    <w:p>
      <w:pPr>
        <w:pStyle w:val="Heading2"/>
      </w:pPr>
      <w:r>
        <w:t xml:space="preserve">4.9 Temporal trends</w:t>
      </w:r>
    </w:p>
    <w:p>
      <w:pPr>
        <w:pStyle w:val="TableCaption"/>
      </w:pPr>
      <w:r>
        <w:t xml:space="preserve">Table S3. Temporal trends, 2016-2022.</w:t>
      </w:r>
    </w:p>
    <w:tbl>
      <w:tblPr>
        <w:tblStyle w:val="Table"/>
        <w:tblW w:type="pct" w:w="5000"/>
        <w:tblLayout w:type="fixed"/>
        <w:tblLook w:firstRow="1" w:lastRow="0" w:firstColumn="0" w:lastColumn="0" w:noHBand="0" w:noVBand="0" w:val="0020"/>
        <w:tblCaption w:val="Table S3. Temporal trends, 2016-2022."/>
      </w:tblPr>
      <w:tblGrid>
        <w:gridCol w:w="352"/>
        <w:gridCol w:w="2112"/>
        <w:gridCol w:w="2757"/>
        <w:gridCol w:w="1408"/>
        <w:gridCol w:w="1290"/>
      </w:tblGrid>
      <w:tr>
        <w:trPr>
          <w:tblHeader w:val="on"/>
        </w:trPr>
        <w:tc>
          <w:tcPr/>
          <w:p>
            <w:pPr>
              <w:pStyle w:val="Compact"/>
            </w:pPr>
            <w:r>
              <w:t xml:space="preserve">Year</w:t>
            </w:r>
          </w:p>
        </w:tc>
        <w:tc>
          <w:tcPr/>
          <w:p>
            <w:pPr>
              <w:pStyle w:val="Compact"/>
            </w:pPr>
            <w:r>
              <w:t xml:space="preserve">Weighted national index admissions</w:t>
            </w:r>
          </w:p>
        </w:tc>
        <w:tc>
          <w:tcPr/>
          <w:p>
            <w:pPr>
              <w:pStyle w:val="Compact"/>
            </w:pPr>
            <w:r>
              <w:t xml:space="preserve">Dialysis-dependent kidney failure, % (95% CI)</w:t>
            </w:r>
          </w:p>
        </w:tc>
        <w:tc>
          <w:tcPr/>
          <w:p>
            <w:pPr>
              <w:pStyle w:val="Compact"/>
            </w:pPr>
            <w:r>
              <w:t xml:space="preserve">Readmission, unexposed</w:t>
            </w:r>
          </w:p>
        </w:tc>
        <w:tc>
          <w:tcPr/>
          <w:p>
            <w:pPr>
              <w:pStyle w:val="Compact"/>
            </w:pPr>
            <w:r>
              <w:t xml:space="preserve">Readmission, exposed</w:t>
            </w:r>
          </w:p>
        </w:tc>
      </w:tr>
      <w:tr>
        <w:tc>
          <w:tcPr/>
          <w:p>
            <w:pPr>
              <w:pStyle w:val="Compact"/>
            </w:pPr>
            <w:r>
              <w:t xml:space="preserve">2016</w:t>
            </w:r>
          </w:p>
        </w:tc>
        <w:tc>
          <w:tcPr/>
          <w:p>
            <w:pPr>
              <w:pStyle w:val="Compact"/>
            </w:pPr>
            <w:r>
              <w:t xml:space="preserve">4,638</w:t>
            </w:r>
          </w:p>
        </w:tc>
        <w:tc>
          <w:tcPr/>
          <w:p>
            <w:pPr>
              <w:pStyle w:val="Compact"/>
            </w:pPr>
            <w:r>
              <w:t xml:space="preserve">1.8% (1.2–2.3)</w:t>
            </w:r>
          </w:p>
        </w:tc>
        <w:tc>
          <w:tcPr/>
          <w:p>
            <w:pPr>
              <w:pStyle w:val="Compact"/>
            </w:pPr>
            <w:r>
              <w:t xml:space="preserve">8.3% (7.1–9.5)</w:t>
            </w:r>
          </w:p>
        </w:tc>
        <w:tc>
          <w:tcPr/>
          <w:p>
            <w:pPr>
              <w:pStyle w:val="Compact"/>
            </w:pPr>
            <w:r>
              <w:t xml:space="preserve">21.1% (8.1–34.1)</w:t>
            </w:r>
          </w:p>
        </w:tc>
      </w:tr>
      <w:tr>
        <w:tc>
          <w:tcPr/>
          <w:p>
            <w:pPr>
              <w:pStyle w:val="Compact"/>
            </w:pPr>
            <w:r>
              <w:t xml:space="preserve">2017</w:t>
            </w:r>
          </w:p>
        </w:tc>
        <w:tc>
          <w:tcPr/>
          <w:p>
            <w:pPr>
              <w:pStyle w:val="Compact"/>
            </w:pPr>
            <w:r>
              <w:t xml:space="preserve">9,270</w:t>
            </w:r>
          </w:p>
        </w:tc>
        <w:tc>
          <w:tcPr/>
          <w:p>
            <w:pPr>
              <w:pStyle w:val="Compact"/>
            </w:pPr>
            <w:r>
              <w:t xml:space="preserve">2.5% (2.0–3.0)</w:t>
            </w:r>
          </w:p>
        </w:tc>
        <w:tc>
          <w:tcPr/>
          <w:p>
            <w:pPr>
              <w:pStyle w:val="Compact"/>
            </w:pPr>
            <w:r>
              <w:t xml:space="preserve">9.5% (8.7–10.4)</w:t>
            </w:r>
          </w:p>
        </w:tc>
        <w:tc>
          <w:tcPr/>
          <w:p>
            <w:pPr>
              <w:pStyle w:val="Compact"/>
            </w:pPr>
            <w:r>
              <w:t xml:space="preserve">23.3% (16.2–30.4)</w:t>
            </w:r>
          </w:p>
        </w:tc>
      </w:tr>
      <w:tr>
        <w:tc>
          <w:tcPr/>
          <w:p>
            <w:pPr>
              <w:pStyle w:val="Compact"/>
            </w:pPr>
            <w:r>
              <w:t xml:space="preserve">2018</w:t>
            </w:r>
          </w:p>
        </w:tc>
        <w:tc>
          <w:tcPr/>
          <w:p>
            <w:pPr>
              <w:pStyle w:val="Compact"/>
            </w:pPr>
            <w:r>
              <w:t xml:space="preserve">15,372</w:t>
            </w:r>
          </w:p>
        </w:tc>
        <w:tc>
          <w:tcPr/>
          <w:p>
            <w:pPr>
              <w:pStyle w:val="Compact"/>
            </w:pPr>
            <w:r>
              <w:t xml:space="preserve">2.8% (2.3–3.2)</w:t>
            </w:r>
          </w:p>
        </w:tc>
        <w:tc>
          <w:tcPr/>
          <w:p>
            <w:pPr>
              <w:pStyle w:val="Compact"/>
            </w:pPr>
            <w:r>
              <w:t xml:space="preserve">9.0% (8.3–9.6)</w:t>
            </w:r>
          </w:p>
        </w:tc>
        <w:tc>
          <w:tcPr/>
          <w:p>
            <w:pPr>
              <w:pStyle w:val="Compact"/>
            </w:pPr>
            <w:r>
              <w:t xml:space="preserve">23.0% (15.8–30.2)</w:t>
            </w:r>
          </w:p>
        </w:tc>
      </w:tr>
      <w:tr>
        <w:tc>
          <w:tcPr/>
          <w:p>
            <w:pPr>
              <w:pStyle w:val="Compact"/>
            </w:pPr>
            <w:r>
              <w:t xml:space="preserve">2019</w:t>
            </w:r>
          </w:p>
        </w:tc>
        <w:tc>
          <w:tcPr/>
          <w:p>
            <w:pPr>
              <w:pStyle w:val="Compact"/>
            </w:pPr>
            <w:r>
              <w:t xml:space="preserve">25,213</w:t>
            </w:r>
          </w:p>
        </w:tc>
        <w:tc>
          <w:tcPr/>
          <w:p>
            <w:pPr>
              <w:pStyle w:val="Compact"/>
            </w:pPr>
            <w:r>
              <w:t xml:space="preserve">2.7% (2.4–3.0)</w:t>
            </w:r>
          </w:p>
        </w:tc>
        <w:tc>
          <w:tcPr/>
          <w:p>
            <w:pPr>
              <w:pStyle w:val="Compact"/>
            </w:pPr>
            <w:r>
              <w:t xml:space="preserve">8.6% (8.1–9.2)</w:t>
            </w:r>
          </w:p>
        </w:tc>
        <w:tc>
          <w:tcPr/>
          <w:p>
            <w:pPr>
              <w:pStyle w:val="Compact"/>
            </w:pPr>
            <w:r>
              <w:t xml:space="preserve">19.4% (14.7–24.0)</w:t>
            </w:r>
          </w:p>
        </w:tc>
      </w:tr>
      <w:tr>
        <w:tc>
          <w:tcPr/>
          <w:p>
            <w:pPr>
              <w:pStyle w:val="Compact"/>
            </w:pPr>
            <w:r>
              <w:t xml:space="preserve">2020</w:t>
            </w:r>
          </w:p>
        </w:tc>
        <w:tc>
          <w:tcPr/>
          <w:p>
            <w:pPr>
              <w:pStyle w:val="Compact"/>
            </w:pPr>
            <w:r>
              <w:t xml:space="preserve">26,130</w:t>
            </w:r>
          </w:p>
        </w:tc>
        <w:tc>
          <w:tcPr/>
          <w:p>
            <w:pPr>
              <w:pStyle w:val="Compact"/>
            </w:pPr>
            <w:r>
              <w:t xml:space="preserve">2.8% (2.5–3.1)</w:t>
            </w:r>
          </w:p>
        </w:tc>
        <w:tc>
          <w:tcPr/>
          <w:p>
            <w:pPr>
              <w:pStyle w:val="Compact"/>
            </w:pPr>
            <w:r>
              <w:t xml:space="preserve">8.0% (7.4–8.5)</w:t>
            </w:r>
          </w:p>
        </w:tc>
        <w:tc>
          <w:tcPr/>
          <w:p>
            <w:pPr>
              <w:pStyle w:val="Compact"/>
            </w:pPr>
            <w:r>
              <w:t xml:space="preserve">16.1% (12.6–19.7)</w:t>
            </w:r>
          </w:p>
        </w:tc>
      </w:tr>
      <w:tr>
        <w:tc>
          <w:tcPr/>
          <w:p>
            <w:pPr>
              <w:pStyle w:val="Compact"/>
            </w:pPr>
            <w:r>
              <w:t xml:space="preserve">2021</w:t>
            </w:r>
          </w:p>
        </w:tc>
        <w:tc>
          <w:tcPr/>
          <w:p>
            <w:pPr>
              <w:pStyle w:val="Compact"/>
            </w:pPr>
            <w:r>
              <w:t xml:space="preserve">44,317</w:t>
            </w:r>
          </w:p>
        </w:tc>
        <w:tc>
          <w:tcPr/>
          <w:p>
            <w:pPr>
              <w:pStyle w:val="Compact"/>
            </w:pPr>
            <w:r>
              <w:t xml:space="preserve">2.3% (2.0–2.5)</w:t>
            </w:r>
          </w:p>
        </w:tc>
        <w:tc>
          <w:tcPr/>
          <w:p>
            <w:pPr>
              <w:pStyle w:val="Compact"/>
            </w:pPr>
            <w:r>
              <w:t xml:space="preserve">7.2% (6.7–7.7)</w:t>
            </w:r>
          </w:p>
        </w:tc>
        <w:tc>
          <w:tcPr/>
          <w:p>
            <w:pPr>
              <w:pStyle w:val="Compact"/>
            </w:pPr>
            <w:r>
              <w:t xml:space="preserve">17.4% (13.9–21.0)</w:t>
            </w:r>
          </w:p>
        </w:tc>
      </w:tr>
      <w:tr>
        <w:tc>
          <w:tcPr/>
          <w:p>
            <w:pPr>
              <w:pStyle w:val="Compact"/>
            </w:pPr>
            <w:r>
              <w:t xml:space="preserve">2022</w:t>
            </w:r>
          </w:p>
        </w:tc>
        <w:tc>
          <w:tcPr/>
          <w:p>
            <w:pPr>
              <w:pStyle w:val="Compact"/>
            </w:pPr>
            <w:r>
              <w:t xml:space="preserve">60,538</w:t>
            </w:r>
          </w:p>
        </w:tc>
        <w:tc>
          <w:tcPr/>
          <w:p>
            <w:pPr>
              <w:pStyle w:val="Compact"/>
            </w:pPr>
            <w:r>
              <w:t xml:space="preserve">2.0% (1.8–2.2)</w:t>
            </w:r>
          </w:p>
        </w:tc>
        <w:tc>
          <w:tcPr/>
          <w:p>
            <w:pPr>
              <w:pStyle w:val="Compact"/>
            </w:pPr>
            <w:r>
              <w:t xml:space="preserve">6.5% (6.1–6.8)</w:t>
            </w:r>
          </w:p>
        </w:tc>
        <w:tc>
          <w:tcPr/>
          <w:p>
            <w:pPr>
              <w:pStyle w:val="Compact"/>
            </w:pPr>
            <w:r>
              <w:t xml:space="preserve">19.0% (15.4–22.5)</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Four qualifications apply to every trend result reported here and must appear alongside them in the manuscript. First, these are seven independent annual cross-sections drawn from a partly changing hospital sample, not a longitudinal cohort; NRD patient linkage does not cross calendar years and hospital identifiers are reset each year. Second, coding intensity increased across this window, so an apparent rise in the prevalence of an any-listed diagnosis reflects ascertainment as much as incidence, and no biological trend is claimed. Third, 2020 is anomalous because of pandemic admission avoidance, COVID-19 coding and capacity effects, and is examined in the leave-2020-out sensitivity analysis S2. Fourth, and specific to this procedure, left atrial appendage occlusion diffused rapidly across this window, so the annual volume series describes the adoption of a technology rather than the incidence of a disease, and because ICD-10-PCS does not identify the device model the later years are a mixture of device generations in unknown proportion. The trend test enters discharge year as a continuous term replacing the year factor, which is a design-based test; Joinpoint and segmented regression on the annual point estimates are not appropriate because they ignore the survey design. An exposure-by-year interaction was NOT tested in this study: the analysis plan restricts that test to the two larger studies in the programme, and with this exposed event count spread over seven years it would be an underpowered test whose null result would carry no information.</w:t>
            </w:r>
          </w:p>
        </w:tc>
      </w:tr>
    </w:tbl>
    <w:p>
      <w:pPr>
        <w:pStyle w:val="BodyText"/>
      </w:pPr>
      <w:r>
        <w:rPr>
          <w:b/>
          <w:bCs/>
        </w:rPr>
        <w:t xml:space="preserve">Adjusted trend in the outcome.</w:t>
      </w:r>
      <w:r>
        <w:t xml:space="preserve"> </w:t>
      </w:r>
      <w:r>
        <w:t xml:space="preserve">0.94 (0.92–0.95) per calendar year (p &lt;0.001)</w:t>
      </w:r>
    </w:p>
    <w:p>
      <w:pPr>
        <w:pStyle w:val="BodyText"/>
      </w:pPr>
      <w:r>
        <w:rPr>
          <w:b/>
          <w:bCs/>
        </w:rPr>
        <w:t xml:space="preserve">Trend in exposure prevalence among LAAO admissions.</w:t>
      </w:r>
      <w:r>
        <w:t xml:space="preserve"> </w:t>
      </w:r>
      <w:r>
        <w:t xml:space="preserve">0.95 (0.92–0.98) per calendar year (p &lt;0.001)</w:t>
      </w:r>
    </w:p>
    <w:p>
      <w:pPr>
        <w:pStyle w:val="CaptionedFigure"/>
      </w:pPr>
      <w:r>
        <w:drawing>
          <wp:inline>
            <wp:extent cx="5334000" cy="3816851"/>
            <wp:effectExtent b="0" l="0" r="0" t="0"/>
            <wp:docPr descr="Figure S1. Temporal trends, 2016-2022." title="" id="53" name="Picture"/>
            <a:graphic>
              <a:graphicData uri="http://schemas.openxmlformats.org/drawingml/2006/picture">
                <pic:pic>
                  <pic:nvPicPr>
                    <pic:cNvPr descr="C:/Users/saada/Documents/Biostatistics/AliFam-Nerds/RCOP_NRD/NRD_Saad_LAAO_ESKD/figures/FigureS1_temporal_trends.png" id="54" name="Picture"/>
                    <pic:cNvPicPr>
                      <a:picLocks noChangeArrowheads="1" noChangeAspect="1"/>
                    </pic:cNvPicPr>
                  </pic:nvPicPr>
                  <pic:blipFill>
                    <a:blip r:embed="rId52"/>
                    <a:stretch>
                      <a:fillRect/>
                    </a:stretch>
                  </pic:blipFill>
                  <pic:spPr bwMode="auto">
                    <a:xfrm>
                      <a:off x="0" y="0"/>
                      <a:ext cx="5334000" cy="3816851"/>
                    </a:xfrm>
                    <a:prstGeom prst="rect">
                      <a:avLst/>
                    </a:prstGeom>
                    <a:noFill/>
                    <a:ln w="9525">
                      <a:noFill/>
                      <a:headEnd/>
                      <a:tailEnd/>
                    </a:ln>
                  </pic:spPr>
                </pic:pic>
              </a:graphicData>
            </a:graphic>
          </wp:inline>
        </w:drawing>
      </w:r>
    </w:p>
    <w:p>
      <w:pPr>
        <w:pStyle w:val="ImageCaption"/>
      </w:pPr>
      <w:r>
        <w:t xml:space="preserve">Figure S1. Temporal trends, 2016-2022.</w:t>
      </w:r>
    </w:p>
    <w:bookmarkEnd w:id="55"/>
    <w:bookmarkStart w:id="56" w:name="sensitivity-analyses"/>
    <w:p>
      <w:pPr>
        <w:pStyle w:val="Heading2"/>
      </w:pPr>
      <w:r>
        <w:t xml:space="preserve">4.10 Sensitivity analyses</w:t>
      </w:r>
    </w:p>
    <w:p>
      <w:pPr>
        <w:pStyle w:val="TableCaption"/>
      </w:pPr>
      <w:r>
        <w:t xml:space="preserve">Table 6. Sensitivity analyses, exposure estimate only.</w:t>
      </w:r>
    </w:p>
    <w:tbl>
      <w:tblPr>
        <w:tblStyle w:val="Table"/>
        <w:tblW w:type="pct" w:w="5000"/>
        <w:tblLayout w:type="fixed"/>
        <w:tblLook w:firstRow="1" w:lastRow="0" w:firstColumn="0" w:lastColumn="0" w:noHBand="0" w:noVBand="0" w:val="0020"/>
        <w:tblCaption w:val="Table 6. Sensitivity analyses, exposure estimate only."/>
      </w:tblPr>
      <w:tblGrid>
        <w:gridCol w:w="3053"/>
        <w:gridCol w:w="2353"/>
        <w:gridCol w:w="286"/>
        <w:gridCol w:w="1240"/>
        <w:gridCol w:w="986"/>
      </w:tblGrid>
      <w:tr>
        <w:trPr>
          <w:tblHeader w:val="on"/>
        </w:trPr>
        <w:tc>
          <w:tcPr/>
          <w:p>
            <w:pPr>
              <w:pStyle w:val="Compact"/>
            </w:pPr>
            <w:r>
              <w:t xml:space="preserve">Analysis</w:t>
            </w:r>
          </w:p>
        </w:tc>
        <w:tc>
          <w:tcPr/>
          <w:p>
            <w:pPr>
              <w:pStyle w:val="Compact"/>
            </w:pPr>
            <w:r>
              <w:t xml:space="preserve">Adjusted OR (95% CI)</w:t>
            </w:r>
          </w:p>
        </w:tc>
        <w:tc>
          <w:tcPr/>
          <w:p>
            <w:pPr>
              <w:pStyle w:val="Compact"/>
            </w:pPr>
            <w:r>
              <w:t xml:space="preserve">p value</w:t>
            </w:r>
          </w:p>
        </w:tc>
        <w:tc>
          <w:tcPr/>
          <w:p>
            <w:pPr>
              <w:pStyle w:val="Compact"/>
            </w:pPr>
            <w:r>
              <w:t xml:space="preserve">Adjusted risk difference, pp (95% CI)</w:t>
            </w:r>
          </w:p>
        </w:tc>
        <w:tc>
          <w:tcPr/>
          <w:p>
            <w:pPr>
              <w:pStyle w:val="Compact"/>
            </w:pPr>
            <w:r>
              <w:t xml:space="preserve">Adjusted risk ratio (95% CI)</w:t>
            </w:r>
          </w:p>
        </w:tc>
      </w:tr>
      <w:tr>
        <w:tc>
          <w:tcPr/>
          <w:p>
            <w:pPr>
              <w:pStyle w:val="Compact"/>
            </w:pPr>
            <w:r>
              <w:t xml:space="preserve">Primary model (reference)</w:t>
            </w:r>
          </w:p>
        </w:tc>
        <w:tc>
          <w:tcPr/>
          <w:p>
            <w:pPr>
              <w:pStyle w:val="Compact"/>
            </w:pPr>
            <w:r>
              <w:t xml:space="preserve">2.34 (2.07–2.65)</w:t>
            </w:r>
          </w:p>
        </w:tc>
        <w:tc>
          <w:tcPr/>
          <w:p>
            <w:pPr>
              <w:pStyle w:val="Compact"/>
            </w:pPr>
            <w:r>
              <w:t xml:space="preserve">&lt;0.001</w:t>
            </w:r>
          </w:p>
        </w:tc>
        <w:tc>
          <w:tcPr/>
          <w:p>
            <w:pPr>
              <w:pStyle w:val="Compact"/>
            </w:pPr>
            <w:r>
              <w:t xml:space="preserve">8.22 (6.66–9.77)</w:t>
            </w:r>
          </w:p>
        </w:tc>
        <w:tc>
          <w:tcPr/>
          <w:p>
            <w:pPr>
              <w:pStyle w:val="Compact"/>
            </w:pPr>
            <w:r>
              <w:t xml:space="preserve">2.08 (1.88–2.30)</w:t>
            </w:r>
          </w:p>
        </w:tc>
      </w:tr>
      <w:tr>
        <w:tc>
          <w:tcPr/>
          <w:p>
            <w:pPr>
              <w:pStyle w:val="Compact"/>
            </w:pPr>
            <w:r>
              <w:t xml:space="preserve">S1. First qualifying index admission per patient-year only</w:t>
            </w:r>
          </w:p>
        </w:tc>
        <w:tc>
          <w:tcPr/>
          <w:p>
            <w:pPr>
              <w:pStyle w:val="Compact"/>
            </w:pPr>
            <w:r>
              <w:t xml:space="preserve">2.34 (2.07–2.64)</w:t>
            </w:r>
          </w:p>
        </w:tc>
        <w:tc>
          <w:tcPr/>
          <w:p>
            <w:pPr>
              <w:pStyle w:val="Compact"/>
            </w:pPr>
            <w:r>
              <w:t xml:space="preserve">&lt;0.001</w:t>
            </w:r>
          </w:p>
        </w:tc>
        <w:tc>
          <w:tcPr/>
          <w:p>
            <w:pPr>
              <w:pStyle w:val="Compact"/>
            </w:pPr>
            <w:r>
              <w:t xml:space="preserve">8.21 (6.66–9.77)</w:t>
            </w:r>
          </w:p>
        </w:tc>
        <w:tc>
          <w:tcPr/>
          <w:p>
            <w:pPr>
              <w:pStyle w:val="Compact"/>
            </w:pPr>
            <w:r>
              <w:t xml:space="preserve">2.08 (1.88–2.30)</w:t>
            </w:r>
          </w:p>
        </w:tc>
      </w:tr>
      <w:tr>
        <w:tc>
          <w:tcPr/>
          <w:p>
            <w:pPr>
              <w:pStyle w:val="Compact"/>
            </w:pPr>
            <w:r>
              <w:t xml:space="preserve">S2. Leave-2020-out</w:t>
            </w:r>
          </w:p>
        </w:tc>
        <w:tc>
          <w:tcPr/>
          <w:p>
            <w:pPr>
              <w:pStyle w:val="Compact"/>
            </w:pPr>
            <w:r>
              <w:t xml:space="preserve">2.45 (2.14–2.81)</w:t>
            </w:r>
          </w:p>
        </w:tc>
        <w:tc>
          <w:tcPr/>
          <w:p>
            <w:pPr>
              <w:pStyle w:val="Compact"/>
            </w:pPr>
            <w:r>
              <w:t xml:space="preserve">&lt;0.001</w:t>
            </w:r>
          </w:p>
        </w:tc>
        <w:tc>
          <w:tcPr/>
          <w:p>
            <w:pPr>
              <w:pStyle w:val="Compact"/>
            </w:pPr>
            <w:r>
              <w:t xml:space="preserve">8.77 (7.01–10.52)</w:t>
            </w:r>
          </w:p>
        </w:tc>
        <w:tc>
          <w:tcPr/>
          <w:p>
            <w:pPr>
              <w:pStyle w:val="Compact"/>
            </w:pPr>
            <w:r>
              <w:t xml:space="preserve">2.17 (1.94–2.42)</w:t>
            </w:r>
          </w:p>
        </w:tc>
      </w:tr>
      <w:tr>
        <w:tc>
          <w:tcPr/>
          <w:p>
            <w:pPr>
              <w:pStyle w:val="Compact"/>
            </w:pPr>
            <w:r>
              <w:t xml:space="preserve">S3. Propensity-score overlap-weighted (ATO) estimate – also reported as co-primary</w:t>
            </w:r>
          </w:p>
        </w:tc>
        <w:tc>
          <w:tcPr/>
          <w:p>
            <w:pPr>
              <w:pStyle w:val="Compact"/>
            </w:pPr>
            <w:r>
              <w:t xml:space="preserve">2.29 (2.02–2.59)</w:t>
            </w:r>
          </w:p>
        </w:tc>
        <w:tc>
          <w:tcPr/>
          <w:p>
            <w:pPr>
              <w:pStyle w:val="Compact"/>
            </w:pPr>
            <w:r>
              <w:t xml:space="preserve">&lt;0.001</w:t>
            </w:r>
          </w:p>
        </w:tc>
        <w:tc>
          <w:tcPr/>
          <w:p>
            <w:pPr>
              <w:pStyle w:val="Compact"/>
            </w:pPr>
            <w:r>
              <w:t xml:space="preserve">9.36 (7.64–11.08)</w:t>
            </w:r>
          </w:p>
        </w:tc>
        <w:tc>
          <w:tcPr/>
          <w:p>
            <w:pPr>
              <w:pStyle w:val="Compact"/>
            </w:pPr>
            <w:r>
              <w:t xml:space="preserve">1.99 (1.81–2.20)</w:t>
            </w:r>
          </w:p>
        </w:tc>
      </w:tr>
      <w:tr>
        <w:tc>
          <w:tcPr/>
          <w:p>
            <w:pPr>
              <w:pStyle w:val="Compact"/>
            </w:pPr>
            <w:r>
              <w:t xml:space="preserve">S4. Cox model, administrative censoring at day 30, full cohort</w:t>
            </w:r>
          </w:p>
        </w:tc>
        <w:tc>
          <w:tcPr/>
          <w:p>
            <w:pPr>
              <w:pStyle w:val="Compact"/>
            </w:pPr>
            <w:r>
              <w:t xml:space="preserve">HR 2.19 (1.96–2.45)</w:t>
            </w:r>
          </w:p>
        </w:tc>
        <w:tc>
          <w:tcPr/>
          <w:p>
            <w:pPr>
              <w:pStyle w:val="Compact"/>
            </w:pPr>
            <w:r>
              <w:t xml:space="preserve">&lt;0.001</w:t>
            </w:r>
          </w:p>
        </w:tc>
        <w:tc>
          <w:tcPr/>
          <w:p>
            <w:pPr>
              <w:pStyle w:val="Compact"/>
            </w:pPr>
            <w:r>
              <w:t xml:space="preserve">Not applicable (hazard scale)</w:t>
            </w:r>
          </w:p>
        </w:tc>
        <w:tc>
          <w:tcPr/>
          <w:p>
            <w:pPr>
              <w:pStyle w:val="Compact"/>
            </w:pPr>
            <w:r>
              <w:t xml:space="preserve">Not applicable (hazard scale)</w:t>
            </w:r>
          </w:p>
        </w:tc>
      </w:tr>
      <w:tr>
        <w:tc>
          <w:tcPr/>
          <w:p>
            <w:pPr>
              <w:pStyle w:val="Compact"/>
            </w:pPr>
            <w:r>
              <w:t xml:space="preserve">S5. Device-era restriction: 2020-2022 discharges only</w:t>
            </w:r>
          </w:p>
        </w:tc>
        <w:tc>
          <w:tcPr/>
          <w:p>
            <w:pPr>
              <w:pStyle w:val="Compact"/>
            </w:pPr>
            <w:r>
              <w:t xml:space="preserve">2.30 (1.97–2.68)</w:t>
            </w:r>
          </w:p>
        </w:tc>
        <w:tc>
          <w:tcPr/>
          <w:p>
            <w:pPr>
              <w:pStyle w:val="Compact"/>
            </w:pPr>
            <w:r>
              <w:t xml:space="preserve">&lt;0.001</w:t>
            </w:r>
          </w:p>
        </w:tc>
        <w:tc>
          <w:tcPr/>
          <w:p>
            <w:pPr>
              <w:pStyle w:val="Compact"/>
            </w:pPr>
            <w:r>
              <w:t xml:space="preserve">7.53 (5.72–9.34)</w:t>
            </w:r>
          </w:p>
        </w:tc>
        <w:tc>
          <w:tcPr/>
          <w:p>
            <w:pPr>
              <w:pStyle w:val="Compact"/>
            </w:pPr>
            <w:r>
              <w:t xml:space="preserve">2.07 (1.82–2.35)</w:t>
            </w:r>
          </w:p>
        </w:tc>
      </w:tr>
      <w:tr>
        <w:tc>
          <w:tcPr/>
          <w:p>
            <w:pPr>
              <w:pStyle w:val="Compact"/>
            </w:pPr>
            <w:r>
              <w:t xml:space="preserve">S6. Alternative exposure: N18.6 with or without a dialysis-dependence marker</w:t>
            </w:r>
          </w:p>
        </w:tc>
        <w:tc>
          <w:tcPr/>
          <w:p>
            <w:pPr>
              <w:pStyle w:val="Compact"/>
            </w:pPr>
            <w:r>
              <w:t xml:space="preserve">2.38 (2.12–2.66)</w:t>
            </w:r>
          </w:p>
        </w:tc>
        <w:tc>
          <w:tcPr/>
          <w:p>
            <w:pPr>
              <w:pStyle w:val="Compact"/>
            </w:pPr>
            <w:r>
              <w:t xml:space="preserve">&lt;0.001</w:t>
            </w:r>
          </w:p>
        </w:tc>
        <w:tc>
          <w:tcPr/>
          <w:p>
            <w:pPr>
              <w:pStyle w:val="Compact"/>
            </w:pPr>
            <w:r>
              <w:t xml:space="preserve">8.39 (6.94–9.84)</w:t>
            </w:r>
          </w:p>
        </w:tc>
        <w:tc>
          <w:tcPr/>
          <w:p>
            <w:pPr>
              <w:pStyle w:val="Compact"/>
            </w:pPr>
            <w:r>
              <w:t xml:space="preserve">2.11 (1.92–2.31)</w:t>
            </w:r>
          </w:p>
        </w:tc>
      </w:tr>
      <w:tr>
        <w:tc>
          <w:tcPr/>
          <w:p>
            <w:pPr>
              <w:pStyle w:val="Compact"/>
            </w:pPr>
            <w:r>
              <w:t xml:space="preserve">S7. Excluding non-elective index admissions</w:t>
            </w:r>
          </w:p>
        </w:tc>
        <w:tc>
          <w:tcPr/>
          <w:p>
            <w:pPr>
              <w:pStyle w:val="Compact"/>
            </w:pPr>
            <w:r>
              <w:t xml:space="preserve">2.39 (2.09–2.72)</w:t>
            </w:r>
          </w:p>
        </w:tc>
        <w:tc>
          <w:tcPr/>
          <w:p>
            <w:pPr>
              <w:pStyle w:val="Compact"/>
            </w:pPr>
            <w:r>
              <w:t xml:space="preserve">&lt;0.001</w:t>
            </w:r>
          </w:p>
        </w:tc>
        <w:tc>
          <w:tcPr/>
          <w:p>
            <w:pPr>
              <w:pStyle w:val="Compact"/>
            </w:pPr>
            <w:r>
              <w:t xml:space="preserve">8.25 (6.63–9.87)</w:t>
            </w:r>
          </w:p>
        </w:tc>
        <w:tc>
          <w:tcPr/>
          <w:p>
            <w:pPr>
              <w:pStyle w:val="Compact"/>
            </w:pPr>
            <w:r>
              <w:t xml:space="preserve">2.13 (1.91–2.37)</w:t>
            </w:r>
          </w:p>
        </w:tc>
      </w:tr>
      <w:tr>
        <w:tc>
          <w:tcPr/>
          <w:p>
            <w:pPr>
              <w:pStyle w:val="Compact"/>
            </w:pPr>
            <w:r>
              <w:t xml:space="preserve">S8. Exposure ascertained from I10_DX1-I10_DX30 and I10_PR1-I10_PR15 only (uniform field depth)</w:t>
            </w:r>
          </w:p>
        </w:tc>
        <w:tc>
          <w:tcPr/>
          <w:p>
            <w:pPr>
              <w:pStyle w:val="Compact"/>
            </w:pPr>
            <w:r>
              <w:t xml:space="preserve">2.34 (2.07–2.65)</w:t>
            </w:r>
          </w:p>
        </w:tc>
        <w:tc>
          <w:tcPr/>
          <w:p>
            <w:pPr>
              <w:pStyle w:val="Compact"/>
            </w:pPr>
            <w:r>
              <w:t xml:space="preserve">&lt;0.001</w:t>
            </w:r>
          </w:p>
        </w:tc>
        <w:tc>
          <w:tcPr/>
          <w:p>
            <w:pPr>
              <w:pStyle w:val="Compact"/>
            </w:pPr>
            <w:r>
              <w:t xml:space="preserve">8.21 (6.65–9.76)</w:t>
            </w:r>
          </w:p>
        </w:tc>
        <w:tc>
          <w:tcPr/>
          <w:p>
            <w:pPr>
              <w:pStyle w:val="Compact"/>
            </w:pPr>
            <w:r>
              <w:t xml:space="preserve">2.08 (1.88–2.30)</w:t>
            </w:r>
          </w:p>
        </w:tc>
      </w:tr>
      <w:tr>
        <w:tc>
          <w:tcPr/>
          <w:p>
            <w:pPr>
              <w:pStyle w:val="Compact"/>
            </w:pPr>
            <w:r>
              <w:t xml:space="preserve">Present-on-admission-restricted definitions (SAP C1 item 4)</w:t>
            </w:r>
          </w:p>
        </w:tc>
        <w:tc>
          <w:tcPr/>
          <w:p>
            <w:pPr>
              <w:pStyle w:val="Compact"/>
            </w:pPr>
            <w:r>
              <w:t xml:space="preserve">Not estimable: no present-on-admission indicator exists in NRD 2016-2022</w:t>
            </w:r>
          </w:p>
        </w:tc>
        <w:tc>
          <w:tcPr/>
          <w:p>
            <w:pPr>
              <w:pStyle w:val="Compact"/>
            </w:pPr>
            <w:r>
              <w:t xml:space="preserve">—</w:t>
            </w:r>
          </w:p>
        </w:tc>
        <w:tc>
          <w:tcPr/>
          <w:p>
            <w:pPr>
              <w:pStyle w:val="Compact"/>
            </w:pPr>
            <w:r>
              <w:t xml:space="preserve">Not estimable</w:t>
            </w:r>
          </w:p>
        </w:tc>
        <w:tc>
          <w:tcPr/>
          <w:p>
            <w:pPr>
              <w:pStyle w:val="Compact"/>
            </w:pPr>
            <w:r>
              <w:t xml:space="preserve">Not estimable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Sensitivity analyses are consistency checks and are NOT corrected for multiplicity; they are judged on whether the point estimate moves, not on whether a p-value crosses 0.05. Every subset was taken with subset() on the survey design constructed once on the full cohort, so the stratum information needed for correct variance estimation is preserved; the design was never rebuilt on filtered data. S3 is the co-primary overlap-weighted estimate carried across from Table 3b, not a second computation of it. S5 is a CALENDAR restriction, not a device restriction: ICD-10-PCS code 02L73DK covers every intraluminal left atrial appendage occlusion device and the device model cannot be identified from administrative data. S6 widens the exposure to any N18.6 diagnosis regardless of dialysis dependence, which is closer to the definition used by the published propensity-matched network analysis. S8 re-ascertains the exposure within the diagnosis and procedure fields present in every data year; records exposed only through a higher-numbered field are re-classified as unexposed. Present-on-admission-restricted definitions are NOT ESTIMABLE in NRD 2016-2022, which carries no present-on-admission indicator. Rows that could not be estimated or were suppressed (reason in the table): Present-on-admission-restricted definitions (SAP C1 item 4). The overlap-weighted design had an effective sample size of 7,864. The Cox model in S4 is a sensitivity analysis only and is not an alternative primary specification: every patient has complete 30-day follow-up by design, so a hazard ratio adds no information beyond the binary outcome.</w:t>
            </w:r>
          </w:p>
        </w:tc>
      </w:tr>
    </w:tbl>
    <w:p>
      <w:pPr>
        <w:pStyle w:val="TableCaption"/>
      </w:pPr>
      <w:r>
        <w:t xml:space="preserve">Table 6b. Pre-specified negative control outcome.</w:t>
      </w:r>
    </w:p>
    <w:tbl>
      <w:tblPr>
        <w:tblStyle w:val="Table"/>
        <w:tblW w:type="pct" w:w="5000"/>
        <w:tblLayout w:type="fixed"/>
        <w:tblLook w:firstRow="1" w:lastRow="0" w:firstColumn="0" w:lastColumn="0" w:noHBand="0" w:noVBand="0" w:val="0020"/>
        <w:tblCaption w:val="Table 6b. Pre-specified negative control outcome."/>
      </w:tblPr>
      <w:tblGrid>
        <w:gridCol w:w="2015"/>
        <w:gridCol w:w="492"/>
        <w:gridCol w:w="1031"/>
        <w:gridCol w:w="210"/>
        <w:gridCol w:w="4170"/>
      </w:tblGrid>
      <w:tr>
        <w:trPr>
          <w:tblHeader w:val="on"/>
        </w:trPr>
        <w:tc>
          <w:tcPr/>
          <w:p>
            <w:pPr>
              <w:pStyle w:val="Compact"/>
            </w:pPr>
            <w:r>
              <w:t xml:space="preserve">Analysis</w:t>
            </w:r>
          </w:p>
        </w:tc>
        <w:tc>
          <w:tcPr/>
          <w:p>
            <w:pPr>
              <w:pStyle w:val="Compact"/>
            </w:pPr>
            <w:r>
              <w:t xml:space="preserve">Events (unweighted)</w:t>
            </w:r>
          </w:p>
        </w:tc>
        <w:tc>
          <w:tcPr/>
          <w:p>
            <w:pPr>
              <w:pStyle w:val="Compact"/>
            </w:pPr>
            <w:r>
              <w:t xml:space="preserve">Adjusted OR (95% CI)</w:t>
            </w:r>
          </w:p>
        </w:tc>
        <w:tc>
          <w:tcPr/>
          <w:p>
            <w:pPr>
              <w:pStyle w:val="Compact"/>
            </w:pPr>
            <w:r>
              <w:t xml:space="preserve">p value</w:t>
            </w:r>
          </w:p>
        </w:tc>
        <w:tc>
          <w:tcPr/>
          <w:p>
            <w:pPr>
              <w:pStyle w:val="Compact"/>
            </w:pPr>
            <w:r>
              <w:t xml:space="preserve">Interpretation</w:t>
            </w:r>
          </w:p>
        </w:tc>
      </w:tr>
      <w:tr>
        <w:tc>
          <w:tcPr/>
          <w:p>
            <w:pPr>
              <w:pStyle w:val="Compact"/>
            </w:pPr>
            <w:r>
              <w:t xml:space="preserve">Negative control: 30-day readmission with a skin or subcutaneous principal diagnosis</w:t>
            </w:r>
          </w:p>
        </w:tc>
        <w:tc>
          <w:tcPr/>
          <w:p>
            <w:pPr>
              <w:pStyle w:val="Compact"/>
            </w:pPr>
            <w:r>
              <w:t xml:space="preserve">&lt;11 (suppressed)</w:t>
            </w:r>
          </w:p>
        </w:tc>
        <w:tc>
          <w:tcPr/>
          <w:p>
            <w:pPr>
              <w:pStyle w:val="Compact"/>
            </w:pPr>
            <w:r>
              <w:t xml:space="preserve">Suppressed (&lt;11 events in an exposure arm)</w:t>
            </w:r>
          </w:p>
        </w:tc>
        <w:tc>
          <w:tcPr/>
          <w:p>
            <w:pPr>
              <w:pStyle w:val="Compact"/>
            </w:pPr>
            <w:r>
              <w:t xml:space="preserve">—</w:t>
            </w:r>
          </w:p>
        </w:tc>
        <w:tc>
          <w:tcPr/>
          <w:p>
            <w:pPr>
              <w:pStyle w:val="Compact"/>
            </w:pPr>
            <w:r>
              <w:t xml:space="preserve">Not estimable at the HCUP minimum cell size: the pre-specified negative control is uninformative in this cohort. It is reported so that the pre-specified test is accounted for.</w:t>
            </w:r>
          </w:p>
        </w:tc>
      </w:tr>
    </w:tbl>
    <w:bookmarkEnd w:id="56"/>
    <w:bookmarkEnd w:id="57"/>
    <w:bookmarkStart w:id="64" w:name="supplement"/>
    <w:p>
      <w:pPr>
        <w:pStyle w:val="Heading1"/>
      </w:pPr>
      <w:r>
        <w:t xml:space="preserve">5. Supplement</w:t>
      </w:r>
    </w:p>
    <w:bookmarkStart w:id="61" w:name="survey-design-and-model-diagnostics"/>
    <w:p>
      <w:pPr>
        <w:pStyle w:val="Heading2"/>
      </w:pPr>
      <w:r>
        <w:t xml:space="preserve">5.1 Survey design and model diagnostics</w:t>
      </w:r>
    </w:p>
    <w:p>
      <w:pPr>
        <w:pStyle w:val="TableCaption"/>
      </w:pPr>
      <w:r>
        <w:t xml:space="preserve">Table S1. Survey design properties.</w:t>
      </w:r>
    </w:p>
    <w:tbl>
      <w:tblPr>
        <w:tblStyle w:val="Table"/>
        <w:tblW w:type="pct" w:w="5000"/>
        <w:tblLayout w:type="fixed"/>
        <w:tblLook w:firstRow="1" w:lastRow="0" w:firstColumn="0" w:lastColumn="0" w:noHBand="0" w:noVBand="0" w:val="0020"/>
        <w:tblCaption w:val="Table S1. Survey design properties."/>
      </w:tblPr>
      <w:tblGrid>
        <w:gridCol w:w="6019"/>
        <w:gridCol w:w="190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Unweighted index admissions</w:t>
            </w:r>
          </w:p>
        </w:tc>
        <w:tc>
          <w:tcPr/>
          <w:p>
            <w:pPr>
              <w:pStyle w:val="Compact"/>
            </w:pPr>
            <w:r>
              <w:t xml:space="preserve">101,813</w:t>
            </w:r>
          </w:p>
        </w:tc>
      </w:tr>
      <w:tr>
        <w:tc>
          <w:tcPr/>
          <w:p>
            <w:pPr>
              <w:pStyle w:val="Compact"/>
            </w:pPr>
            <w:r>
              <w:t xml:space="preserve">Weighted national index admissions</w:t>
            </w:r>
          </w:p>
        </w:tc>
        <w:tc>
          <w:tcPr/>
          <w:p>
            <w:pPr>
              <w:pStyle w:val="Compact"/>
            </w:pPr>
            <w:r>
              <w:t xml:space="preserve">185,478</w:t>
            </w:r>
          </w:p>
        </w:tc>
      </w:tr>
      <w:tr>
        <w:tc>
          <w:tcPr/>
          <w:p>
            <w:pPr>
              <w:pStyle w:val="Compact"/>
            </w:pPr>
            <w:r>
              <w:t xml:space="preserve">Strata (year x NRD stratum, integer-coded)</w:t>
            </w:r>
          </w:p>
        </w:tc>
        <w:tc>
          <w:tcPr/>
          <w:p>
            <w:pPr>
              <w:pStyle w:val="Compact"/>
            </w:pPr>
            <w:r>
              <w:t xml:space="preserve">316</w:t>
            </w:r>
          </w:p>
        </w:tc>
      </w:tr>
      <w:tr>
        <w:tc>
          <w:tcPr/>
          <w:p>
            <w:pPr>
              <w:pStyle w:val="Compact"/>
            </w:pPr>
            <w:r>
              <w:t xml:space="preserve">Primary sampling units (year x hospital, integer-coded)</w:t>
            </w:r>
          </w:p>
        </w:tc>
        <w:tc>
          <w:tcPr/>
          <w:p>
            <w:pPr>
              <w:pStyle w:val="Compact"/>
            </w:pPr>
            <w:r>
              <w:t xml:space="preserve">2,312</w:t>
            </w:r>
          </w:p>
        </w:tc>
      </w:tr>
      <w:tr>
        <w:tc>
          <w:tcPr/>
          <w:p>
            <w:pPr>
              <w:pStyle w:val="Compact"/>
            </w:pPr>
            <w:r>
              <w:t xml:space="preserve">Strata containing a single PSU</w:t>
            </w:r>
          </w:p>
        </w:tc>
        <w:tc>
          <w:tcPr/>
          <w:p>
            <w:pPr>
              <w:pStyle w:val="Compact"/>
            </w:pPr>
            <w:r>
              <w:t xml:space="preserve">59</w:t>
            </w:r>
          </w:p>
        </w:tc>
      </w:tr>
      <w:tr>
        <w:tc>
          <w:tcPr/>
          <w:p>
            <w:pPr>
              <w:pStyle w:val="Compact"/>
            </w:pPr>
            <w:r>
              <w:t xml:space="preserve">Design degrees of freedom</w:t>
            </w:r>
          </w:p>
        </w:tc>
        <w:tc>
          <w:tcPr/>
          <w:p>
            <w:pPr>
              <w:pStyle w:val="Compact"/>
            </w:pPr>
            <w:r>
              <w:t xml:space="preserve">1,996</w:t>
            </w:r>
          </w:p>
        </w:tc>
      </w:tr>
      <w:tr>
        <w:tc>
          <w:tcPr/>
          <w:p>
            <w:pPr>
              <w:pStyle w:val="Compact"/>
            </w:pPr>
            <w:r>
              <w:t xml:space="preserve">Critical value used for manually constructed intervals</w:t>
            </w:r>
          </w:p>
        </w:tc>
        <w:tc>
          <w:tcPr/>
          <w:p>
            <w:pPr>
              <w:pStyle w:val="Compact"/>
            </w:pPr>
            <w:r>
              <w:t xml:space="preserve">t(1,996) = 1.961</w:t>
            </w:r>
          </w:p>
        </w:tc>
      </w:tr>
    </w:tbl>
    <w:p>
      <w:pPr>
        <w:pStyle w:val="BodyText"/>
      </w:pPr>
      <w:r>
        <w:t xml:space="preserve"> </w:t>
      </w:r>
    </w:p>
    <w:p>
      <w:pPr>
        <w:pStyle w:val="TableCaption"/>
      </w:pPr>
      <w:r>
        <w:t xml:space="preserve">Table S4. Model diagnostics.</w:t>
      </w:r>
    </w:p>
    <w:tbl>
      <w:tblPr>
        <w:tblStyle w:val="Table"/>
        <w:tblW w:type="pct" w:w="5000"/>
        <w:tblLayout w:type="fixed"/>
        <w:tblLook w:firstRow="1" w:lastRow="0" w:firstColumn="0" w:lastColumn="0" w:noHBand="0" w:noVBand="0" w:val="0020"/>
        <w:tblCaption w:val="Table S4. Model diagnostics."/>
      </w:tblPr>
      <w:tblGrid>
        <w:gridCol w:w="958"/>
        <w:gridCol w:w="562"/>
        <w:gridCol w:w="6399"/>
      </w:tblGrid>
      <w:tr>
        <w:trPr>
          <w:tblHeader w:val="on"/>
        </w:trPr>
        <w:tc>
          <w:tcPr/>
          <w:p>
            <w:pPr>
              <w:pStyle w:val="Compact"/>
            </w:pPr>
            <w:r>
              <w:t xml:space="preserve">Diagnostic</w:t>
            </w:r>
          </w:p>
        </w:tc>
        <w:tc>
          <w:tcPr/>
          <w:p>
            <w:pPr>
              <w:pStyle w:val="Compact"/>
            </w:pPr>
            <w:r>
              <w:t xml:space="preserve">Value</w:t>
            </w:r>
          </w:p>
        </w:tc>
        <w:tc>
          <w:tcPr/>
          <w:p>
            <w:pPr>
              <w:pStyle w:val="Compact"/>
            </w:pPr>
            <w:r>
              <w:t xml:space="preserve">Interpretation</w:t>
            </w:r>
          </w:p>
        </w:tc>
      </w:tr>
      <w:tr>
        <w:tc>
          <w:tcPr/>
          <w:p>
            <w:pPr>
              <w:pStyle w:val="Compact"/>
            </w:pPr>
            <w:r>
              <w:t xml:space="preserve">Maximum variance inflation factor (per design-matrix column)</w:t>
            </w:r>
          </w:p>
        </w:tc>
        <w:tc>
          <w:tcPr/>
          <w:p>
            <w:pPr>
              <w:pStyle w:val="Compact"/>
            </w:pPr>
            <w:r>
              <w:t xml:space="preserve">22.68</w:t>
            </w:r>
          </w:p>
        </w:tc>
        <w:tc>
          <w:tcPr/>
          <w:p>
            <w:pPr>
              <w:pStyle w:val="Compact"/>
            </w:pPr>
            <w:r>
              <w:t xml:space="preserve">Above 5 only for the age natural-spline basis columns and the discharge-year indicators (Age, natural-spline basis 1; Age, natural-spline basis 2; Age, natural-spline basis 3; Discharge year: 2022; Discharge year: 2021; Discharge year: 2020; Discharge year: 2019). Basis columns of one spline are collinear with each other by construction and year indicators are inflated by a small reference year; neither is collinearity between covariates, and the exposure column is not affected (see Table S4b).</w:t>
            </w:r>
          </w:p>
        </w:tc>
      </w:tr>
      <w:tr>
        <w:tc>
          <w:tcPr/>
          <w:p>
            <w:pPr>
              <w:pStyle w:val="Compact"/>
            </w:pPr>
            <w:r>
              <w:t xml:space="preserve">Survey-weighted c-statistic (tie-corrected)</w:t>
            </w:r>
          </w:p>
        </w:tc>
        <w:tc>
          <w:tcPr/>
          <w:p>
            <w:pPr>
              <w:pStyle w:val="Compact"/>
            </w:pPr>
            <w:r>
              <w:t xml:space="preserve">0.648</w:t>
            </w:r>
          </w:p>
        </w:tc>
        <w:tc>
          <w:tcPr/>
          <w:p>
            <w:pPr>
              <w:pStyle w:val="Compact"/>
            </w:pPr>
            <w:r>
              <w:t xml:space="preserve">Reported without a threshold; discrimination is not the objective of an aetiological model</w:t>
            </w:r>
          </w:p>
        </w:tc>
      </w:tr>
      <w:tr>
        <w:tc>
          <w:tcPr/>
          <w:p>
            <w:pPr>
              <w:pStyle w:val="Compact"/>
            </w:pPr>
            <w:r>
              <w:t xml:space="preserve">Design-based decile calibration test (survey analogue of Hosmer-Lemeshow)</w:t>
            </w:r>
          </w:p>
        </w:tc>
        <w:tc>
          <w:tcPr/>
          <w:p>
            <w:pPr>
              <w:pStyle w:val="Compact"/>
            </w:pPr>
            <w:r>
              <w:t xml:space="preserve">&lt;0.001</w:t>
            </w:r>
          </w:p>
        </w:tc>
        <w:tc>
          <w:tcPr/>
          <w:p>
            <w:pPr>
              <w:pStyle w:val="Compact"/>
            </w:pPr>
            <w:r>
              <w:t xml:space="preserve">A calibration test in a cohort of this size is expected to reject. Figure S4 is the substantive evidence; this p-value is reported for completeness only and is not interpreted alone.</w:t>
            </w:r>
          </w:p>
        </w:tc>
      </w:tr>
      <w:tr>
        <w:tc>
          <w:tcPr/>
          <w:p>
            <w:pPr>
              <w:pStyle w:val="Compact"/>
            </w:pPr>
            <w:r>
              <w:t xml:space="preserve">Propensity-score range by exposure arm</w:t>
            </w:r>
          </w:p>
        </w:tc>
        <w:tc>
          <w:tcPr/>
          <w:p>
            <w:pPr>
              <w:pStyle w:val="Compact"/>
            </w:pPr>
            <w:r>
              <w:t xml:space="preserve">exposed 0.001-0.712, unexposed 0.000-0.627</w:t>
            </w:r>
          </w:p>
        </w:tc>
        <w:tc>
          <w:tcPr/>
          <w:p>
            <w:pPr>
              <w:pStyle w:val="Compact"/>
            </w:pPr>
            <w:r>
              <w:t xml:space="preserve">Wide, overlapping ranges mean the overlap-weighted estimand is defined across the covariate space rather than in a narrow sliver of it</w:t>
            </w:r>
          </w:p>
        </w:tc>
      </w:tr>
      <w:tr>
        <w:tc>
          <w:tcPr/>
          <w:p>
            <w:pPr>
              <w:pStyle w:val="Compact"/>
            </w:pPr>
            <w:r>
              <w:t xml:space="preserve">Effective sample size after overlap weighting</w:t>
            </w:r>
          </w:p>
        </w:tc>
        <w:tc>
          <w:tcPr/>
          <w:p>
            <w:pPr>
              <w:pStyle w:val="Compact"/>
            </w:pPr>
            <w:r>
              <w:t xml:space="preserve">7,864</w:t>
            </w:r>
          </w:p>
        </w:tc>
        <w:tc>
          <w:tcPr/>
          <w:p>
            <w:pPr>
              <w:pStyle w:val="Compact"/>
            </w:pPr>
            <w:r>
              <w:t xml:space="preserve">The population the ATO estimand actually describes</w:t>
            </w:r>
          </w:p>
        </w:tc>
      </w:tr>
      <w:tr>
        <w:tc>
          <w:tcPr/>
          <w:p>
            <w:pPr>
              <w:pStyle w:val="Compact"/>
            </w:pPr>
            <w:r>
              <w:t xml:space="preserve">Covariates removed by the sparse-cell guard</w:t>
            </w:r>
          </w:p>
        </w:tc>
        <w:tc>
          <w:tcPr/>
          <w:p>
            <w:pPr>
              <w:pStyle w:val="Compact"/>
            </w:pPr>
            <w:r>
              <w:t xml:space="preserve">None</w:t>
            </w:r>
          </w:p>
        </w:tc>
        <w:tc>
          <w:tcPr/>
          <w:p>
            <w:pPr>
              <w:pStyle w:val="Compact"/>
            </w:pPr>
            <w:r>
              <w:t xml:space="preserve">Every removal is named here and in the Methods section</w:t>
            </w:r>
          </w:p>
        </w:tc>
      </w:tr>
      <w:tr>
        <w:tc>
          <w:tcPr/>
          <w:p>
            <w:pPr>
              <w:pStyle w:val="Compact"/>
            </w:pPr>
            <w:r>
              <w:t xml:space="preserve">Minimum unweighted cell enforced on every reported table</w:t>
            </w:r>
          </w:p>
        </w:tc>
        <w:tc>
          <w:tcPr/>
          <w:p>
            <w:pPr>
              <w:pStyle w:val="Compact"/>
            </w:pPr>
            <w:r>
              <w:t xml:space="preserve">11</w:t>
            </w:r>
          </w:p>
        </w:tc>
        <w:tc>
          <w:tcPr/>
          <w:p>
            <w:pPr>
              <w:pStyle w:val="Compact"/>
            </w:pPr>
            <w:r>
              <w:t xml:space="preserve">HCUP Data Use Agreement</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Variance inflation factors are computed per design-matrix column rather than aggregated to a generalized VIF, which is the conservative reading: if no individual dummy column is inflated then no multi-level factor is either. The c-statistic is survey-weighted and tie-corrected. The calibration test is the survey analogue of the Hosmer-Lemeshow test and is NOT the Archer-Lemeshow F-adjusted mean residual test; it should not be described as such. Singleton strata were centred at the grand mean (survey.lonely.psu =</w:t>
            </w:r>
            <w:r>
              <w:t xml:space="preserve"> </w:t>
            </w:r>
            <w:r>
              <w:t xml:space="preserve">‘adjust’</w:t>
            </w:r>
            <w:r>
              <w:t xml:space="preserve">) rather than removed; 59 stratum/strata contained a single primary sampling unit, which is expected for a concentrated procedure whose year-specific hospital identifiers cannot be pooled. All manually constructed intervals use t critical values on 1,996 design degrees of freedom rather than 1.96.</w:t>
            </w:r>
          </w:p>
        </w:tc>
      </w:tr>
    </w:tbl>
    <w:p>
      <w:pPr>
        <w:pStyle w:val="CaptionedFigure"/>
      </w:pPr>
      <w:r>
        <w:drawing>
          <wp:inline>
            <wp:extent cx="4946003" cy="5019277"/>
            <wp:effectExtent b="0" l="0" r="0" t="0"/>
            <wp:docPr descr="Figure S4. Calibration of the primary model." title="" id="59" name="Picture"/>
            <a:graphic>
              <a:graphicData uri="http://schemas.openxmlformats.org/drawingml/2006/picture">
                <pic:pic>
                  <pic:nvPicPr>
                    <pic:cNvPr descr="C:/Users/saada/Documents/Biostatistics/AliFam-Nerds/RCOP_NRD/NRD_Saad_LAAO_ESKD/figures/FigureS4_calibration.png" id="60" name="Picture"/>
                    <pic:cNvPicPr>
                      <a:picLocks noChangeArrowheads="1" noChangeAspect="1"/>
                    </pic:cNvPicPr>
                  </pic:nvPicPr>
                  <pic:blipFill>
                    <a:blip r:embed="rId58"/>
                    <a:stretch>
                      <a:fillRect/>
                    </a:stretch>
                  </pic:blipFill>
                  <pic:spPr bwMode="auto">
                    <a:xfrm>
                      <a:off x="0" y="0"/>
                      <a:ext cx="4946003" cy="5019277"/>
                    </a:xfrm>
                    <a:prstGeom prst="rect">
                      <a:avLst/>
                    </a:prstGeom>
                    <a:noFill/>
                    <a:ln w="9525">
                      <a:noFill/>
                      <a:headEnd/>
                      <a:tailEnd/>
                    </a:ln>
                  </pic:spPr>
                </pic:pic>
              </a:graphicData>
            </a:graphic>
          </wp:inline>
        </w:drawing>
      </w:r>
    </w:p>
    <w:p>
      <w:pPr>
        <w:pStyle w:val="ImageCaption"/>
      </w:pPr>
      <w:r>
        <w:t xml:space="preserve">Figure S4. Calibration of the primary model.</w:t>
      </w:r>
    </w:p>
    <w:p>
      <w:pPr>
        <w:pStyle w:val="TableCaption"/>
      </w:pPr>
      <w:r>
        <w:t xml:space="preserve">Table S4b. Variance inflation factors, per design-matrix column.</w:t>
      </w:r>
    </w:p>
    <w:tbl>
      <w:tblPr>
        <w:tblStyle w:val="Table"/>
        <w:tblW w:type="pct" w:w="5000"/>
        <w:tblLayout w:type="fixed"/>
        <w:tblLook w:firstRow="1" w:lastRow="0" w:firstColumn="0" w:lastColumn="0" w:noHBand="0" w:noVBand="0" w:val="0020"/>
        <w:tblCaption w:val="Table S4b. Variance inflation factors, per design-matrix column."/>
      </w:tblPr>
      <w:tblGrid>
        <w:gridCol w:w="7310"/>
        <w:gridCol w:w="609"/>
      </w:tblGrid>
      <w:tr>
        <w:trPr>
          <w:tblHeader w:val="on"/>
        </w:trPr>
        <w:tc>
          <w:tcPr/>
          <w:p>
            <w:pPr>
              <w:pStyle w:val="Compact"/>
            </w:pPr>
            <w:r>
              <w:t xml:space="preserve">Term</w:t>
            </w:r>
          </w:p>
        </w:tc>
        <w:tc>
          <w:tcPr/>
          <w:p>
            <w:pPr>
              <w:pStyle w:val="Compact"/>
            </w:pPr>
            <w:r>
              <w:t xml:space="preserve">VIF</w:t>
            </w:r>
          </w:p>
        </w:tc>
      </w:tr>
      <w:tr>
        <w:tc>
          <w:tcPr/>
          <w:p>
            <w:pPr>
              <w:pStyle w:val="Compact"/>
            </w:pPr>
            <w:r>
              <w:t xml:space="preserve">Age, natural-spline basis 1</w:t>
            </w:r>
          </w:p>
        </w:tc>
        <w:tc>
          <w:tcPr/>
          <w:p>
            <w:pPr>
              <w:pStyle w:val="Compact"/>
            </w:pPr>
            <w:r>
              <w:t xml:space="preserve">22.68</w:t>
            </w:r>
          </w:p>
        </w:tc>
      </w:tr>
      <w:tr>
        <w:tc>
          <w:tcPr/>
          <w:p>
            <w:pPr>
              <w:pStyle w:val="Compact"/>
            </w:pPr>
            <w:r>
              <w:t xml:space="preserve">Age, natural-spline basis 2</w:t>
            </w:r>
          </w:p>
        </w:tc>
        <w:tc>
          <w:tcPr/>
          <w:p>
            <w:pPr>
              <w:pStyle w:val="Compact"/>
            </w:pPr>
            <w:r>
              <w:t xml:space="preserve">21.1</w:t>
            </w:r>
          </w:p>
        </w:tc>
      </w:tr>
      <w:tr>
        <w:tc>
          <w:tcPr/>
          <w:p>
            <w:pPr>
              <w:pStyle w:val="Compact"/>
            </w:pPr>
            <w:r>
              <w:t xml:space="preserve">Age, natural-spline basis 3</w:t>
            </w:r>
          </w:p>
        </w:tc>
        <w:tc>
          <w:tcPr/>
          <w:p>
            <w:pPr>
              <w:pStyle w:val="Compact"/>
            </w:pPr>
            <w:r>
              <w:t xml:space="preserve">14.36</w:t>
            </w:r>
          </w:p>
        </w:tc>
      </w:tr>
      <w:tr>
        <w:tc>
          <w:tcPr/>
          <w:p>
            <w:pPr>
              <w:pStyle w:val="Compact"/>
            </w:pPr>
            <w:r>
              <w:t xml:space="preserve">Discharge year: 2022</w:t>
            </w:r>
          </w:p>
        </w:tc>
        <w:tc>
          <w:tcPr/>
          <w:p>
            <w:pPr>
              <w:pStyle w:val="Compact"/>
            </w:pPr>
            <w:r>
              <w:t xml:space="preserve">8.93</w:t>
            </w:r>
          </w:p>
        </w:tc>
      </w:tr>
      <w:tr>
        <w:tc>
          <w:tcPr/>
          <w:p>
            <w:pPr>
              <w:pStyle w:val="Compact"/>
            </w:pPr>
            <w:r>
              <w:t xml:space="preserve">Discharge year: 2021</w:t>
            </w:r>
          </w:p>
        </w:tc>
        <w:tc>
          <w:tcPr/>
          <w:p>
            <w:pPr>
              <w:pStyle w:val="Compact"/>
            </w:pPr>
            <w:r>
              <w:t xml:space="preserve">7.59</w:t>
            </w:r>
          </w:p>
        </w:tc>
      </w:tr>
      <w:tr>
        <w:tc>
          <w:tcPr/>
          <w:p>
            <w:pPr>
              <w:pStyle w:val="Compact"/>
            </w:pPr>
            <w:r>
              <w:t xml:space="preserve">Discharge year: 2020</w:t>
            </w:r>
          </w:p>
        </w:tc>
        <w:tc>
          <w:tcPr/>
          <w:p>
            <w:pPr>
              <w:pStyle w:val="Compact"/>
            </w:pPr>
            <w:r>
              <w:t xml:space="preserve">5.52</w:t>
            </w:r>
          </w:p>
        </w:tc>
      </w:tr>
      <w:tr>
        <w:tc>
          <w:tcPr/>
          <w:p>
            <w:pPr>
              <w:pStyle w:val="Compact"/>
            </w:pPr>
            <w:r>
              <w:t xml:space="preserve">Discharge year: 2019</w:t>
            </w:r>
          </w:p>
        </w:tc>
        <w:tc>
          <w:tcPr/>
          <w:p>
            <w:pPr>
              <w:pStyle w:val="Compact"/>
            </w:pPr>
            <w:r>
              <w:t xml:space="preserve">5.39</w:t>
            </w:r>
          </w:p>
        </w:tc>
      </w:tr>
      <w:tr>
        <w:tc>
          <w:tcPr/>
          <w:p>
            <w:pPr>
              <w:pStyle w:val="Compact"/>
            </w:pPr>
            <w:r>
              <w:t xml:space="preserve">Discharge year: 2018</w:t>
            </w:r>
          </w:p>
        </w:tc>
        <w:tc>
          <w:tcPr/>
          <w:p>
            <w:pPr>
              <w:pStyle w:val="Compact"/>
            </w:pPr>
            <w:r>
              <w:t xml:space="preserve">3.89</w:t>
            </w:r>
          </w:p>
        </w:tc>
      </w:tr>
      <w:tr>
        <w:tc>
          <w:tcPr/>
          <w:p>
            <w:pPr>
              <w:pStyle w:val="Compact"/>
            </w:pPr>
            <w:r>
              <w:t xml:space="preserve">Discharge year: 2017</w:t>
            </w:r>
          </w:p>
        </w:tc>
        <w:tc>
          <w:tcPr/>
          <w:p>
            <w:pPr>
              <w:pStyle w:val="Compact"/>
            </w:pPr>
            <w:r>
              <w:t xml:space="preserve">2.82</w:t>
            </w:r>
          </w:p>
        </w:tc>
      </w:tr>
      <w:tr>
        <w:tc>
          <w:tcPr/>
          <w:p>
            <w:pPr>
              <w:pStyle w:val="Compact"/>
            </w:pPr>
            <w:r>
              <w:t xml:space="preserve">Median household income quartile (patient ZIP code): 76th to 100th percentile</w:t>
            </w:r>
          </w:p>
        </w:tc>
        <w:tc>
          <w:tcPr/>
          <w:p>
            <w:pPr>
              <w:pStyle w:val="Compact"/>
            </w:pPr>
            <w:r>
              <w:t xml:space="preserve">2.1</w:t>
            </w:r>
          </w:p>
        </w:tc>
      </w:tr>
      <w:tr>
        <w:tc>
          <w:tcPr/>
          <w:p>
            <w:pPr>
              <w:pStyle w:val="Compact"/>
            </w:pPr>
            <w:r>
              <w:t xml:space="preserve">Median household income quartile (patient ZIP code): 51st to 75th percentile</w:t>
            </w:r>
          </w:p>
        </w:tc>
        <w:tc>
          <w:tcPr/>
          <w:p>
            <w:pPr>
              <w:pStyle w:val="Compact"/>
            </w:pPr>
            <w:r>
              <w:t xml:space="preserve">1.96</w:t>
            </w:r>
          </w:p>
        </w:tc>
      </w:tr>
      <w:tr>
        <w:tc>
          <w:tcPr/>
          <w:p>
            <w:pPr>
              <w:pStyle w:val="Compact"/>
            </w:pPr>
            <w:r>
              <w:t xml:space="preserve">Patient residence (NCHS urban-rural classification): Metro 250,000-999,999</w:t>
            </w:r>
          </w:p>
        </w:tc>
        <w:tc>
          <w:tcPr/>
          <w:p>
            <w:pPr>
              <w:pStyle w:val="Compact"/>
            </w:pPr>
            <w:r>
              <w:t xml:space="preserve">1.81</w:t>
            </w:r>
          </w:p>
        </w:tc>
      </w:tr>
      <w:tr>
        <w:tc>
          <w:tcPr/>
          <w:p>
            <w:pPr>
              <w:pStyle w:val="Compact"/>
            </w:pPr>
            <w:r>
              <w:t xml:space="preserve">Median household income quartile (patient ZIP code): 26th to 50th percentile</w:t>
            </w:r>
          </w:p>
        </w:tc>
        <w:tc>
          <w:tcPr/>
          <w:p>
            <w:pPr>
              <w:pStyle w:val="Compact"/>
            </w:pPr>
            <w:r>
              <w:t xml:space="preserve">1.75</w:t>
            </w:r>
          </w:p>
        </w:tc>
      </w:tr>
      <w:tr>
        <w:tc>
          <w:tcPr/>
          <w:p>
            <w:pPr>
              <w:pStyle w:val="Compact"/>
            </w:pPr>
            <w:r>
              <w:t xml:space="preserve">Patient residence (NCHS urban-rural classification): Fringe metro ≥1 million</w:t>
            </w:r>
          </w:p>
        </w:tc>
        <w:tc>
          <w:tcPr/>
          <w:p>
            <w:pPr>
              <w:pStyle w:val="Compact"/>
            </w:pPr>
            <w:r>
              <w:t xml:space="preserve">1.71</w:t>
            </w:r>
          </w:p>
        </w:tc>
      </w:tr>
      <w:tr>
        <w:tc>
          <w:tcPr/>
          <w:p>
            <w:pPr>
              <w:pStyle w:val="Compact"/>
            </w:pPr>
            <w:r>
              <w:t xml:space="preserve">Patient residence (NCHS urban-rural classification): Metro 50,000-249,999</w:t>
            </w:r>
          </w:p>
        </w:tc>
        <w:tc>
          <w:tcPr/>
          <w:p>
            <w:pPr>
              <w:pStyle w:val="Compact"/>
            </w:pPr>
            <w:r>
              <w:t xml:space="preserve">1.5</w:t>
            </w:r>
          </w:p>
        </w:tc>
      </w:tr>
      <w:tr>
        <w:tc>
          <w:tcPr/>
          <w:p>
            <w:pPr>
              <w:pStyle w:val="Compact"/>
            </w:pPr>
            <w:r>
              <w:t xml:space="preserve">Patient residence (NCHS urban-rural classification): Micropolitan</w:t>
            </w:r>
          </w:p>
        </w:tc>
        <w:tc>
          <w:tcPr/>
          <w:p>
            <w:pPr>
              <w:pStyle w:val="Compact"/>
            </w:pPr>
            <w:r>
              <w:t xml:space="preserve">1.48</w:t>
            </w:r>
          </w:p>
        </w:tc>
      </w:tr>
      <w:tr>
        <w:tc>
          <w:tcPr/>
          <w:p>
            <w:pPr>
              <w:pStyle w:val="Compact"/>
            </w:pPr>
            <w:r>
              <w:t xml:space="preserve">Patient residence (NCHS urban-rural classification): Other</w:t>
            </w:r>
          </w:p>
        </w:tc>
        <w:tc>
          <w:tcPr/>
          <w:p>
            <w:pPr>
              <w:pStyle w:val="Compact"/>
            </w:pPr>
            <w:r>
              <w:t xml:space="preserve">1.42</w:t>
            </w:r>
          </w:p>
        </w:tc>
      </w:tr>
      <w:tr>
        <w:tc>
          <w:tcPr/>
          <w:p>
            <w:pPr>
              <w:pStyle w:val="Compact"/>
            </w:pPr>
            <w:r>
              <w:t xml:space="preserve">Hospital LAAO volume tertile (within year): Low</w:t>
            </w:r>
          </w:p>
        </w:tc>
        <w:tc>
          <w:tcPr/>
          <w:p>
            <w:pPr>
              <w:pStyle w:val="Compact"/>
            </w:pPr>
            <w:r>
              <w:t xml:space="preserve">1.39</w:t>
            </w:r>
          </w:p>
        </w:tc>
      </w:tr>
      <w:tr>
        <w:tc>
          <w:tcPr/>
          <w:p>
            <w:pPr>
              <w:pStyle w:val="Compact"/>
            </w:pPr>
            <w:r>
              <w:t xml:space="preserve">Hospital LAAO volume tertile (within year): Middle</w:t>
            </w:r>
          </w:p>
        </w:tc>
        <w:tc>
          <w:tcPr/>
          <w:p>
            <w:pPr>
              <w:pStyle w:val="Compact"/>
            </w:pPr>
            <w:r>
              <w:t xml:space="preserve">1.37</w:t>
            </w:r>
          </w:p>
        </w:tc>
      </w:tr>
      <w:tr>
        <w:tc>
          <w:tcPr/>
          <w:p>
            <w:pPr>
              <w:pStyle w:val="Compact"/>
            </w:pPr>
            <w:r>
              <w:t xml:space="preserve">Primary expected payer: Private</w:t>
            </w:r>
          </w:p>
        </w:tc>
        <w:tc>
          <w:tcPr/>
          <w:p>
            <w:pPr>
              <w:pStyle w:val="Compact"/>
            </w:pPr>
            <w:r>
              <w:t xml:space="preserve">1.16</w:t>
            </w:r>
          </w:p>
        </w:tc>
      </w:tr>
      <w:tr>
        <w:tc>
          <w:tcPr/>
          <w:p>
            <w:pPr>
              <w:pStyle w:val="Compact"/>
            </w:pPr>
            <w:r>
              <w:t xml:space="preserve">Residual Elixhauser comorbidity count</w:t>
            </w:r>
          </w:p>
        </w:tc>
        <w:tc>
          <w:tcPr/>
          <w:p>
            <w:pPr>
              <w:pStyle w:val="Compact"/>
            </w:pPr>
            <w:r>
              <w:t xml:space="preserve">1.12</w:t>
            </w:r>
          </w:p>
        </w:tc>
      </w:tr>
      <w:tr>
        <w:tc>
          <w:tcPr/>
          <w:p>
            <w:pPr>
              <w:pStyle w:val="Compact"/>
            </w:pPr>
            <w:r>
              <w:t xml:space="preserve">Congestive heart failure: Yes</w:t>
            </w:r>
          </w:p>
        </w:tc>
        <w:tc>
          <w:tcPr/>
          <w:p>
            <w:pPr>
              <w:pStyle w:val="Compact"/>
            </w:pPr>
            <w:r>
              <w:t xml:space="preserve">1.11</w:t>
            </w:r>
          </w:p>
        </w:tc>
      </w:tr>
      <w:tr>
        <w:tc>
          <w:tcPr/>
          <w:p>
            <w:pPr>
              <w:pStyle w:val="Compact"/>
            </w:pPr>
            <w:r>
              <w:t xml:space="preserve">Vascular disease (peripheral arterial, aortic or prior myocardial infarction): Yes</w:t>
            </w:r>
          </w:p>
        </w:tc>
        <w:tc>
          <w:tcPr/>
          <w:p>
            <w:pPr>
              <w:pStyle w:val="Compact"/>
            </w:pPr>
            <w:r>
              <w:t xml:space="preserve">1.11</w:t>
            </w:r>
          </w:p>
        </w:tc>
      </w:tr>
      <w:tr>
        <w:tc>
          <w:tcPr/>
          <w:p>
            <w:pPr>
              <w:pStyle w:val="Compact"/>
            </w:pPr>
            <w:r>
              <w:t xml:space="preserve">Hospital location and teaching status: Non-metropolitan</w:t>
            </w:r>
          </w:p>
        </w:tc>
        <w:tc>
          <w:tcPr/>
          <w:p>
            <w:pPr>
              <w:pStyle w:val="Compact"/>
            </w:pPr>
            <w:r>
              <w:t xml:space="preserve">1.1</w:t>
            </w:r>
          </w:p>
        </w:tc>
      </w:tr>
      <w:tr>
        <w:tc>
          <w:tcPr/>
          <w:p>
            <w:pPr>
              <w:pStyle w:val="Compact"/>
            </w:pPr>
            <w:r>
              <w:t xml:space="preserve">Primary expected payer: Medicaid</w:t>
            </w:r>
          </w:p>
        </w:tc>
        <w:tc>
          <w:tcPr/>
          <w:p>
            <w:pPr>
              <w:pStyle w:val="Compact"/>
            </w:pPr>
            <w:r>
              <w:t xml:space="preserve">1.09</w:t>
            </w:r>
          </w:p>
        </w:tc>
      </w:tr>
      <w:tr>
        <w:tc>
          <w:tcPr/>
          <w:p>
            <w:pPr>
              <w:pStyle w:val="Compact"/>
            </w:pPr>
            <w:r>
              <w:t xml:space="preserve">Hospital bed size: Medium</w:t>
            </w:r>
          </w:p>
        </w:tc>
        <w:tc>
          <w:tcPr/>
          <w:p>
            <w:pPr>
              <w:pStyle w:val="Compact"/>
            </w:pPr>
            <w:r>
              <w:t xml:space="preserve">1.09</w:t>
            </w:r>
          </w:p>
        </w:tc>
      </w:tr>
      <w:tr>
        <w:tc>
          <w:tcPr/>
          <w:p>
            <w:pPr>
              <w:pStyle w:val="Compact"/>
            </w:pPr>
            <w:r>
              <w:t xml:space="preserve">Sex: Female</w:t>
            </w:r>
          </w:p>
        </w:tc>
        <w:tc>
          <w:tcPr/>
          <w:p>
            <w:pPr>
              <w:pStyle w:val="Compact"/>
            </w:pPr>
            <w:r>
              <w:t xml:space="preserve">1.08</w:t>
            </w:r>
          </w:p>
        </w:tc>
      </w:tr>
      <w:tr>
        <w:tc>
          <w:tcPr/>
          <w:p>
            <w:pPr>
              <w:pStyle w:val="Compact"/>
            </w:pPr>
            <w:r>
              <w:t xml:space="preserve">Median household income quartile (patient ZIP code): Missing/other</w:t>
            </w:r>
          </w:p>
        </w:tc>
        <w:tc>
          <w:tcPr/>
          <w:p>
            <w:pPr>
              <w:pStyle w:val="Compact"/>
            </w:pPr>
            <w:r>
              <w:t xml:space="preserve">1.07</w:t>
            </w:r>
          </w:p>
        </w:tc>
      </w:tr>
      <w:tr>
        <w:tc>
          <w:tcPr/>
          <w:p>
            <w:pPr>
              <w:pStyle w:val="Compact"/>
            </w:pPr>
            <w:r>
              <w:t xml:space="preserve">Diabetes mellitus: Yes</w:t>
            </w:r>
          </w:p>
        </w:tc>
        <w:tc>
          <w:tcPr/>
          <w:p>
            <w:pPr>
              <w:pStyle w:val="Compact"/>
            </w:pPr>
            <w:r>
              <w:t xml:space="preserve">1.07</w:t>
            </w:r>
          </w:p>
        </w:tc>
      </w:tr>
      <w:tr>
        <w:tc>
          <w:tcPr/>
          <w:p>
            <w:pPr>
              <w:pStyle w:val="Compact"/>
            </w:pPr>
            <w:r>
              <w:t xml:space="preserve">Hospital location and teaching status: Metropolitan, non-teaching</w:t>
            </w:r>
          </w:p>
        </w:tc>
        <w:tc>
          <w:tcPr/>
          <w:p>
            <w:pPr>
              <w:pStyle w:val="Compact"/>
            </w:pPr>
            <w:r>
              <w:t xml:space="preserve">1.06</w:t>
            </w:r>
          </w:p>
        </w:tc>
      </w:tr>
      <w:tr>
        <w:tc>
          <w:tcPr/>
          <w:p>
            <w:pPr>
              <w:pStyle w:val="Compact"/>
            </w:pPr>
            <w:r>
              <w:t xml:space="preserve">Liver disease: Yes</w:t>
            </w:r>
          </w:p>
        </w:tc>
        <w:tc>
          <w:tcPr/>
          <w:p>
            <w:pPr>
              <w:pStyle w:val="Compact"/>
            </w:pPr>
            <w:r>
              <w:t xml:space="preserve">1.06</w:t>
            </w:r>
          </w:p>
        </w:tc>
      </w:tr>
      <w:tr>
        <w:tc>
          <w:tcPr/>
          <w:p>
            <w:pPr>
              <w:pStyle w:val="Compact"/>
            </w:pPr>
            <w:r>
              <w:t xml:space="preserve">Alcohol use disorder: Yes</w:t>
            </w:r>
          </w:p>
        </w:tc>
        <w:tc>
          <w:tcPr/>
          <w:p>
            <w:pPr>
              <w:pStyle w:val="Compact"/>
            </w:pPr>
            <w:r>
              <w:t xml:space="preserve">1.06</w:t>
            </w:r>
          </w:p>
        </w:tc>
      </w:tr>
      <w:tr>
        <w:tc>
          <w:tcPr/>
          <w:p>
            <w:pPr>
              <w:pStyle w:val="Compact"/>
            </w:pPr>
            <w:r>
              <w:t xml:space="preserve">Hospital bed size: Small</w:t>
            </w:r>
          </w:p>
        </w:tc>
        <w:tc>
          <w:tcPr/>
          <w:p>
            <w:pPr>
              <w:pStyle w:val="Compact"/>
            </w:pPr>
            <w:r>
              <w:t xml:space="preserve">1.05</w:t>
            </w:r>
          </w:p>
        </w:tc>
      </w:tr>
      <w:tr>
        <w:tc>
          <w:tcPr/>
          <w:p>
            <w:pPr>
              <w:pStyle w:val="Compact"/>
            </w:pPr>
            <w:r>
              <w:t xml:space="preserve">Hypertension: Yes</w:t>
            </w:r>
          </w:p>
        </w:tc>
        <w:tc>
          <w:tcPr/>
          <w:p>
            <w:pPr>
              <w:pStyle w:val="Compact"/>
            </w:pPr>
            <w:r>
              <w:t xml:space="preserve">1.05</w:t>
            </w:r>
          </w:p>
        </w:tc>
      </w:tr>
      <w:tr>
        <w:tc>
          <w:tcPr/>
          <w:p>
            <w:pPr>
              <w:pStyle w:val="Compact"/>
            </w:pPr>
            <w:r>
              <w:t xml:space="preserve">Dialysis-dependent kidney failure (vs No dialysis-dependent kidney failure)</w:t>
            </w:r>
          </w:p>
        </w:tc>
        <w:tc>
          <w:tcPr/>
          <w:p>
            <w:pPr>
              <w:pStyle w:val="Compact"/>
            </w:pPr>
            <w:r>
              <w:t xml:space="preserve">1.03</w:t>
            </w:r>
          </w:p>
        </w:tc>
      </w:tr>
      <w:tr>
        <w:tc>
          <w:tcPr/>
          <w:p>
            <w:pPr>
              <w:pStyle w:val="Compact"/>
            </w:pPr>
            <w:r>
              <w:t xml:space="preserve">Patient residence (NCHS urban-rural classification): Missing/other</w:t>
            </w:r>
          </w:p>
        </w:tc>
        <w:tc>
          <w:tcPr/>
          <w:p>
            <w:pPr>
              <w:pStyle w:val="Compact"/>
            </w:pPr>
            <w:r>
              <w:t xml:space="preserve">1.03</w:t>
            </w:r>
          </w:p>
        </w:tc>
      </w:tr>
      <w:tr>
        <w:tc>
          <w:tcPr/>
          <w:p>
            <w:pPr>
              <w:pStyle w:val="Compact"/>
            </w:pPr>
            <w:r>
              <w:t xml:space="preserve">Primary expected payer: Other/self-pay</w:t>
            </w:r>
          </w:p>
        </w:tc>
        <w:tc>
          <w:tcPr/>
          <w:p>
            <w:pPr>
              <w:pStyle w:val="Compact"/>
            </w:pPr>
            <w:r>
              <w:t xml:space="preserve">1.02</w:t>
            </w:r>
          </w:p>
        </w:tc>
      </w:tr>
      <w:tr>
        <w:tc>
          <w:tcPr/>
          <w:p>
            <w:pPr>
              <w:pStyle w:val="Compact"/>
            </w:pPr>
            <w:r>
              <w:t xml:space="preserve">Admission type: Non-elective</w:t>
            </w:r>
          </w:p>
        </w:tc>
        <w:tc>
          <w:tcPr/>
          <w:p>
            <w:pPr>
              <w:pStyle w:val="Compact"/>
            </w:pPr>
            <w:r>
              <w:t xml:space="preserve">1.02</w:t>
            </w:r>
          </w:p>
        </w:tc>
      </w:tr>
      <w:tr>
        <w:tc>
          <w:tcPr/>
          <w:p>
            <w:pPr>
              <w:pStyle w:val="Compact"/>
            </w:pPr>
            <w:r>
              <w:t xml:space="preserve">Prior major bleeding: Yes</w:t>
            </w:r>
          </w:p>
        </w:tc>
        <w:tc>
          <w:tcPr/>
          <w:p>
            <w:pPr>
              <w:pStyle w:val="Compact"/>
            </w:pPr>
            <w:r>
              <w:t xml:space="preserve">1.02</w:t>
            </w:r>
          </w:p>
        </w:tc>
      </w:tr>
      <w:tr>
        <w:tc>
          <w:tcPr/>
          <w:p>
            <w:pPr>
              <w:pStyle w:val="Compact"/>
            </w:pPr>
            <w:r>
              <w:t xml:space="preserve">Anaemia (deficiency or blood-loss): Yes</w:t>
            </w:r>
          </w:p>
        </w:tc>
        <w:tc>
          <w:tcPr/>
          <w:p>
            <w:pPr>
              <w:pStyle w:val="Compact"/>
            </w:pPr>
            <w:r>
              <w:t xml:space="preserve">1.02</w:t>
            </w:r>
          </w:p>
        </w:tc>
      </w:tr>
      <w:tr>
        <w:tc>
          <w:tcPr/>
          <w:p>
            <w:pPr>
              <w:pStyle w:val="Compact"/>
            </w:pPr>
            <w:r>
              <w:t xml:space="preserve">Prior stroke, TIA or thromboembolism: Yes</w:t>
            </w:r>
          </w:p>
        </w:tc>
        <w:tc>
          <w:tcPr/>
          <w:p>
            <w:pPr>
              <w:pStyle w:val="Compact"/>
            </w:pPr>
            <w:r>
              <w:t xml:space="preserve">1.01</w:t>
            </w:r>
          </w:p>
        </w:tc>
      </w:tr>
      <w:tr>
        <w:tc>
          <w:tcPr/>
          <w:p>
            <w:pPr>
              <w:pStyle w:val="Compact"/>
            </w:pPr>
            <w:r>
              <w:t xml:space="preserve">Primary expected payer: Missing/other</w:t>
            </w:r>
          </w:p>
        </w:tc>
        <w:tc>
          <w:tcPr/>
          <w:p>
            <w:pPr>
              <w:pStyle w:val="Compact"/>
            </w:pPr>
            <w:r>
              <w:t xml:space="preserve">1</w:t>
            </w:r>
          </w:p>
        </w:tc>
      </w:tr>
    </w:tbl>
    <w:bookmarkEnd w:id="61"/>
    <w:bookmarkStart w:id="62" w:name="full-model-coefficients"/>
    <w:p>
      <w:pPr>
        <w:pStyle w:val="Heading2"/>
      </w:pPr>
      <w:r>
        <w:t xml:space="preserve">5.2 Full model coefficients</w:t>
      </w:r>
    </w:p>
    <w:p>
      <w:pPr>
        <w:pStyle w:val="TableCaption"/>
      </w:pPr>
      <w:r>
        <w:t xml:space="preserve">Table S2. Full covariate coefficients from the primary model.</w:t>
      </w:r>
    </w:p>
    <w:tbl>
      <w:tblPr>
        <w:tblStyle w:val="Table"/>
        <w:tblW w:type="pct" w:w="5000"/>
        <w:tblLayout w:type="fixed"/>
        <w:tblLook w:firstRow="1" w:lastRow="0" w:firstColumn="0" w:lastColumn="0" w:noHBand="0" w:noVBand="0" w:val="0020"/>
        <w:tblCaption w:val="Table S2. Full covariate coefficients from the primary model."/>
      </w:tblPr>
      <w:tblGrid>
        <w:gridCol w:w="5785"/>
        <w:gridCol w:w="1515"/>
        <w:gridCol w:w="619"/>
      </w:tblGrid>
      <w:tr>
        <w:trPr>
          <w:tblHeader w:val="on"/>
        </w:trPr>
        <w:tc>
          <w:tcPr/>
          <w:p>
            <w:pPr>
              <w:pStyle w:val="Compact"/>
            </w:pPr>
            <w:r>
              <w:t xml:space="preserve">Term</w:t>
            </w:r>
          </w:p>
        </w:tc>
        <w:tc>
          <w:tcPr/>
          <w:p>
            <w:pPr>
              <w:pStyle w:val="Compact"/>
            </w:pPr>
            <w:r>
              <w:t xml:space="preserve">Adjusted OR (95% CI)</w:t>
            </w:r>
          </w:p>
        </w:tc>
        <w:tc>
          <w:tcPr/>
          <w:p>
            <w:pPr>
              <w:pStyle w:val="Compact"/>
            </w:pPr>
            <w:r>
              <w:t xml:space="preserve">p value</w:t>
            </w:r>
          </w:p>
        </w:tc>
      </w:tr>
      <w:tr>
        <w:tc>
          <w:tcPr/>
          <w:p>
            <w:pPr>
              <w:pStyle w:val="Compact"/>
            </w:pPr>
            <w:r>
              <w:t xml:space="preserve">Dialysis-dependent kidney failure (vs No dialysis-dependent kidney failure)</w:t>
            </w:r>
          </w:p>
        </w:tc>
        <w:tc>
          <w:tcPr/>
          <w:p>
            <w:pPr>
              <w:pStyle w:val="Compact"/>
            </w:pPr>
            <w:r>
              <w:t xml:space="preserve">2.34 (2.07–2.65)</w:t>
            </w:r>
          </w:p>
        </w:tc>
        <w:tc>
          <w:tcPr/>
          <w:p>
            <w:pPr>
              <w:pStyle w:val="Compact"/>
            </w:pPr>
            <w:r>
              <w:t xml:space="preserve">&lt;0.001</w:t>
            </w:r>
          </w:p>
        </w:tc>
      </w:tr>
      <w:tr>
        <w:tc>
          <w:tcPr/>
          <w:p>
            <w:pPr>
              <w:pStyle w:val="Compact"/>
            </w:pPr>
            <w:r>
              <w:t xml:space="preserve">Age, natural-spline basis 1</w:t>
            </w:r>
          </w:p>
        </w:tc>
        <w:tc>
          <w:tcPr/>
          <w:p>
            <w:pPr>
              <w:pStyle w:val="Compact"/>
            </w:pPr>
            <w:r>
              <w:t xml:space="preserve">0.92 (0.57–1.48)</w:t>
            </w:r>
          </w:p>
        </w:tc>
        <w:tc>
          <w:tcPr/>
          <w:p>
            <w:pPr>
              <w:pStyle w:val="Compact"/>
            </w:pPr>
            <w:r>
              <w:t xml:space="preserve">0.729</w:t>
            </w:r>
          </w:p>
        </w:tc>
      </w:tr>
      <w:tr>
        <w:tc>
          <w:tcPr/>
          <w:p>
            <w:pPr>
              <w:pStyle w:val="Compact"/>
            </w:pPr>
            <w:r>
              <w:t xml:space="preserve">Age, natural-spline basis 2</w:t>
            </w:r>
          </w:p>
        </w:tc>
        <w:tc>
          <w:tcPr/>
          <w:p>
            <w:pPr>
              <w:pStyle w:val="Compact"/>
            </w:pPr>
            <w:r>
              <w:t xml:space="preserve">0.45 (0.10–2.11)</w:t>
            </w:r>
          </w:p>
        </w:tc>
        <w:tc>
          <w:tcPr/>
          <w:p>
            <w:pPr>
              <w:pStyle w:val="Compact"/>
            </w:pPr>
            <w:r>
              <w:t xml:space="preserve">0.309</w:t>
            </w:r>
          </w:p>
        </w:tc>
      </w:tr>
      <w:tr>
        <w:tc>
          <w:tcPr/>
          <w:p>
            <w:pPr>
              <w:pStyle w:val="Compact"/>
            </w:pPr>
            <w:r>
              <w:t xml:space="preserve">Age, natural-spline basis 3</w:t>
            </w:r>
          </w:p>
        </w:tc>
        <w:tc>
          <w:tcPr/>
          <w:p>
            <w:pPr>
              <w:pStyle w:val="Compact"/>
            </w:pPr>
            <w:r>
              <w:t xml:space="preserve">1.41 (1.03–1.91)</w:t>
            </w:r>
          </w:p>
        </w:tc>
        <w:tc>
          <w:tcPr/>
          <w:p>
            <w:pPr>
              <w:pStyle w:val="Compact"/>
            </w:pPr>
            <w:r>
              <w:t xml:space="preserve">0.029</w:t>
            </w:r>
          </w:p>
        </w:tc>
      </w:tr>
      <w:tr>
        <w:tc>
          <w:tcPr/>
          <w:p>
            <w:pPr>
              <w:pStyle w:val="Compact"/>
            </w:pPr>
            <w:r>
              <w:t xml:space="preserve">Sex: Female</w:t>
            </w:r>
          </w:p>
        </w:tc>
        <w:tc>
          <w:tcPr/>
          <w:p>
            <w:pPr>
              <w:pStyle w:val="Compact"/>
            </w:pPr>
            <w:r>
              <w:t xml:space="preserve">1.26 (1.19–1.33)</w:t>
            </w:r>
          </w:p>
        </w:tc>
        <w:tc>
          <w:tcPr/>
          <w:p>
            <w:pPr>
              <w:pStyle w:val="Compact"/>
            </w:pPr>
            <w:r>
              <w:t xml:space="preserve">&lt;0.001</w:t>
            </w:r>
          </w:p>
        </w:tc>
      </w:tr>
      <w:tr>
        <w:tc>
          <w:tcPr/>
          <w:p>
            <w:pPr>
              <w:pStyle w:val="Compact"/>
            </w:pPr>
            <w:r>
              <w:t xml:space="preserve">Primary expected payer: Private</w:t>
            </w:r>
          </w:p>
        </w:tc>
        <w:tc>
          <w:tcPr/>
          <w:p>
            <w:pPr>
              <w:pStyle w:val="Compact"/>
            </w:pPr>
            <w:r>
              <w:t xml:space="preserve">0.79 (0.69–0.91)</w:t>
            </w:r>
          </w:p>
        </w:tc>
        <w:tc>
          <w:tcPr/>
          <w:p>
            <w:pPr>
              <w:pStyle w:val="Compact"/>
            </w:pPr>
            <w:r>
              <w:t xml:space="preserve">&lt;0.001</w:t>
            </w:r>
          </w:p>
        </w:tc>
      </w:tr>
      <w:tr>
        <w:tc>
          <w:tcPr/>
          <w:p>
            <w:pPr>
              <w:pStyle w:val="Compact"/>
            </w:pPr>
            <w:r>
              <w:t xml:space="preserve">Primary expected payer: Medicaid</w:t>
            </w:r>
          </w:p>
        </w:tc>
        <w:tc>
          <w:tcPr/>
          <w:p>
            <w:pPr>
              <w:pStyle w:val="Compact"/>
            </w:pPr>
            <w:r>
              <w:t xml:space="preserve">1.23 (1.00–1.50)</w:t>
            </w:r>
          </w:p>
        </w:tc>
        <w:tc>
          <w:tcPr/>
          <w:p>
            <w:pPr>
              <w:pStyle w:val="Compact"/>
            </w:pPr>
            <w:r>
              <w:t xml:space="preserve">0.047</w:t>
            </w:r>
          </w:p>
        </w:tc>
      </w:tr>
      <w:tr>
        <w:tc>
          <w:tcPr/>
          <w:p>
            <w:pPr>
              <w:pStyle w:val="Compact"/>
            </w:pPr>
            <w:r>
              <w:t xml:space="preserve">Primary expected payer: Other/self-pay</w:t>
            </w:r>
          </w:p>
        </w:tc>
        <w:tc>
          <w:tcPr/>
          <w:p>
            <w:pPr>
              <w:pStyle w:val="Compact"/>
            </w:pPr>
            <w:r>
              <w:t xml:space="preserve">1.00 (0.84–1.21)</w:t>
            </w:r>
          </w:p>
        </w:tc>
        <w:tc>
          <w:tcPr/>
          <w:p>
            <w:pPr>
              <w:pStyle w:val="Compact"/>
            </w:pPr>
            <w:r>
              <w:t xml:space="preserve">0.967</w:t>
            </w:r>
          </w:p>
        </w:tc>
      </w:tr>
      <w:tr>
        <w:tc>
          <w:tcPr/>
          <w:p>
            <w:pPr>
              <w:pStyle w:val="Compact"/>
            </w:pPr>
            <w:r>
              <w:t xml:space="preserve">Primary expected payer: Missing/other</w:t>
            </w:r>
          </w:p>
        </w:tc>
        <w:tc>
          <w:tcPr/>
          <w:p>
            <w:pPr>
              <w:pStyle w:val="Compact"/>
            </w:pPr>
            <w:r>
              <w:t xml:space="preserve">1.83 (1.16–2.88)</w:t>
            </w:r>
          </w:p>
        </w:tc>
        <w:tc>
          <w:tcPr/>
          <w:p>
            <w:pPr>
              <w:pStyle w:val="Compact"/>
            </w:pPr>
            <w:r>
              <w:t xml:space="preserve">0.009</w:t>
            </w:r>
          </w:p>
        </w:tc>
      </w:tr>
      <w:tr>
        <w:tc>
          <w:tcPr/>
          <w:p>
            <w:pPr>
              <w:pStyle w:val="Compact"/>
            </w:pPr>
            <w:r>
              <w:t xml:space="preserve">Median household income quartile (patient ZIP code): 26th to 50th percentile</w:t>
            </w:r>
          </w:p>
        </w:tc>
        <w:tc>
          <w:tcPr/>
          <w:p>
            <w:pPr>
              <w:pStyle w:val="Compact"/>
            </w:pPr>
            <w:r>
              <w:t xml:space="preserve">0.92 (0.86–0.99)</w:t>
            </w:r>
          </w:p>
        </w:tc>
        <w:tc>
          <w:tcPr/>
          <w:p>
            <w:pPr>
              <w:pStyle w:val="Compact"/>
            </w:pPr>
            <w:r>
              <w:t xml:space="preserve">0.019</w:t>
            </w:r>
          </w:p>
        </w:tc>
      </w:tr>
      <w:tr>
        <w:tc>
          <w:tcPr/>
          <w:p>
            <w:pPr>
              <w:pStyle w:val="Compact"/>
            </w:pPr>
            <w:r>
              <w:t xml:space="preserve">Median household income quartile (patient ZIP code): 51st to 75th percentile</w:t>
            </w:r>
          </w:p>
        </w:tc>
        <w:tc>
          <w:tcPr/>
          <w:p>
            <w:pPr>
              <w:pStyle w:val="Compact"/>
            </w:pPr>
            <w:r>
              <w:t xml:space="preserve">0.85 (0.78–0.91)</w:t>
            </w:r>
          </w:p>
        </w:tc>
        <w:tc>
          <w:tcPr/>
          <w:p>
            <w:pPr>
              <w:pStyle w:val="Compact"/>
            </w:pPr>
            <w:r>
              <w:t xml:space="preserve">&lt;0.001</w:t>
            </w:r>
          </w:p>
        </w:tc>
      </w:tr>
      <w:tr>
        <w:tc>
          <w:tcPr/>
          <w:p>
            <w:pPr>
              <w:pStyle w:val="Compact"/>
            </w:pPr>
            <w:r>
              <w:t xml:space="preserve">Median household income quartile (patient ZIP code): 76th to 100th percentile</w:t>
            </w:r>
          </w:p>
        </w:tc>
        <w:tc>
          <w:tcPr/>
          <w:p>
            <w:pPr>
              <w:pStyle w:val="Compact"/>
            </w:pPr>
            <w:r>
              <w:t xml:space="preserve">0.81 (0.75–0.89)</w:t>
            </w:r>
          </w:p>
        </w:tc>
        <w:tc>
          <w:tcPr/>
          <w:p>
            <w:pPr>
              <w:pStyle w:val="Compact"/>
            </w:pPr>
            <w:r>
              <w:t xml:space="preserve">&lt;0.001</w:t>
            </w:r>
          </w:p>
        </w:tc>
      </w:tr>
      <w:tr>
        <w:tc>
          <w:tcPr/>
          <w:p>
            <w:pPr>
              <w:pStyle w:val="Compact"/>
            </w:pPr>
            <w:r>
              <w:t xml:space="preserve">Median household income quartile (patient ZIP code): Missing/other</w:t>
            </w:r>
          </w:p>
        </w:tc>
        <w:tc>
          <w:tcPr/>
          <w:p>
            <w:pPr>
              <w:pStyle w:val="Compact"/>
            </w:pPr>
            <w:r>
              <w:t xml:space="preserve">0.96 (0.75–1.23)</w:t>
            </w:r>
          </w:p>
        </w:tc>
        <w:tc>
          <w:tcPr/>
          <w:p>
            <w:pPr>
              <w:pStyle w:val="Compact"/>
            </w:pPr>
            <w:r>
              <w:t xml:space="preserve">0.750</w:t>
            </w:r>
          </w:p>
        </w:tc>
      </w:tr>
      <w:tr>
        <w:tc>
          <w:tcPr/>
          <w:p>
            <w:pPr>
              <w:pStyle w:val="Compact"/>
            </w:pPr>
            <w:r>
              <w:t xml:space="preserve">Patient residence (NCHS urban-rural classification): Fringe metro ≥1 million</w:t>
            </w:r>
          </w:p>
        </w:tc>
        <w:tc>
          <w:tcPr/>
          <w:p>
            <w:pPr>
              <w:pStyle w:val="Compact"/>
            </w:pPr>
            <w:r>
              <w:t xml:space="preserve">1.08 (1.00–1.17)</w:t>
            </w:r>
          </w:p>
        </w:tc>
        <w:tc>
          <w:tcPr/>
          <w:p>
            <w:pPr>
              <w:pStyle w:val="Compact"/>
            </w:pPr>
            <w:r>
              <w:t xml:space="preserve">0.061</w:t>
            </w:r>
          </w:p>
        </w:tc>
      </w:tr>
      <w:tr>
        <w:tc>
          <w:tcPr/>
          <w:p>
            <w:pPr>
              <w:pStyle w:val="Compact"/>
            </w:pPr>
            <w:r>
              <w:t xml:space="preserve">Patient residence (NCHS urban-rural classification): Metro 250,000-999,999</w:t>
            </w:r>
          </w:p>
        </w:tc>
        <w:tc>
          <w:tcPr/>
          <w:p>
            <w:pPr>
              <w:pStyle w:val="Compact"/>
            </w:pPr>
            <w:r>
              <w:t xml:space="preserve">0.91 (0.84–0.99)</w:t>
            </w:r>
          </w:p>
        </w:tc>
        <w:tc>
          <w:tcPr/>
          <w:p>
            <w:pPr>
              <w:pStyle w:val="Compact"/>
            </w:pPr>
            <w:r>
              <w:t xml:space="preserve">0.026</w:t>
            </w:r>
          </w:p>
        </w:tc>
      </w:tr>
      <w:tr>
        <w:tc>
          <w:tcPr/>
          <w:p>
            <w:pPr>
              <w:pStyle w:val="Compact"/>
            </w:pPr>
            <w:r>
              <w:t xml:space="preserve">Patient residence (NCHS urban-rural classification): Metro 50,000-249,999</w:t>
            </w:r>
          </w:p>
        </w:tc>
        <w:tc>
          <w:tcPr/>
          <w:p>
            <w:pPr>
              <w:pStyle w:val="Compact"/>
            </w:pPr>
            <w:r>
              <w:t xml:space="preserve">0.85 (0.77–0.95)</w:t>
            </w:r>
          </w:p>
        </w:tc>
        <w:tc>
          <w:tcPr/>
          <w:p>
            <w:pPr>
              <w:pStyle w:val="Compact"/>
            </w:pPr>
            <w:r>
              <w:t xml:space="preserve">0.004</w:t>
            </w:r>
          </w:p>
        </w:tc>
      </w:tr>
      <w:tr>
        <w:tc>
          <w:tcPr/>
          <w:p>
            <w:pPr>
              <w:pStyle w:val="Compact"/>
            </w:pPr>
            <w:r>
              <w:t xml:space="preserve">Patient residence (NCHS urban-rural classification): Micropolitan</w:t>
            </w:r>
          </w:p>
        </w:tc>
        <w:tc>
          <w:tcPr/>
          <w:p>
            <w:pPr>
              <w:pStyle w:val="Compact"/>
            </w:pPr>
            <w:r>
              <w:t xml:space="preserve">0.76 (0.68–0.86)</w:t>
            </w:r>
          </w:p>
        </w:tc>
        <w:tc>
          <w:tcPr/>
          <w:p>
            <w:pPr>
              <w:pStyle w:val="Compact"/>
            </w:pPr>
            <w:r>
              <w:t xml:space="preserve">&lt;0.001</w:t>
            </w:r>
          </w:p>
        </w:tc>
      </w:tr>
      <w:tr>
        <w:tc>
          <w:tcPr/>
          <w:p>
            <w:pPr>
              <w:pStyle w:val="Compact"/>
            </w:pPr>
            <w:r>
              <w:t xml:space="preserve">Patient residence (NCHS urban-rural classification): Other</w:t>
            </w:r>
          </w:p>
        </w:tc>
        <w:tc>
          <w:tcPr/>
          <w:p>
            <w:pPr>
              <w:pStyle w:val="Compact"/>
            </w:pPr>
            <w:r>
              <w:t xml:space="preserve">0.70 (0.62–0.80)</w:t>
            </w:r>
          </w:p>
        </w:tc>
        <w:tc>
          <w:tcPr/>
          <w:p>
            <w:pPr>
              <w:pStyle w:val="Compact"/>
            </w:pPr>
            <w:r>
              <w:t xml:space="preserve">&lt;0.001</w:t>
            </w:r>
          </w:p>
        </w:tc>
      </w:tr>
      <w:tr>
        <w:tc>
          <w:tcPr/>
          <w:p>
            <w:pPr>
              <w:pStyle w:val="Compact"/>
            </w:pPr>
            <w:r>
              <w:t xml:space="preserve">Patient residence (NCHS urban-rural classification): Missing/other</w:t>
            </w:r>
          </w:p>
        </w:tc>
        <w:tc>
          <w:tcPr/>
          <w:p>
            <w:pPr>
              <w:pStyle w:val="Compact"/>
            </w:pPr>
            <w:r>
              <w:t xml:space="preserve">0.81 (0.26–2.52)</w:t>
            </w:r>
          </w:p>
        </w:tc>
        <w:tc>
          <w:tcPr/>
          <w:p>
            <w:pPr>
              <w:pStyle w:val="Compact"/>
            </w:pPr>
            <w:r>
              <w:t xml:space="preserve">0.716</w:t>
            </w:r>
          </w:p>
        </w:tc>
      </w:tr>
      <w:tr>
        <w:tc>
          <w:tcPr/>
          <w:p>
            <w:pPr>
              <w:pStyle w:val="Compact"/>
            </w:pPr>
            <w:r>
              <w:t xml:space="preserve">Admission type: Non-elective</w:t>
            </w:r>
          </w:p>
        </w:tc>
        <w:tc>
          <w:tcPr/>
          <w:p>
            <w:pPr>
              <w:pStyle w:val="Compact"/>
            </w:pPr>
            <w:r>
              <w:t xml:space="preserve">1.47 (1.34–1.61)</w:t>
            </w:r>
          </w:p>
        </w:tc>
        <w:tc>
          <w:tcPr/>
          <w:p>
            <w:pPr>
              <w:pStyle w:val="Compact"/>
            </w:pPr>
            <w:r>
              <w:t xml:space="preserve">&lt;0.001</w:t>
            </w:r>
          </w:p>
        </w:tc>
      </w:tr>
      <w:tr>
        <w:tc>
          <w:tcPr/>
          <w:p>
            <w:pPr>
              <w:pStyle w:val="Compact"/>
            </w:pPr>
            <w:r>
              <w:t xml:space="preserve">Hospital location and teaching status: Metropolitan, non-teaching</w:t>
            </w:r>
          </w:p>
        </w:tc>
        <w:tc>
          <w:tcPr/>
          <w:p>
            <w:pPr>
              <w:pStyle w:val="Compact"/>
            </w:pPr>
            <w:r>
              <w:t xml:space="preserve">0.98 (0.90–1.06)</w:t>
            </w:r>
          </w:p>
        </w:tc>
        <w:tc>
          <w:tcPr/>
          <w:p>
            <w:pPr>
              <w:pStyle w:val="Compact"/>
            </w:pPr>
            <w:r>
              <w:t xml:space="preserve">0.600</w:t>
            </w:r>
          </w:p>
        </w:tc>
      </w:tr>
      <w:tr>
        <w:tc>
          <w:tcPr/>
          <w:p>
            <w:pPr>
              <w:pStyle w:val="Compact"/>
            </w:pPr>
            <w:r>
              <w:t xml:space="preserve">Hospital location and teaching status: Non-metropolitan</w:t>
            </w:r>
          </w:p>
        </w:tc>
        <w:tc>
          <w:tcPr/>
          <w:p>
            <w:pPr>
              <w:pStyle w:val="Compact"/>
            </w:pPr>
            <w:r>
              <w:t xml:space="preserve">1.28 (1.03–1.58)</w:t>
            </w:r>
          </w:p>
        </w:tc>
        <w:tc>
          <w:tcPr/>
          <w:p>
            <w:pPr>
              <w:pStyle w:val="Compact"/>
            </w:pPr>
            <w:r>
              <w:t xml:space="preserve">0.025</w:t>
            </w:r>
          </w:p>
        </w:tc>
      </w:tr>
      <w:tr>
        <w:tc>
          <w:tcPr/>
          <w:p>
            <w:pPr>
              <w:pStyle w:val="Compact"/>
            </w:pPr>
            <w:r>
              <w:t xml:space="preserve">Hospital bed size: Medium</w:t>
            </w:r>
          </w:p>
        </w:tc>
        <w:tc>
          <w:tcPr/>
          <w:p>
            <w:pPr>
              <w:pStyle w:val="Compact"/>
            </w:pPr>
            <w:r>
              <w:t xml:space="preserve">0.95 (0.88–1.02)</w:t>
            </w:r>
          </w:p>
        </w:tc>
        <w:tc>
          <w:tcPr/>
          <w:p>
            <w:pPr>
              <w:pStyle w:val="Compact"/>
            </w:pPr>
            <w:r>
              <w:t xml:space="preserve">0.131</w:t>
            </w:r>
          </w:p>
        </w:tc>
      </w:tr>
      <w:tr>
        <w:tc>
          <w:tcPr/>
          <w:p>
            <w:pPr>
              <w:pStyle w:val="Compact"/>
            </w:pPr>
            <w:r>
              <w:t xml:space="preserve">Hospital bed size: Small</w:t>
            </w:r>
          </w:p>
        </w:tc>
        <w:tc>
          <w:tcPr/>
          <w:p>
            <w:pPr>
              <w:pStyle w:val="Compact"/>
            </w:pPr>
            <w:r>
              <w:t xml:space="preserve">0.98 (0.88–1.08)</w:t>
            </w:r>
          </w:p>
        </w:tc>
        <w:tc>
          <w:tcPr/>
          <w:p>
            <w:pPr>
              <w:pStyle w:val="Compact"/>
            </w:pPr>
            <w:r>
              <w:t xml:space="preserve">0.628</w:t>
            </w:r>
          </w:p>
        </w:tc>
      </w:tr>
      <w:tr>
        <w:tc>
          <w:tcPr/>
          <w:p>
            <w:pPr>
              <w:pStyle w:val="Compact"/>
            </w:pPr>
            <w:r>
              <w:t xml:space="preserve">Discharge year: 2017</w:t>
            </w:r>
          </w:p>
        </w:tc>
        <w:tc>
          <w:tcPr/>
          <w:p>
            <w:pPr>
              <w:pStyle w:val="Compact"/>
            </w:pPr>
            <w:r>
              <w:t xml:space="preserve">1.13 (0.95–1.35)</w:t>
            </w:r>
          </w:p>
        </w:tc>
        <w:tc>
          <w:tcPr/>
          <w:p>
            <w:pPr>
              <w:pStyle w:val="Compact"/>
            </w:pPr>
            <w:r>
              <w:t xml:space="preserve">0.178</w:t>
            </w:r>
          </w:p>
        </w:tc>
      </w:tr>
      <w:tr>
        <w:tc>
          <w:tcPr/>
          <w:p>
            <w:pPr>
              <w:pStyle w:val="Compact"/>
            </w:pPr>
            <w:r>
              <w:t xml:space="preserve">Discharge year: 2018</w:t>
            </w:r>
          </w:p>
        </w:tc>
        <w:tc>
          <w:tcPr/>
          <w:p>
            <w:pPr>
              <w:pStyle w:val="Compact"/>
            </w:pPr>
            <w:r>
              <w:t xml:space="preserve">1.03 (0.87–1.23)</w:t>
            </w:r>
          </w:p>
        </w:tc>
        <w:tc>
          <w:tcPr/>
          <w:p>
            <w:pPr>
              <w:pStyle w:val="Compact"/>
            </w:pPr>
            <w:r>
              <w:t xml:space="preserve">0.717</w:t>
            </w:r>
          </w:p>
        </w:tc>
      </w:tr>
      <w:tr>
        <w:tc>
          <w:tcPr/>
          <w:p>
            <w:pPr>
              <w:pStyle w:val="Compact"/>
            </w:pPr>
            <w:r>
              <w:t xml:space="preserve">Discharge year: 2019</w:t>
            </w:r>
          </w:p>
        </w:tc>
        <w:tc>
          <w:tcPr/>
          <w:p>
            <w:pPr>
              <w:pStyle w:val="Compact"/>
            </w:pPr>
            <w:r>
              <w:t xml:space="preserve">1.00 (0.85–1.19)</w:t>
            </w:r>
          </w:p>
        </w:tc>
        <w:tc>
          <w:tcPr/>
          <w:p>
            <w:pPr>
              <w:pStyle w:val="Compact"/>
            </w:pPr>
            <w:r>
              <w:t xml:space="preserve">0.954</w:t>
            </w:r>
          </w:p>
        </w:tc>
      </w:tr>
      <w:tr>
        <w:tc>
          <w:tcPr/>
          <w:p>
            <w:pPr>
              <w:pStyle w:val="Compact"/>
            </w:pPr>
            <w:r>
              <w:t xml:space="preserve">Discharge year: 2020</w:t>
            </w:r>
          </w:p>
        </w:tc>
        <w:tc>
          <w:tcPr/>
          <w:p>
            <w:pPr>
              <w:pStyle w:val="Compact"/>
            </w:pPr>
            <w:r>
              <w:t xml:space="preserve">0.91 (0.77–1.08)</w:t>
            </w:r>
          </w:p>
        </w:tc>
        <w:tc>
          <w:tcPr/>
          <w:p>
            <w:pPr>
              <w:pStyle w:val="Compact"/>
            </w:pPr>
            <w:r>
              <w:t xml:space="preserve">0.276</w:t>
            </w:r>
          </w:p>
        </w:tc>
      </w:tr>
      <w:tr>
        <w:tc>
          <w:tcPr/>
          <w:p>
            <w:pPr>
              <w:pStyle w:val="Compact"/>
            </w:pPr>
            <w:r>
              <w:t xml:space="preserve">Discharge year: 2021</w:t>
            </w:r>
          </w:p>
        </w:tc>
        <w:tc>
          <w:tcPr/>
          <w:p>
            <w:pPr>
              <w:pStyle w:val="Compact"/>
            </w:pPr>
            <w:r>
              <w:t xml:space="preserve">0.84 (0.71–1.00)</w:t>
            </w:r>
          </w:p>
        </w:tc>
        <w:tc>
          <w:tcPr/>
          <w:p>
            <w:pPr>
              <w:pStyle w:val="Compact"/>
            </w:pPr>
            <w:r>
              <w:t xml:space="preserve">0.044</w:t>
            </w:r>
          </w:p>
        </w:tc>
      </w:tr>
      <w:tr>
        <w:tc>
          <w:tcPr/>
          <w:p>
            <w:pPr>
              <w:pStyle w:val="Compact"/>
            </w:pPr>
            <w:r>
              <w:t xml:space="preserve">Discharge year: 2022</w:t>
            </w:r>
          </w:p>
        </w:tc>
        <w:tc>
          <w:tcPr/>
          <w:p>
            <w:pPr>
              <w:pStyle w:val="Compact"/>
            </w:pPr>
            <w:r>
              <w:t xml:space="preserve">0.78 (0.66–0.92)</w:t>
            </w:r>
          </w:p>
        </w:tc>
        <w:tc>
          <w:tcPr/>
          <w:p>
            <w:pPr>
              <w:pStyle w:val="Compact"/>
            </w:pPr>
            <w:r>
              <w:t xml:space="preserve">0.003</w:t>
            </w:r>
          </w:p>
        </w:tc>
      </w:tr>
      <w:tr>
        <w:tc>
          <w:tcPr/>
          <w:p>
            <w:pPr>
              <w:pStyle w:val="Compact"/>
            </w:pPr>
            <w:r>
              <w:t xml:space="preserve">Hospital LAAO volume tertile (within year): Middle</w:t>
            </w:r>
          </w:p>
        </w:tc>
        <w:tc>
          <w:tcPr/>
          <w:p>
            <w:pPr>
              <w:pStyle w:val="Compact"/>
            </w:pPr>
            <w:r>
              <w:t xml:space="preserve">1.06 (0.99–1.15)</w:t>
            </w:r>
          </w:p>
        </w:tc>
        <w:tc>
          <w:tcPr/>
          <w:p>
            <w:pPr>
              <w:pStyle w:val="Compact"/>
            </w:pPr>
            <w:r>
              <w:t xml:space="preserve">0.106</w:t>
            </w:r>
          </w:p>
        </w:tc>
      </w:tr>
      <w:tr>
        <w:tc>
          <w:tcPr/>
          <w:p>
            <w:pPr>
              <w:pStyle w:val="Compact"/>
            </w:pPr>
            <w:r>
              <w:t xml:space="preserve">Hospital LAAO volume tertile (within year): Low</w:t>
            </w:r>
          </w:p>
        </w:tc>
        <w:tc>
          <w:tcPr/>
          <w:p>
            <w:pPr>
              <w:pStyle w:val="Compact"/>
            </w:pPr>
            <w:r>
              <w:t xml:space="preserve">1.18 (1.10–1.27)</w:t>
            </w:r>
          </w:p>
        </w:tc>
        <w:tc>
          <w:tcPr/>
          <w:p>
            <w:pPr>
              <w:pStyle w:val="Compact"/>
            </w:pPr>
            <w:r>
              <w:t xml:space="preserve">&lt;0.001</w:t>
            </w:r>
          </w:p>
        </w:tc>
      </w:tr>
      <w:tr>
        <w:tc>
          <w:tcPr/>
          <w:p>
            <w:pPr>
              <w:pStyle w:val="Compact"/>
            </w:pPr>
            <w:r>
              <w:t xml:space="preserve">Congestive heart failure: Yes</w:t>
            </w:r>
          </w:p>
        </w:tc>
        <w:tc>
          <w:tcPr/>
          <w:p>
            <w:pPr>
              <w:pStyle w:val="Compact"/>
            </w:pPr>
            <w:r>
              <w:t xml:space="preserve">1.43 (1.36–1.51)</w:t>
            </w:r>
          </w:p>
        </w:tc>
        <w:tc>
          <w:tcPr/>
          <w:p>
            <w:pPr>
              <w:pStyle w:val="Compact"/>
            </w:pPr>
            <w:r>
              <w:t xml:space="preserve">&lt;0.001</w:t>
            </w:r>
          </w:p>
        </w:tc>
      </w:tr>
      <w:tr>
        <w:tc>
          <w:tcPr/>
          <w:p>
            <w:pPr>
              <w:pStyle w:val="Compact"/>
            </w:pPr>
            <w:r>
              <w:t xml:space="preserve">Hypertension: Yes</w:t>
            </w:r>
          </w:p>
        </w:tc>
        <w:tc>
          <w:tcPr/>
          <w:p>
            <w:pPr>
              <w:pStyle w:val="Compact"/>
            </w:pPr>
            <w:r>
              <w:t xml:space="preserve">0.97 (0.90–1.05)</w:t>
            </w:r>
          </w:p>
        </w:tc>
        <w:tc>
          <w:tcPr/>
          <w:p>
            <w:pPr>
              <w:pStyle w:val="Compact"/>
            </w:pPr>
            <w:r>
              <w:t xml:space="preserve">0.428</w:t>
            </w:r>
          </w:p>
        </w:tc>
      </w:tr>
      <w:tr>
        <w:tc>
          <w:tcPr/>
          <w:p>
            <w:pPr>
              <w:pStyle w:val="Compact"/>
            </w:pPr>
            <w:r>
              <w:t xml:space="preserve">Diabetes mellitus: Yes</w:t>
            </w:r>
          </w:p>
        </w:tc>
        <w:tc>
          <w:tcPr/>
          <w:p>
            <w:pPr>
              <w:pStyle w:val="Compact"/>
            </w:pPr>
            <w:r>
              <w:t xml:space="preserve">1.27 (1.20–1.34)</w:t>
            </w:r>
          </w:p>
        </w:tc>
        <w:tc>
          <w:tcPr/>
          <w:p>
            <w:pPr>
              <w:pStyle w:val="Compact"/>
            </w:pPr>
            <w:r>
              <w:t xml:space="preserve">&lt;0.001</w:t>
            </w:r>
          </w:p>
        </w:tc>
      </w:tr>
      <w:tr>
        <w:tc>
          <w:tcPr/>
          <w:p>
            <w:pPr>
              <w:pStyle w:val="Compact"/>
            </w:pPr>
            <w:r>
              <w:t xml:space="preserve">Prior stroke, TIA or thromboembolism: Yes</w:t>
            </w:r>
          </w:p>
        </w:tc>
        <w:tc>
          <w:tcPr/>
          <w:p>
            <w:pPr>
              <w:pStyle w:val="Compact"/>
            </w:pPr>
            <w:r>
              <w:t xml:space="preserve">1.09 (1.03–1.16)</w:t>
            </w:r>
          </w:p>
        </w:tc>
        <w:tc>
          <w:tcPr/>
          <w:p>
            <w:pPr>
              <w:pStyle w:val="Compact"/>
            </w:pPr>
            <w:r>
              <w:t xml:space="preserve">0.003</w:t>
            </w:r>
          </w:p>
        </w:tc>
      </w:tr>
      <w:tr>
        <w:tc>
          <w:tcPr/>
          <w:p>
            <w:pPr>
              <w:pStyle w:val="Compact"/>
            </w:pPr>
            <w:r>
              <w:t xml:space="preserve">Vascular disease (peripheral arterial, aortic or prior myocardial infarction): Yes</w:t>
            </w:r>
          </w:p>
        </w:tc>
        <w:tc>
          <w:tcPr/>
          <w:p>
            <w:pPr>
              <w:pStyle w:val="Compact"/>
            </w:pPr>
            <w:r>
              <w:t xml:space="preserve">1.15 (1.09–1.21)</w:t>
            </w:r>
          </w:p>
        </w:tc>
        <w:tc>
          <w:tcPr/>
          <w:p>
            <w:pPr>
              <w:pStyle w:val="Compact"/>
            </w:pPr>
            <w:r>
              <w:t xml:space="preserve">&lt;0.001</w:t>
            </w:r>
          </w:p>
        </w:tc>
      </w:tr>
      <w:tr>
        <w:tc>
          <w:tcPr/>
          <w:p>
            <w:pPr>
              <w:pStyle w:val="Compact"/>
            </w:pPr>
            <w:r>
              <w:t xml:space="preserve">Prior major bleeding: Yes</w:t>
            </w:r>
          </w:p>
        </w:tc>
        <w:tc>
          <w:tcPr/>
          <w:p>
            <w:pPr>
              <w:pStyle w:val="Compact"/>
            </w:pPr>
            <w:r>
              <w:t xml:space="preserve">1.67 (1.51–1.84)</w:t>
            </w:r>
          </w:p>
        </w:tc>
        <w:tc>
          <w:tcPr/>
          <w:p>
            <w:pPr>
              <w:pStyle w:val="Compact"/>
            </w:pPr>
            <w:r>
              <w:t xml:space="preserve">&lt;0.001</w:t>
            </w:r>
          </w:p>
        </w:tc>
      </w:tr>
      <w:tr>
        <w:tc>
          <w:tcPr/>
          <w:p>
            <w:pPr>
              <w:pStyle w:val="Compact"/>
            </w:pPr>
            <w:r>
              <w:t xml:space="preserve">Liver disease: Yes</w:t>
            </w:r>
          </w:p>
        </w:tc>
        <w:tc>
          <w:tcPr/>
          <w:p>
            <w:pPr>
              <w:pStyle w:val="Compact"/>
            </w:pPr>
            <w:r>
              <w:t xml:space="preserve">1.35 (1.18–1.55)</w:t>
            </w:r>
          </w:p>
        </w:tc>
        <w:tc>
          <w:tcPr/>
          <w:p>
            <w:pPr>
              <w:pStyle w:val="Compact"/>
            </w:pPr>
            <w:r>
              <w:t xml:space="preserve">&lt;0.001</w:t>
            </w:r>
          </w:p>
        </w:tc>
      </w:tr>
      <w:tr>
        <w:tc>
          <w:tcPr/>
          <w:p>
            <w:pPr>
              <w:pStyle w:val="Compact"/>
            </w:pPr>
            <w:r>
              <w:t xml:space="preserve">Alcohol use disorder: Yes</w:t>
            </w:r>
          </w:p>
        </w:tc>
        <w:tc>
          <w:tcPr/>
          <w:p>
            <w:pPr>
              <w:pStyle w:val="Compact"/>
            </w:pPr>
            <w:r>
              <w:t xml:space="preserve">1.17 (0.95–1.44)</w:t>
            </w:r>
          </w:p>
        </w:tc>
        <w:tc>
          <w:tcPr/>
          <w:p>
            <w:pPr>
              <w:pStyle w:val="Compact"/>
            </w:pPr>
            <w:r>
              <w:t xml:space="preserve">0.148</w:t>
            </w:r>
          </w:p>
        </w:tc>
      </w:tr>
      <w:tr>
        <w:tc>
          <w:tcPr/>
          <w:p>
            <w:pPr>
              <w:pStyle w:val="Compact"/>
            </w:pPr>
            <w:r>
              <w:t xml:space="preserve">Anaemia (deficiency or blood-loss): Yes</w:t>
            </w:r>
          </w:p>
        </w:tc>
        <w:tc>
          <w:tcPr/>
          <w:p>
            <w:pPr>
              <w:pStyle w:val="Compact"/>
            </w:pPr>
            <w:r>
              <w:t xml:space="preserve">1.50 (1.36–1.65)</w:t>
            </w:r>
          </w:p>
        </w:tc>
        <w:tc>
          <w:tcPr/>
          <w:p>
            <w:pPr>
              <w:pStyle w:val="Compact"/>
            </w:pPr>
            <w:r>
              <w:t xml:space="preserve">&lt;0.001</w:t>
            </w:r>
          </w:p>
        </w:tc>
      </w:tr>
      <w:tr>
        <w:tc>
          <w:tcPr/>
          <w:p>
            <w:pPr>
              <w:pStyle w:val="Compact"/>
            </w:pPr>
            <w:r>
              <w:t xml:space="preserve">Residual Elixhauser comorbidity count</w:t>
            </w:r>
          </w:p>
        </w:tc>
        <w:tc>
          <w:tcPr/>
          <w:p>
            <w:pPr>
              <w:pStyle w:val="Compact"/>
            </w:pPr>
            <w:r>
              <w:t xml:space="preserve">1.14 (1.12–1.17)</w:t>
            </w:r>
          </w:p>
        </w:tc>
        <w:tc>
          <w:tcPr/>
          <w:p>
            <w:pPr>
              <w:pStyle w:val="Compact"/>
            </w:pPr>
            <w:r>
              <w:t xml:space="preserve">&lt;0.001</w:t>
            </w:r>
          </w:p>
        </w:tc>
      </w:tr>
    </w:tbl>
    <w:bookmarkEnd w:id="62"/>
    <w:bookmarkStart w:id="63" w:name="code-lists"/>
    <w:p>
      <w:pPr>
        <w:pStyle w:val="Heading2"/>
      </w:pPr>
      <w:r>
        <w:t xml:space="preserve">5.3 Code lists</w:t>
      </w:r>
    </w:p>
    <w:p>
      <w:pPr>
        <w:pStyle w:val="TableCaption"/>
      </w:pPr>
      <w:r>
        <w:t xml:space="preserve">Table S5. Complete code lists used to construct the cohort, the exposure, the exclusions and the covariates.</w:t>
      </w:r>
    </w:p>
    <w:tbl>
      <w:tblPr>
        <w:tblStyle w:val="Table"/>
        <w:tblW w:type="pct" w:w="5000"/>
        <w:tblLayout w:type="fixed"/>
        <w:tblLook w:firstRow="1" w:lastRow="0" w:firstColumn="0" w:lastColumn="0" w:noHBand="0" w:noVBand="0" w:val="0020"/>
        <w:tblCaption w:val="Table S5. Complete code lists used to construct the cohort, the exposure, the exclusions and the covariates."/>
      </w:tblPr>
      <w:tblGrid>
        <w:gridCol w:w="5426"/>
        <w:gridCol w:w="880"/>
        <w:gridCol w:w="1613"/>
      </w:tblGrid>
      <w:tr>
        <w:trPr>
          <w:tblHeader w:val="on"/>
        </w:trPr>
        <w:tc>
          <w:tcPr/>
          <w:p>
            <w:pPr>
              <w:pStyle w:val="Compact"/>
            </w:pPr>
            <w:r>
              <w:t xml:space="preserve">Group</w:t>
            </w:r>
          </w:p>
        </w:tc>
        <w:tc>
          <w:tcPr/>
          <w:p>
            <w:pPr>
              <w:pStyle w:val="Compact"/>
            </w:pPr>
            <w:r>
              <w:t xml:space="preserve">System</w:t>
            </w:r>
          </w:p>
        </w:tc>
        <w:tc>
          <w:tcPr/>
          <w:p>
            <w:pPr>
              <w:pStyle w:val="Compact"/>
            </w:pPr>
            <w:r>
              <w:t xml:space="preserve">Code</w:t>
            </w:r>
          </w:p>
        </w:tc>
      </w:tr>
      <w:tr>
        <w:tc>
          <w:tcPr/>
          <w:p>
            <w:pPr>
              <w:pStyle w:val="Compact"/>
            </w:pPr>
            <w:r>
              <w:t xml:space="preserve">Left atrial appendage occlusion (cohort, any-listed procedure)</w:t>
            </w:r>
          </w:p>
        </w:tc>
        <w:tc>
          <w:tcPr/>
          <w:p>
            <w:pPr>
              <w:pStyle w:val="Compact"/>
            </w:pPr>
            <w:r>
              <w:t xml:space="preserve">ICD-10-PCS</w:t>
            </w:r>
          </w:p>
        </w:tc>
        <w:tc>
          <w:tcPr/>
          <w:p>
            <w:pPr>
              <w:pStyle w:val="Compact"/>
            </w:pPr>
            <w:r>
              <w:t xml:space="preserve">02L73DK</w:t>
            </w:r>
          </w:p>
        </w:tc>
      </w:tr>
      <w:tr>
        <w:tc>
          <w:tcPr/>
          <w:p>
            <w:pPr>
              <w:pStyle w:val="Compact"/>
            </w:pPr>
            <w:r>
              <w:t xml:space="preserve">LAA occlusion device codes EXCLUDED from the cohort definition</w:t>
            </w:r>
          </w:p>
        </w:tc>
        <w:tc>
          <w:tcPr/>
          <w:p>
            <w:pPr>
              <w:pStyle w:val="Compact"/>
            </w:pPr>
            <w:r>
              <w:t xml:space="preserve">ICD-10-PCS</w:t>
            </w:r>
          </w:p>
        </w:tc>
        <w:tc>
          <w:tcPr/>
          <w:p>
            <w:pPr>
              <w:pStyle w:val="Compact"/>
            </w:pPr>
            <w:r>
              <w:t xml:space="preserve">02L73CK</w:t>
            </w:r>
          </w:p>
        </w:tc>
      </w:tr>
      <w:tr>
        <w:tc>
          <w:tcPr/>
          <w:p>
            <w:pPr>
              <w:pStyle w:val="Compact"/>
            </w:pPr>
            <w:r>
              <w:t xml:space="preserve">LAA occlusion device codes EXCLUDED from the cohort definition</w:t>
            </w:r>
          </w:p>
        </w:tc>
        <w:tc>
          <w:tcPr/>
          <w:p>
            <w:pPr>
              <w:pStyle w:val="Compact"/>
            </w:pPr>
            <w:r>
              <w:t xml:space="preserve">ICD-10-PCS</w:t>
            </w:r>
          </w:p>
        </w:tc>
        <w:tc>
          <w:tcPr/>
          <w:p>
            <w:pPr>
              <w:pStyle w:val="Compact"/>
            </w:pPr>
            <w:r>
              <w:t xml:space="preserve">02L73ZK</w:t>
            </w:r>
          </w:p>
        </w:tc>
      </w:tr>
      <w:tr>
        <w:tc>
          <w:tcPr/>
          <w:p>
            <w:pPr>
              <w:pStyle w:val="Compact"/>
            </w:pPr>
            <w:r>
              <w:t xml:space="preserve">End-stage kidney disease (exposure, part 1 of 2)</w:t>
            </w:r>
          </w:p>
        </w:tc>
        <w:tc>
          <w:tcPr/>
          <w:p>
            <w:pPr>
              <w:pStyle w:val="Compact"/>
            </w:pPr>
            <w:r>
              <w:t xml:space="preserve">ICD-10-CM</w:t>
            </w:r>
          </w:p>
        </w:tc>
        <w:tc>
          <w:tcPr/>
          <w:p>
            <w:pPr>
              <w:pStyle w:val="Compact"/>
            </w:pPr>
            <w:r>
              <w:t xml:space="preserve">N186</w:t>
            </w:r>
          </w:p>
        </w:tc>
      </w:tr>
      <w:tr>
        <w:tc>
          <w:tcPr/>
          <w:p>
            <w:pPr>
              <w:pStyle w:val="Compact"/>
            </w:pPr>
            <w:r>
              <w:t xml:space="preserve">Dialysis dependence (exposure, part 2 of 2)</w:t>
            </w:r>
          </w:p>
        </w:tc>
        <w:tc>
          <w:tcPr/>
          <w:p>
            <w:pPr>
              <w:pStyle w:val="Compact"/>
            </w:pPr>
            <w:r>
              <w:t xml:space="preserve">ICD-10-CM</w:t>
            </w:r>
          </w:p>
        </w:tc>
        <w:tc>
          <w:tcPr/>
          <w:p>
            <w:pPr>
              <w:pStyle w:val="Compact"/>
            </w:pPr>
            <w:r>
              <w:t xml:space="preserve">Z992</w:t>
            </w:r>
          </w:p>
        </w:tc>
      </w:tr>
      <w:tr>
        <w:tc>
          <w:tcPr/>
          <w:p>
            <w:pPr>
              <w:pStyle w:val="Compact"/>
            </w:pPr>
            <w:r>
              <w:t xml:space="preserve">Dialysis dependence (exposure, part 2 of 2)</w:t>
            </w:r>
          </w:p>
        </w:tc>
        <w:tc>
          <w:tcPr/>
          <w:p>
            <w:pPr>
              <w:pStyle w:val="Compact"/>
            </w:pPr>
            <w:r>
              <w:t xml:space="preserve">ICD-10-CM</w:t>
            </w:r>
          </w:p>
        </w:tc>
        <w:tc>
          <w:tcPr/>
          <w:p>
            <w:pPr>
              <w:pStyle w:val="Compact"/>
            </w:pPr>
            <w:r>
              <w:t xml:space="preserve">Z4901</w:t>
            </w:r>
          </w:p>
        </w:tc>
      </w:tr>
      <w:tr>
        <w:tc>
          <w:tcPr/>
          <w:p>
            <w:pPr>
              <w:pStyle w:val="Compact"/>
            </w:pPr>
            <w:r>
              <w:t xml:space="preserve">Dialysis dependence (exposure, part 2 of 2)</w:t>
            </w:r>
          </w:p>
        </w:tc>
        <w:tc>
          <w:tcPr/>
          <w:p>
            <w:pPr>
              <w:pStyle w:val="Compact"/>
            </w:pPr>
            <w:r>
              <w:t xml:space="preserve">ICD-10-CM</w:t>
            </w:r>
          </w:p>
        </w:tc>
        <w:tc>
          <w:tcPr/>
          <w:p>
            <w:pPr>
              <w:pStyle w:val="Compact"/>
            </w:pPr>
            <w:r>
              <w:t xml:space="preserve">Z4902</w:t>
            </w:r>
          </w:p>
        </w:tc>
      </w:tr>
      <w:tr>
        <w:tc>
          <w:tcPr/>
          <w:p>
            <w:pPr>
              <w:pStyle w:val="Compact"/>
            </w:pPr>
            <w:r>
              <w:t xml:space="preserve">Dialysis dependence (exposure, part 2 of 2)</w:t>
            </w:r>
          </w:p>
        </w:tc>
        <w:tc>
          <w:tcPr/>
          <w:p>
            <w:pPr>
              <w:pStyle w:val="Compact"/>
            </w:pPr>
            <w:r>
              <w:t xml:space="preserve">ICD-10-CM</w:t>
            </w:r>
          </w:p>
        </w:tc>
        <w:tc>
          <w:tcPr/>
          <w:p>
            <w:pPr>
              <w:pStyle w:val="Compact"/>
            </w:pPr>
            <w:r>
              <w:t xml:space="preserve">Z4931</w:t>
            </w:r>
          </w:p>
        </w:tc>
      </w:tr>
      <w:tr>
        <w:tc>
          <w:tcPr/>
          <w:p>
            <w:pPr>
              <w:pStyle w:val="Compact"/>
            </w:pPr>
            <w:r>
              <w:t xml:space="preserve">Dialysis dependence (exposure, part 2 of 2)</w:t>
            </w:r>
          </w:p>
        </w:tc>
        <w:tc>
          <w:tcPr/>
          <w:p>
            <w:pPr>
              <w:pStyle w:val="Compact"/>
            </w:pPr>
            <w:r>
              <w:t xml:space="preserve">ICD-10-CM</w:t>
            </w:r>
          </w:p>
        </w:tc>
        <w:tc>
          <w:tcPr/>
          <w:p>
            <w:pPr>
              <w:pStyle w:val="Compact"/>
            </w:pPr>
            <w:r>
              <w:t xml:space="preserve">Z4932</w:t>
            </w:r>
          </w:p>
        </w:tc>
      </w:tr>
      <w:tr>
        <w:tc>
          <w:tcPr/>
          <w:p>
            <w:pPr>
              <w:pStyle w:val="Compact"/>
            </w:pPr>
            <w:r>
              <w:t xml:space="preserve">Dialysis dependence (exposure, part 2 of 2)</w:t>
            </w:r>
          </w:p>
        </w:tc>
        <w:tc>
          <w:tcPr/>
          <w:p>
            <w:pPr>
              <w:pStyle w:val="Compact"/>
            </w:pPr>
            <w:r>
              <w:t xml:space="preserve">ICD-10-PCS</w:t>
            </w:r>
          </w:p>
        </w:tc>
        <w:tc>
          <w:tcPr/>
          <w:p>
            <w:pPr>
              <w:pStyle w:val="Compact"/>
            </w:pPr>
            <w:r>
              <w:t xml:space="preserve">5A1D60Z</w:t>
            </w:r>
          </w:p>
        </w:tc>
      </w:tr>
      <w:tr>
        <w:tc>
          <w:tcPr/>
          <w:p>
            <w:pPr>
              <w:pStyle w:val="Compact"/>
            </w:pPr>
            <w:r>
              <w:t xml:space="preserve">Dialysis dependence (exposure, part 2 of 2)</w:t>
            </w:r>
          </w:p>
        </w:tc>
        <w:tc>
          <w:tcPr/>
          <w:p>
            <w:pPr>
              <w:pStyle w:val="Compact"/>
            </w:pPr>
            <w:r>
              <w:t xml:space="preserve">ICD-10-PCS</w:t>
            </w:r>
          </w:p>
        </w:tc>
        <w:tc>
          <w:tcPr/>
          <w:p>
            <w:pPr>
              <w:pStyle w:val="Compact"/>
            </w:pPr>
            <w:r>
              <w:t xml:space="preserve">5A1D70Z</w:t>
            </w:r>
          </w:p>
        </w:tc>
      </w:tr>
      <w:tr>
        <w:tc>
          <w:tcPr/>
          <w:p>
            <w:pPr>
              <w:pStyle w:val="Compact"/>
            </w:pPr>
            <w:r>
              <w:t xml:space="preserve">Dialysis dependence (exposure, part 2 of 2)</w:t>
            </w:r>
          </w:p>
        </w:tc>
        <w:tc>
          <w:tcPr/>
          <w:p>
            <w:pPr>
              <w:pStyle w:val="Compact"/>
            </w:pPr>
            <w:r>
              <w:t xml:space="preserve">ICD-10-PCS</w:t>
            </w:r>
          </w:p>
        </w:tc>
        <w:tc>
          <w:tcPr/>
          <w:p>
            <w:pPr>
              <w:pStyle w:val="Compact"/>
            </w:pPr>
            <w:r>
              <w:t xml:space="preserve">5A1D80Z</w:t>
            </w:r>
          </w:p>
        </w:tc>
      </w:tr>
      <w:tr>
        <w:tc>
          <w:tcPr/>
          <w:p>
            <w:pPr>
              <w:pStyle w:val="Compact"/>
            </w:pPr>
            <w:r>
              <w:t xml:space="preserve">Dialysis dependence (exposure, part 2 of 2)</w:t>
            </w:r>
          </w:p>
        </w:tc>
        <w:tc>
          <w:tcPr/>
          <w:p>
            <w:pPr>
              <w:pStyle w:val="Compact"/>
            </w:pPr>
            <w:r>
              <w:t xml:space="preserve">ICD-10-PCS</w:t>
            </w:r>
          </w:p>
        </w:tc>
        <w:tc>
          <w:tcPr/>
          <w:p>
            <w:pPr>
              <w:pStyle w:val="Compact"/>
            </w:pPr>
            <w:r>
              <w:t xml:space="preserve">3E1M39Z</w:t>
            </w:r>
          </w:p>
        </w:tc>
      </w:tr>
      <w:tr>
        <w:tc>
          <w:tcPr/>
          <w:p>
            <w:pPr>
              <w:pStyle w:val="Compact"/>
            </w:pPr>
            <w:r>
              <w:t xml:space="preserve">Continuous renal replacement therapy – EXCLUDED from the exposure</w:t>
            </w:r>
          </w:p>
        </w:tc>
        <w:tc>
          <w:tcPr/>
          <w:p>
            <w:pPr>
              <w:pStyle w:val="Compact"/>
            </w:pPr>
            <w:r>
              <w:t xml:space="preserve">ICD-10-PCS</w:t>
            </w:r>
          </w:p>
        </w:tc>
        <w:tc>
          <w:tcPr/>
          <w:p>
            <w:pPr>
              <w:pStyle w:val="Compact"/>
            </w:pPr>
            <w:r>
              <w:t xml:space="preserve">5A1D90Z</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0210083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0210088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0210089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021008C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021008F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021008W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0210093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0210098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0210099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021009C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021009F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021009W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02100A3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02100A8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02100A9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02100AC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02100AF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02100AW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02100J3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02100J8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02100J9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02100JC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02100JF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02100JW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02100K3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02100K8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02100K9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02100KC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02100KF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02100KW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02100Z3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02100Z8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02100Z9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02100ZC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02100ZF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0210444</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0210483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0210488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0210489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021048C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021048F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021048W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0210493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0210498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0210499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021049C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021049F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021049W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02104A3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02104A8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02104A9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02104AC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02104AF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02104AW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02104D4</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02104J3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02104J8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02104J9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02104JC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02104JF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02104JW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02104K3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02104K8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02104K9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02104KC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02104KF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02104KW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02104Z3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02104Z8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02104Z9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02104ZC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02104ZF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0211083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0211088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0211089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021108C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021108F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021108W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0211093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0211098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0211099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021109C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021109F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021109W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02110A3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02110A8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02110A9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02110AC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02110AF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02110AW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02110J3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02110J8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02110J9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02110JC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02110JF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02110JW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02110K3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02110K8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02110K9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02110KC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02110KF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02110KW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02110Z3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02110Z8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02110Z9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02110ZC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02110ZF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0211444</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0211483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0211488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0211489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021148C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021148F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021148W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0211493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0211498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0211499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021149C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021149F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021149W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02114A3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02114A8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02114A9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02114AC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02114AF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02114AW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02114D4</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02114J3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02114J8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02114J9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02114JC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02114JF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02114JW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02114K3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02114K8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02114K9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02114KC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02114KF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02114KW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02114Z3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02114Z8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02114Z9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02114ZC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02114ZF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0212083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0212088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0212089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021208C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021208F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021208W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0212093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0212098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0212099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021209C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021209F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021209W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02120A3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02120A8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02120A9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02120AC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02120AF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02120AW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02120J3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02120J8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02120J9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02120JC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02120JF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02120JW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02120K3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02120K8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02120K9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02120KC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02120KF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02120KW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02120Z3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02120Z8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02120Z9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02120ZC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02120ZF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0212444</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0212483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0212488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0212489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021248C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021248F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021248W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0212493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0212498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0212499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021249C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021249F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021249W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02124A3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02124A8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02124A9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02124AC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02124AF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02124AW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02124D4</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02124J3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02124J8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02124J9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02124JC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02124JF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02124JW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02124K3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02124K8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02124K9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02124KC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02124KF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02124KW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02124Z3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02124Z8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02124Z9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02124ZC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02124ZF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0213083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0213088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0213089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021308C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021308F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021308W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0213093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0213098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0213099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021309C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021309F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021309W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02130A3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02130A8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02130A9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02130AC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02130AF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02130AW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02130J3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02130J8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02130J9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02130JC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02130JF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02130JW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02130K3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02130K8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02130K9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02130KC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02130KF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02130KW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02130Z3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02130Z8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02130Z9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02130ZC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02130ZF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0213444</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0213483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0213488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0213489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021348C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021348F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021348W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0213493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0213498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0213499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021349C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021349F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021349W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02134A3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02134A8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02134A9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02134AC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02134AF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02134AW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02134D4</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02134J3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02134J8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02134J9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02134JC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02134JF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02134JW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02134K3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02134K8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02134K9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02134KC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02134KF</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02134KW</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02134Z3</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02134Z8</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02134Z9</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02134ZC</w:t>
            </w:r>
          </w:p>
        </w:tc>
      </w:tr>
      <w:tr>
        <w:tc>
          <w:tcPr/>
          <w:p>
            <w:pPr>
              <w:pStyle w:val="Compact"/>
            </w:pPr>
            <w:r>
              <w:t xml:space="preserve">Concomitant coronary artery bypass grafting (exclusion)</w:t>
            </w:r>
          </w:p>
        </w:tc>
        <w:tc>
          <w:tcPr/>
          <w:p>
            <w:pPr>
              <w:pStyle w:val="Compact"/>
            </w:pPr>
            <w:r>
              <w:t xml:space="preserve">ICD-10-PCS</w:t>
            </w:r>
          </w:p>
        </w:tc>
        <w:tc>
          <w:tcPr/>
          <w:p>
            <w:pPr>
              <w:pStyle w:val="Compact"/>
            </w:pPr>
            <w:r>
              <w:t xml:space="preserve">02134ZF</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02RF0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02RF3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02RF4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02RG0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02RG3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02RG4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02RH0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02RH3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02RH4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02RJ0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02RJ3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02RJ4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02UF0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02UF3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02UF4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02UG0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02UG3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02UG4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02UH0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02UH3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02UH4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02UJ0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02UJ3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02UJ4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02QF0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02QF3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02QF4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02QG0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02QG3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02QG4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02QH0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02QH3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02QH4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02QJ0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02QJ3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02QJ4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02NF0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02NF3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02NF4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02NG0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02NG3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02NG4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02NH0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02NH3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02NH4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02NJ0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02NJ3 (stem)</w:t>
            </w:r>
          </w:p>
        </w:tc>
      </w:tr>
      <w:tr>
        <w:tc>
          <w:tcPr/>
          <w:p>
            <w:pPr>
              <w:pStyle w:val="Compact"/>
            </w:pPr>
            <w:r>
              <w:t xml:space="preserve">Concomitant valve procedure (exclusion; 5-character stems, all children)</w:t>
            </w:r>
          </w:p>
        </w:tc>
        <w:tc>
          <w:tcPr/>
          <w:p>
            <w:pPr>
              <w:pStyle w:val="Compact"/>
            </w:pPr>
            <w:r>
              <w:t xml:space="preserve">ICD-10-PCS</w:t>
            </w:r>
          </w:p>
        </w:tc>
        <w:tc>
          <w:tcPr/>
          <w:p>
            <w:pPr>
              <w:pStyle w:val="Compact"/>
            </w:pPr>
            <w:r>
              <w:t xml:space="preserve">02NJ4 (stem)</w:t>
            </w:r>
          </w:p>
        </w:tc>
      </w:tr>
      <w:tr>
        <w:tc>
          <w:tcPr/>
          <w:p>
            <w:pPr>
              <w:pStyle w:val="Compact"/>
            </w:pPr>
            <w:r>
              <w:t xml:space="preserve">Concomitant open or thoracoscopic LAA operation (exclusion)</w:t>
            </w:r>
          </w:p>
        </w:tc>
        <w:tc>
          <w:tcPr/>
          <w:p>
            <w:pPr>
              <w:pStyle w:val="Compact"/>
            </w:pPr>
            <w:r>
              <w:t xml:space="preserve">ICD-10-PCS</w:t>
            </w:r>
          </w:p>
        </w:tc>
        <w:tc>
          <w:tcPr/>
          <w:p>
            <w:pPr>
              <w:pStyle w:val="Compact"/>
            </w:pPr>
            <w:r>
              <w:t xml:space="preserve">02L70 (stem)</w:t>
            </w:r>
          </w:p>
        </w:tc>
      </w:tr>
      <w:tr>
        <w:tc>
          <w:tcPr/>
          <w:p>
            <w:pPr>
              <w:pStyle w:val="Compact"/>
            </w:pPr>
            <w:r>
              <w:t xml:space="preserve">Concomitant open or thoracoscopic LAA operation (exclusion)</w:t>
            </w:r>
          </w:p>
        </w:tc>
        <w:tc>
          <w:tcPr/>
          <w:p>
            <w:pPr>
              <w:pStyle w:val="Compact"/>
            </w:pPr>
            <w:r>
              <w:t xml:space="preserve">ICD-10-PCS</w:t>
            </w:r>
          </w:p>
        </w:tc>
        <w:tc>
          <w:tcPr/>
          <w:p>
            <w:pPr>
              <w:pStyle w:val="Compact"/>
            </w:pPr>
            <w:r>
              <w:t xml:space="preserve">02L74 (stem)</w:t>
            </w:r>
          </w:p>
        </w:tc>
      </w:tr>
      <w:tr>
        <w:tc>
          <w:tcPr/>
          <w:p>
            <w:pPr>
              <w:pStyle w:val="Compact"/>
            </w:pPr>
            <w:r>
              <w:t xml:space="preserve">Pericardial effusion or tamponade at index</w:t>
            </w:r>
          </w:p>
        </w:tc>
        <w:tc>
          <w:tcPr/>
          <w:p>
            <w:pPr>
              <w:pStyle w:val="Compact"/>
            </w:pPr>
            <w:r>
              <w:t xml:space="preserve">ICD-10-CM</w:t>
            </w:r>
          </w:p>
        </w:tc>
        <w:tc>
          <w:tcPr/>
          <w:p>
            <w:pPr>
              <w:pStyle w:val="Compact"/>
            </w:pPr>
            <w:r>
              <w:t xml:space="preserve">I313</w:t>
            </w:r>
          </w:p>
        </w:tc>
      </w:tr>
      <w:tr>
        <w:tc>
          <w:tcPr/>
          <w:p>
            <w:pPr>
              <w:pStyle w:val="Compact"/>
            </w:pPr>
            <w:r>
              <w:t xml:space="preserve">Pericardial effusion or tamponade at index</w:t>
            </w:r>
          </w:p>
        </w:tc>
        <w:tc>
          <w:tcPr/>
          <w:p>
            <w:pPr>
              <w:pStyle w:val="Compact"/>
            </w:pPr>
            <w:r>
              <w:t xml:space="preserve">ICD-10-CM</w:t>
            </w:r>
          </w:p>
        </w:tc>
        <w:tc>
          <w:tcPr/>
          <w:p>
            <w:pPr>
              <w:pStyle w:val="Compact"/>
            </w:pPr>
            <w:r>
              <w:t xml:space="preserve">I3131</w:t>
            </w:r>
          </w:p>
        </w:tc>
      </w:tr>
      <w:tr>
        <w:tc>
          <w:tcPr/>
          <w:p>
            <w:pPr>
              <w:pStyle w:val="Compact"/>
            </w:pPr>
            <w:r>
              <w:t xml:space="preserve">Pericardial effusion or tamponade at index</w:t>
            </w:r>
          </w:p>
        </w:tc>
        <w:tc>
          <w:tcPr/>
          <w:p>
            <w:pPr>
              <w:pStyle w:val="Compact"/>
            </w:pPr>
            <w:r>
              <w:t xml:space="preserve">ICD-10-CM</w:t>
            </w:r>
          </w:p>
        </w:tc>
        <w:tc>
          <w:tcPr/>
          <w:p>
            <w:pPr>
              <w:pStyle w:val="Compact"/>
            </w:pPr>
            <w:r>
              <w:t xml:space="preserve">I3139</w:t>
            </w:r>
          </w:p>
        </w:tc>
      </w:tr>
      <w:tr>
        <w:tc>
          <w:tcPr/>
          <w:p>
            <w:pPr>
              <w:pStyle w:val="Compact"/>
            </w:pPr>
            <w:r>
              <w:t xml:space="preserve">Pericardial effusion or tamponade at index</w:t>
            </w:r>
          </w:p>
        </w:tc>
        <w:tc>
          <w:tcPr/>
          <w:p>
            <w:pPr>
              <w:pStyle w:val="Compact"/>
            </w:pPr>
            <w:r>
              <w:t xml:space="preserve">ICD-10-CM</w:t>
            </w:r>
          </w:p>
        </w:tc>
        <w:tc>
          <w:tcPr/>
          <w:p>
            <w:pPr>
              <w:pStyle w:val="Compact"/>
            </w:pPr>
            <w:r>
              <w:t xml:space="preserve">I314</w:t>
            </w:r>
          </w:p>
        </w:tc>
      </w:tr>
      <w:tr>
        <w:tc>
          <w:tcPr/>
          <w:p>
            <w:pPr>
              <w:pStyle w:val="Compact"/>
            </w:pPr>
            <w:r>
              <w:t xml:space="preserve">Pericardial drainage at index</w:t>
            </w:r>
          </w:p>
        </w:tc>
        <w:tc>
          <w:tcPr/>
          <w:p>
            <w:pPr>
              <w:pStyle w:val="Compact"/>
            </w:pPr>
            <w:r>
              <w:t xml:space="preserve">ICD-10-PCS</w:t>
            </w:r>
          </w:p>
        </w:tc>
        <w:tc>
          <w:tcPr/>
          <w:p>
            <w:pPr>
              <w:pStyle w:val="Compact"/>
            </w:pPr>
            <w:r>
              <w:t xml:space="preserve">0W9D30Z</w:t>
            </w:r>
          </w:p>
        </w:tc>
      </w:tr>
      <w:tr>
        <w:tc>
          <w:tcPr/>
          <w:p>
            <w:pPr>
              <w:pStyle w:val="Compact"/>
            </w:pPr>
            <w:r>
              <w:t xml:space="preserve">Pericardial drainage at index</w:t>
            </w:r>
          </w:p>
        </w:tc>
        <w:tc>
          <w:tcPr/>
          <w:p>
            <w:pPr>
              <w:pStyle w:val="Compact"/>
            </w:pPr>
            <w:r>
              <w:t xml:space="preserve">ICD-10-PCS</w:t>
            </w:r>
          </w:p>
        </w:tc>
        <w:tc>
          <w:tcPr/>
          <w:p>
            <w:pPr>
              <w:pStyle w:val="Compact"/>
            </w:pPr>
            <w:r>
              <w:t xml:space="preserve">0W9D3ZZ</w:t>
            </w:r>
          </w:p>
        </w:tc>
      </w:tr>
      <w:tr>
        <w:tc>
          <w:tcPr/>
          <w:p>
            <w:pPr>
              <w:pStyle w:val="Compact"/>
            </w:pPr>
            <w:r>
              <w:t xml:space="preserve">Pericardial drainage at index</w:t>
            </w:r>
          </w:p>
        </w:tc>
        <w:tc>
          <w:tcPr/>
          <w:p>
            <w:pPr>
              <w:pStyle w:val="Compact"/>
            </w:pPr>
            <w:r>
              <w:t xml:space="preserve">ICD-10-PCS</w:t>
            </w:r>
          </w:p>
        </w:tc>
        <w:tc>
          <w:tcPr/>
          <w:p>
            <w:pPr>
              <w:pStyle w:val="Compact"/>
            </w:pPr>
            <w:r>
              <w:t xml:space="preserve">0W9D3ZX</w:t>
            </w:r>
          </w:p>
        </w:tc>
      </w:tr>
      <w:tr>
        <w:tc>
          <w:tcPr/>
          <w:p>
            <w:pPr>
              <w:pStyle w:val="Compact"/>
            </w:pPr>
            <w:r>
              <w:t xml:space="preserve">Pericardial drainage at index</w:t>
            </w:r>
          </w:p>
        </w:tc>
        <w:tc>
          <w:tcPr/>
          <w:p>
            <w:pPr>
              <w:pStyle w:val="Compact"/>
            </w:pPr>
            <w:r>
              <w:t xml:space="preserve">ICD-10-PCS</w:t>
            </w:r>
          </w:p>
        </w:tc>
        <w:tc>
          <w:tcPr/>
          <w:p>
            <w:pPr>
              <w:pStyle w:val="Compact"/>
            </w:pPr>
            <w:r>
              <w:t xml:space="preserve">0W9D00Z</w:t>
            </w:r>
          </w:p>
        </w:tc>
      </w:tr>
      <w:tr>
        <w:tc>
          <w:tcPr/>
          <w:p>
            <w:pPr>
              <w:pStyle w:val="Compact"/>
            </w:pPr>
            <w:r>
              <w:t xml:space="preserve">Pericardial drainage at index</w:t>
            </w:r>
          </w:p>
        </w:tc>
        <w:tc>
          <w:tcPr/>
          <w:p>
            <w:pPr>
              <w:pStyle w:val="Compact"/>
            </w:pPr>
            <w:r>
              <w:t xml:space="preserve">ICD-10-PCS</w:t>
            </w:r>
          </w:p>
        </w:tc>
        <w:tc>
          <w:tcPr/>
          <w:p>
            <w:pPr>
              <w:pStyle w:val="Compact"/>
            </w:pPr>
            <w:r>
              <w:t xml:space="preserve">0W9D0ZZ</w:t>
            </w:r>
          </w:p>
        </w:tc>
      </w:tr>
      <w:tr>
        <w:tc>
          <w:tcPr/>
          <w:p>
            <w:pPr>
              <w:pStyle w:val="Compact"/>
            </w:pPr>
            <w:r>
              <w:t xml:space="preserve">Pericardial drainage at index</w:t>
            </w:r>
          </w:p>
        </w:tc>
        <w:tc>
          <w:tcPr/>
          <w:p>
            <w:pPr>
              <w:pStyle w:val="Compact"/>
            </w:pPr>
            <w:r>
              <w:t xml:space="preserve">ICD-10-PCS</w:t>
            </w:r>
          </w:p>
        </w:tc>
        <w:tc>
          <w:tcPr/>
          <w:p>
            <w:pPr>
              <w:pStyle w:val="Compact"/>
            </w:pPr>
            <w:r>
              <w:t xml:space="preserve">0W9D0ZX</w:t>
            </w:r>
          </w:p>
        </w:tc>
      </w:tr>
      <w:tr>
        <w:tc>
          <w:tcPr/>
          <w:p>
            <w:pPr>
              <w:pStyle w:val="Compact"/>
            </w:pPr>
            <w:r>
              <w:t xml:space="preserve">Vascular complication at index</w:t>
            </w:r>
          </w:p>
        </w:tc>
        <w:tc>
          <w:tcPr/>
          <w:p>
            <w:pPr>
              <w:pStyle w:val="Compact"/>
            </w:pPr>
            <w:r>
              <w:t xml:space="preserve">ICD-10-CM</w:t>
            </w:r>
          </w:p>
        </w:tc>
        <w:tc>
          <w:tcPr/>
          <w:p>
            <w:pPr>
              <w:pStyle w:val="Compact"/>
            </w:pPr>
            <w:r>
              <w:t xml:space="preserve">I976 1/2/3/4 (stems)</w:t>
            </w:r>
          </w:p>
        </w:tc>
      </w:tr>
      <w:tr>
        <w:tc>
          <w:tcPr/>
          <w:p>
            <w:pPr>
              <w:pStyle w:val="Compact"/>
            </w:pPr>
            <w:r>
              <w:t xml:space="preserve">Vascular complication at index</w:t>
            </w:r>
          </w:p>
        </w:tc>
        <w:tc>
          <w:tcPr/>
          <w:p>
            <w:pPr>
              <w:pStyle w:val="Compact"/>
            </w:pPr>
            <w:r>
              <w:t xml:space="preserve">ICD-10-CM</w:t>
            </w:r>
          </w:p>
        </w:tc>
        <w:tc>
          <w:tcPr/>
          <w:p>
            <w:pPr>
              <w:pStyle w:val="Compact"/>
            </w:pPr>
            <w:r>
              <w:t xml:space="preserve">T817 1/2 (stems)</w:t>
            </w:r>
          </w:p>
        </w:tc>
      </w:tr>
      <w:tr>
        <w:tc>
          <w:tcPr/>
          <w:p>
            <w:pPr>
              <w:pStyle w:val="Compact"/>
            </w:pPr>
            <w:r>
              <w:t xml:space="preserve">Acute kidney injury at index</w:t>
            </w:r>
          </w:p>
        </w:tc>
        <w:tc>
          <w:tcPr/>
          <w:p>
            <w:pPr>
              <w:pStyle w:val="Compact"/>
            </w:pPr>
            <w:r>
              <w:t xml:space="preserve">ICD-10-CM</w:t>
            </w:r>
          </w:p>
        </w:tc>
        <w:tc>
          <w:tcPr/>
          <w:p>
            <w:pPr>
              <w:pStyle w:val="Compact"/>
            </w:pPr>
            <w:r>
              <w:t xml:space="preserve">N170</w:t>
            </w:r>
          </w:p>
        </w:tc>
      </w:tr>
      <w:tr>
        <w:tc>
          <w:tcPr/>
          <w:p>
            <w:pPr>
              <w:pStyle w:val="Compact"/>
            </w:pPr>
            <w:r>
              <w:t xml:space="preserve">Acute kidney injury at index</w:t>
            </w:r>
          </w:p>
        </w:tc>
        <w:tc>
          <w:tcPr/>
          <w:p>
            <w:pPr>
              <w:pStyle w:val="Compact"/>
            </w:pPr>
            <w:r>
              <w:t xml:space="preserve">ICD-10-CM</w:t>
            </w:r>
          </w:p>
        </w:tc>
        <w:tc>
          <w:tcPr/>
          <w:p>
            <w:pPr>
              <w:pStyle w:val="Compact"/>
            </w:pPr>
            <w:r>
              <w:t xml:space="preserve">N171</w:t>
            </w:r>
          </w:p>
        </w:tc>
      </w:tr>
      <w:tr>
        <w:tc>
          <w:tcPr/>
          <w:p>
            <w:pPr>
              <w:pStyle w:val="Compact"/>
            </w:pPr>
            <w:r>
              <w:t xml:space="preserve">Acute kidney injury at index</w:t>
            </w:r>
          </w:p>
        </w:tc>
        <w:tc>
          <w:tcPr/>
          <w:p>
            <w:pPr>
              <w:pStyle w:val="Compact"/>
            </w:pPr>
            <w:r>
              <w:t xml:space="preserve">ICD-10-CM</w:t>
            </w:r>
          </w:p>
        </w:tc>
        <w:tc>
          <w:tcPr/>
          <w:p>
            <w:pPr>
              <w:pStyle w:val="Compact"/>
            </w:pPr>
            <w:r>
              <w:t xml:space="preserve">N172</w:t>
            </w:r>
          </w:p>
        </w:tc>
      </w:tr>
      <w:tr>
        <w:tc>
          <w:tcPr/>
          <w:p>
            <w:pPr>
              <w:pStyle w:val="Compact"/>
            </w:pPr>
            <w:r>
              <w:t xml:space="preserve">Acute kidney injury at index</w:t>
            </w:r>
          </w:p>
        </w:tc>
        <w:tc>
          <w:tcPr/>
          <w:p>
            <w:pPr>
              <w:pStyle w:val="Compact"/>
            </w:pPr>
            <w:r>
              <w:t xml:space="preserve">ICD-10-CM</w:t>
            </w:r>
          </w:p>
        </w:tc>
        <w:tc>
          <w:tcPr/>
          <w:p>
            <w:pPr>
              <w:pStyle w:val="Compact"/>
            </w:pPr>
            <w:r>
              <w:t xml:space="preserve">N178</w:t>
            </w:r>
          </w:p>
        </w:tc>
      </w:tr>
      <w:tr>
        <w:tc>
          <w:tcPr/>
          <w:p>
            <w:pPr>
              <w:pStyle w:val="Compact"/>
            </w:pPr>
            <w:r>
              <w:t xml:space="preserve">Acute kidney injury at index</w:t>
            </w:r>
          </w:p>
        </w:tc>
        <w:tc>
          <w:tcPr/>
          <w:p>
            <w:pPr>
              <w:pStyle w:val="Compact"/>
            </w:pPr>
            <w:r>
              <w:t xml:space="preserve">ICD-10-CM</w:t>
            </w:r>
          </w:p>
        </w:tc>
        <w:tc>
          <w:tcPr/>
          <w:p>
            <w:pPr>
              <w:pStyle w:val="Compact"/>
            </w:pPr>
            <w:r>
              <w:t xml:space="preserve">N179</w:t>
            </w:r>
          </w:p>
        </w:tc>
      </w:tr>
      <w:tr>
        <w:tc>
          <w:tcPr/>
          <w:p>
            <w:pPr>
              <w:pStyle w:val="Compact"/>
            </w:pPr>
            <w:r>
              <w:t xml:space="preserve">Prior stroke, TIA or thromboembolism (CHA2DS2-VASc)</w:t>
            </w:r>
          </w:p>
        </w:tc>
        <w:tc>
          <w:tcPr/>
          <w:p>
            <w:pPr>
              <w:pStyle w:val="Compact"/>
            </w:pPr>
            <w:r>
              <w:t xml:space="preserve">ICD-10-CM</w:t>
            </w:r>
          </w:p>
        </w:tc>
        <w:tc>
          <w:tcPr/>
          <w:p>
            <w:pPr>
              <w:pStyle w:val="Compact"/>
            </w:pPr>
            <w:r>
              <w:t xml:space="preserve">I63 (family)</w:t>
            </w:r>
          </w:p>
        </w:tc>
      </w:tr>
      <w:tr>
        <w:tc>
          <w:tcPr/>
          <w:p>
            <w:pPr>
              <w:pStyle w:val="Compact"/>
            </w:pPr>
            <w:r>
              <w:t xml:space="preserve">Prior stroke, TIA or thromboembolism (CHA2DS2-VASc)</w:t>
            </w:r>
          </w:p>
        </w:tc>
        <w:tc>
          <w:tcPr/>
          <w:p>
            <w:pPr>
              <w:pStyle w:val="Compact"/>
            </w:pPr>
            <w:r>
              <w:t xml:space="preserve">ICD-10-CM</w:t>
            </w:r>
          </w:p>
        </w:tc>
        <w:tc>
          <w:tcPr/>
          <w:p>
            <w:pPr>
              <w:pStyle w:val="Compact"/>
            </w:pPr>
            <w:r>
              <w:t xml:space="preserve">G459</w:t>
            </w:r>
          </w:p>
        </w:tc>
      </w:tr>
      <w:tr>
        <w:tc>
          <w:tcPr/>
          <w:p>
            <w:pPr>
              <w:pStyle w:val="Compact"/>
            </w:pPr>
            <w:r>
              <w:t xml:space="preserve">Prior stroke, TIA or thromboembolism (CHA2DS2-VASc)</w:t>
            </w:r>
          </w:p>
        </w:tc>
        <w:tc>
          <w:tcPr/>
          <w:p>
            <w:pPr>
              <w:pStyle w:val="Compact"/>
            </w:pPr>
            <w:r>
              <w:t xml:space="preserve">ICD-10-CM</w:t>
            </w:r>
          </w:p>
        </w:tc>
        <w:tc>
          <w:tcPr/>
          <w:p>
            <w:pPr>
              <w:pStyle w:val="Compact"/>
            </w:pPr>
            <w:r>
              <w:t xml:space="preserve">Z8673</w:t>
            </w:r>
          </w:p>
        </w:tc>
      </w:tr>
      <w:tr>
        <w:tc>
          <w:tcPr/>
          <w:p>
            <w:pPr>
              <w:pStyle w:val="Compact"/>
            </w:pPr>
            <w:r>
              <w:t xml:space="preserve">Prior stroke, TIA or thromboembolism (CHA2DS2-VASc)</w:t>
            </w:r>
          </w:p>
        </w:tc>
        <w:tc>
          <w:tcPr/>
          <w:p>
            <w:pPr>
              <w:pStyle w:val="Compact"/>
            </w:pPr>
            <w:r>
              <w:t xml:space="preserve">ICD-10-CM</w:t>
            </w:r>
          </w:p>
        </w:tc>
        <w:tc>
          <w:tcPr/>
          <w:p>
            <w:pPr>
              <w:pStyle w:val="Compact"/>
            </w:pPr>
            <w:r>
              <w:t xml:space="preserve">I74 (family)</w:t>
            </w:r>
          </w:p>
        </w:tc>
      </w:tr>
      <w:tr>
        <w:tc>
          <w:tcPr/>
          <w:p>
            <w:pPr>
              <w:pStyle w:val="Compact"/>
            </w:pPr>
            <w:r>
              <w:t xml:space="preserve">Vascular disease (CHA2DS2-VASc)</w:t>
            </w:r>
          </w:p>
        </w:tc>
        <w:tc>
          <w:tcPr/>
          <w:p>
            <w:pPr>
              <w:pStyle w:val="Compact"/>
            </w:pPr>
            <w:r>
              <w:t xml:space="preserve">ICD-10-CM</w:t>
            </w:r>
          </w:p>
        </w:tc>
        <w:tc>
          <w:tcPr/>
          <w:p>
            <w:pPr>
              <w:pStyle w:val="Compact"/>
            </w:pPr>
            <w:r>
              <w:t xml:space="preserve">I70 (family)</w:t>
            </w:r>
          </w:p>
        </w:tc>
      </w:tr>
      <w:tr>
        <w:tc>
          <w:tcPr/>
          <w:p>
            <w:pPr>
              <w:pStyle w:val="Compact"/>
            </w:pPr>
            <w:r>
              <w:t xml:space="preserve">Vascular disease (CHA2DS2-VASc)</w:t>
            </w:r>
          </w:p>
        </w:tc>
        <w:tc>
          <w:tcPr/>
          <w:p>
            <w:pPr>
              <w:pStyle w:val="Compact"/>
            </w:pPr>
            <w:r>
              <w:t xml:space="preserve">ICD-10-CM</w:t>
            </w:r>
          </w:p>
        </w:tc>
        <w:tc>
          <w:tcPr/>
          <w:p>
            <w:pPr>
              <w:pStyle w:val="Compact"/>
            </w:pPr>
            <w:r>
              <w:t xml:space="preserve">I71 (family)</w:t>
            </w:r>
          </w:p>
        </w:tc>
      </w:tr>
      <w:tr>
        <w:tc>
          <w:tcPr/>
          <w:p>
            <w:pPr>
              <w:pStyle w:val="Compact"/>
            </w:pPr>
            <w:r>
              <w:t xml:space="preserve">Vascular disease (CHA2DS2-VASc)</w:t>
            </w:r>
          </w:p>
        </w:tc>
        <w:tc>
          <w:tcPr/>
          <w:p>
            <w:pPr>
              <w:pStyle w:val="Compact"/>
            </w:pPr>
            <w:r>
              <w:t xml:space="preserve">ICD-10-CM</w:t>
            </w:r>
          </w:p>
        </w:tc>
        <w:tc>
          <w:tcPr/>
          <w:p>
            <w:pPr>
              <w:pStyle w:val="Compact"/>
            </w:pPr>
            <w:r>
              <w:t xml:space="preserve">I252</w:t>
            </w:r>
          </w:p>
        </w:tc>
      </w:tr>
      <w:tr>
        <w:tc>
          <w:tcPr/>
          <w:p>
            <w:pPr>
              <w:pStyle w:val="Compact"/>
            </w:pPr>
            <w:r>
              <w:t xml:space="preserve">Vascular disease (CHA2DS2-VASc)</w:t>
            </w:r>
          </w:p>
        </w:tc>
        <w:tc>
          <w:tcPr/>
          <w:p>
            <w:pPr>
              <w:pStyle w:val="Compact"/>
            </w:pPr>
            <w:r>
              <w:t xml:space="preserve">ICD-10-CM</w:t>
            </w:r>
          </w:p>
        </w:tc>
        <w:tc>
          <w:tcPr/>
          <w:p>
            <w:pPr>
              <w:pStyle w:val="Compact"/>
            </w:pPr>
            <w:r>
              <w:t xml:space="preserve">I2510</w:t>
            </w:r>
          </w:p>
        </w:tc>
      </w:tr>
      <w:tr>
        <w:tc>
          <w:tcPr/>
          <w:p>
            <w:pPr>
              <w:pStyle w:val="Compact"/>
            </w:pPr>
            <w:r>
              <w:t xml:space="preserve">Prior major bleeding (HAS-BLED)</w:t>
            </w:r>
          </w:p>
        </w:tc>
        <w:tc>
          <w:tcPr/>
          <w:p>
            <w:pPr>
              <w:pStyle w:val="Compact"/>
            </w:pPr>
            <w:r>
              <w:t xml:space="preserve">ICD-10-CM</w:t>
            </w:r>
          </w:p>
        </w:tc>
        <w:tc>
          <w:tcPr/>
          <w:p>
            <w:pPr>
              <w:pStyle w:val="Compact"/>
            </w:pPr>
            <w:r>
              <w:t xml:space="preserve">K250</w:t>
            </w:r>
          </w:p>
        </w:tc>
      </w:tr>
      <w:tr>
        <w:tc>
          <w:tcPr/>
          <w:p>
            <w:pPr>
              <w:pStyle w:val="Compact"/>
            </w:pPr>
            <w:r>
              <w:t xml:space="preserve">Prior major bleeding (HAS-BLED)</w:t>
            </w:r>
          </w:p>
        </w:tc>
        <w:tc>
          <w:tcPr/>
          <w:p>
            <w:pPr>
              <w:pStyle w:val="Compact"/>
            </w:pPr>
            <w:r>
              <w:t xml:space="preserve">ICD-10-CM</w:t>
            </w:r>
          </w:p>
        </w:tc>
        <w:tc>
          <w:tcPr/>
          <w:p>
            <w:pPr>
              <w:pStyle w:val="Compact"/>
            </w:pPr>
            <w:r>
              <w:t xml:space="preserve">K252</w:t>
            </w:r>
          </w:p>
        </w:tc>
      </w:tr>
      <w:tr>
        <w:tc>
          <w:tcPr/>
          <w:p>
            <w:pPr>
              <w:pStyle w:val="Compact"/>
            </w:pPr>
            <w:r>
              <w:t xml:space="preserve">Prior major bleeding (HAS-BLED)</w:t>
            </w:r>
          </w:p>
        </w:tc>
        <w:tc>
          <w:tcPr/>
          <w:p>
            <w:pPr>
              <w:pStyle w:val="Compact"/>
            </w:pPr>
            <w:r>
              <w:t xml:space="preserve">ICD-10-CM</w:t>
            </w:r>
          </w:p>
        </w:tc>
        <w:tc>
          <w:tcPr/>
          <w:p>
            <w:pPr>
              <w:pStyle w:val="Compact"/>
            </w:pPr>
            <w:r>
              <w:t xml:space="preserve">K254</w:t>
            </w:r>
          </w:p>
        </w:tc>
      </w:tr>
      <w:tr>
        <w:tc>
          <w:tcPr/>
          <w:p>
            <w:pPr>
              <w:pStyle w:val="Compact"/>
            </w:pPr>
            <w:r>
              <w:t xml:space="preserve">Prior major bleeding (HAS-BLED)</w:t>
            </w:r>
          </w:p>
        </w:tc>
        <w:tc>
          <w:tcPr/>
          <w:p>
            <w:pPr>
              <w:pStyle w:val="Compact"/>
            </w:pPr>
            <w:r>
              <w:t xml:space="preserve">ICD-10-CM</w:t>
            </w:r>
          </w:p>
        </w:tc>
        <w:tc>
          <w:tcPr/>
          <w:p>
            <w:pPr>
              <w:pStyle w:val="Compact"/>
            </w:pPr>
            <w:r>
              <w:t xml:space="preserve">K256</w:t>
            </w:r>
          </w:p>
        </w:tc>
      </w:tr>
      <w:tr>
        <w:tc>
          <w:tcPr/>
          <w:p>
            <w:pPr>
              <w:pStyle w:val="Compact"/>
            </w:pPr>
            <w:r>
              <w:t xml:space="preserve">Prior major bleeding (HAS-BLED)</w:t>
            </w:r>
          </w:p>
        </w:tc>
        <w:tc>
          <w:tcPr/>
          <w:p>
            <w:pPr>
              <w:pStyle w:val="Compact"/>
            </w:pPr>
            <w:r>
              <w:t xml:space="preserve">ICD-10-CM</w:t>
            </w:r>
          </w:p>
        </w:tc>
        <w:tc>
          <w:tcPr/>
          <w:p>
            <w:pPr>
              <w:pStyle w:val="Compact"/>
            </w:pPr>
            <w:r>
              <w:t xml:space="preserve">K260</w:t>
            </w:r>
          </w:p>
        </w:tc>
      </w:tr>
      <w:tr>
        <w:tc>
          <w:tcPr/>
          <w:p>
            <w:pPr>
              <w:pStyle w:val="Compact"/>
            </w:pPr>
            <w:r>
              <w:t xml:space="preserve">Prior major bleeding (HAS-BLED)</w:t>
            </w:r>
          </w:p>
        </w:tc>
        <w:tc>
          <w:tcPr/>
          <w:p>
            <w:pPr>
              <w:pStyle w:val="Compact"/>
            </w:pPr>
            <w:r>
              <w:t xml:space="preserve">ICD-10-CM</w:t>
            </w:r>
          </w:p>
        </w:tc>
        <w:tc>
          <w:tcPr/>
          <w:p>
            <w:pPr>
              <w:pStyle w:val="Compact"/>
            </w:pPr>
            <w:r>
              <w:t xml:space="preserve">K262</w:t>
            </w:r>
          </w:p>
        </w:tc>
      </w:tr>
      <w:tr>
        <w:tc>
          <w:tcPr/>
          <w:p>
            <w:pPr>
              <w:pStyle w:val="Compact"/>
            </w:pPr>
            <w:r>
              <w:t xml:space="preserve">Prior major bleeding (HAS-BLED)</w:t>
            </w:r>
          </w:p>
        </w:tc>
        <w:tc>
          <w:tcPr/>
          <w:p>
            <w:pPr>
              <w:pStyle w:val="Compact"/>
            </w:pPr>
            <w:r>
              <w:t xml:space="preserve">ICD-10-CM</w:t>
            </w:r>
          </w:p>
        </w:tc>
        <w:tc>
          <w:tcPr/>
          <w:p>
            <w:pPr>
              <w:pStyle w:val="Compact"/>
            </w:pPr>
            <w:r>
              <w:t xml:space="preserve">K264</w:t>
            </w:r>
          </w:p>
        </w:tc>
      </w:tr>
      <w:tr>
        <w:tc>
          <w:tcPr/>
          <w:p>
            <w:pPr>
              <w:pStyle w:val="Compact"/>
            </w:pPr>
            <w:r>
              <w:t xml:space="preserve">Prior major bleeding (HAS-BLED)</w:t>
            </w:r>
          </w:p>
        </w:tc>
        <w:tc>
          <w:tcPr/>
          <w:p>
            <w:pPr>
              <w:pStyle w:val="Compact"/>
            </w:pPr>
            <w:r>
              <w:t xml:space="preserve">ICD-10-CM</w:t>
            </w:r>
          </w:p>
        </w:tc>
        <w:tc>
          <w:tcPr/>
          <w:p>
            <w:pPr>
              <w:pStyle w:val="Compact"/>
            </w:pPr>
            <w:r>
              <w:t xml:space="preserve">K266</w:t>
            </w:r>
          </w:p>
        </w:tc>
      </w:tr>
      <w:tr>
        <w:tc>
          <w:tcPr/>
          <w:p>
            <w:pPr>
              <w:pStyle w:val="Compact"/>
            </w:pPr>
            <w:r>
              <w:t xml:space="preserve">Prior major bleeding (HAS-BLED)</w:t>
            </w:r>
          </w:p>
        </w:tc>
        <w:tc>
          <w:tcPr/>
          <w:p>
            <w:pPr>
              <w:pStyle w:val="Compact"/>
            </w:pPr>
            <w:r>
              <w:t xml:space="preserve">ICD-10-CM</w:t>
            </w:r>
          </w:p>
        </w:tc>
        <w:tc>
          <w:tcPr/>
          <w:p>
            <w:pPr>
              <w:pStyle w:val="Compact"/>
            </w:pPr>
            <w:r>
              <w:t xml:space="preserve">K920</w:t>
            </w:r>
          </w:p>
        </w:tc>
      </w:tr>
      <w:tr>
        <w:tc>
          <w:tcPr/>
          <w:p>
            <w:pPr>
              <w:pStyle w:val="Compact"/>
            </w:pPr>
            <w:r>
              <w:t xml:space="preserve">Prior major bleeding (HAS-BLED)</w:t>
            </w:r>
          </w:p>
        </w:tc>
        <w:tc>
          <w:tcPr/>
          <w:p>
            <w:pPr>
              <w:pStyle w:val="Compact"/>
            </w:pPr>
            <w:r>
              <w:t xml:space="preserve">ICD-10-CM</w:t>
            </w:r>
          </w:p>
        </w:tc>
        <w:tc>
          <w:tcPr/>
          <w:p>
            <w:pPr>
              <w:pStyle w:val="Compact"/>
            </w:pPr>
            <w:r>
              <w:t xml:space="preserve">K921</w:t>
            </w:r>
          </w:p>
        </w:tc>
      </w:tr>
      <w:tr>
        <w:tc>
          <w:tcPr/>
          <w:p>
            <w:pPr>
              <w:pStyle w:val="Compact"/>
            </w:pPr>
            <w:r>
              <w:t xml:space="preserve">Prior major bleeding (HAS-BLED)</w:t>
            </w:r>
          </w:p>
        </w:tc>
        <w:tc>
          <w:tcPr/>
          <w:p>
            <w:pPr>
              <w:pStyle w:val="Compact"/>
            </w:pPr>
            <w:r>
              <w:t xml:space="preserve">ICD-10-CM</w:t>
            </w:r>
          </w:p>
        </w:tc>
        <w:tc>
          <w:tcPr/>
          <w:p>
            <w:pPr>
              <w:pStyle w:val="Compact"/>
            </w:pPr>
            <w:r>
              <w:t xml:space="preserve">K922</w:t>
            </w:r>
          </w:p>
        </w:tc>
      </w:tr>
      <w:tr>
        <w:tc>
          <w:tcPr/>
          <w:p>
            <w:pPr>
              <w:pStyle w:val="Compact"/>
            </w:pPr>
            <w:r>
              <w:t xml:space="preserve">Prior major bleeding (HAS-BLED)</w:t>
            </w:r>
          </w:p>
        </w:tc>
        <w:tc>
          <w:tcPr/>
          <w:p>
            <w:pPr>
              <w:pStyle w:val="Compact"/>
            </w:pPr>
            <w:r>
              <w:t xml:space="preserve">ICD-10-CM</w:t>
            </w:r>
          </w:p>
        </w:tc>
        <w:tc>
          <w:tcPr/>
          <w:p>
            <w:pPr>
              <w:pStyle w:val="Compact"/>
            </w:pPr>
            <w:r>
              <w:t xml:space="preserve">K625</w:t>
            </w:r>
          </w:p>
        </w:tc>
      </w:tr>
      <w:tr>
        <w:tc>
          <w:tcPr/>
          <w:p>
            <w:pPr>
              <w:pStyle w:val="Compact"/>
            </w:pPr>
            <w:r>
              <w:t xml:space="preserve">Prior major bleeding (HAS-BLED)</w:t>
            </w:r>
          </w:p>
        </w:tc>
        <w:tc>
          <w:tcPr/>
          <w:p>
            <w:pPr>
              <w:pStyle w:val="Compact"/>
            </w:pPr>
            <w:r>
              <w:t xml:space="preserve">ICD-10-CM</w:t>
            </w:r>
          </w:p>
        </w:tc>
        <w:tc>
          <w:tcPr/>
          <w:p>
            <w:pPr>
              <w:pStyle w:val="Compact"/>
            </w:pPr>
            <w:r>
              <w:t xml:space="preserve">K5521</w:t>
            </w:r>
          </w:p>
        </w:tc>
      </w:tr>
      <w:tr>
        <w:tc>
          <w:tcPr/>
          <w:p>
            <w:pPr>
              <w:pStyle w:val="Compact"/>
            </w:pPr>
            <w:r>
              <w:t xml:space="preserve">Prior major bleeding (HAS-BLED)</w:t>
            </w:r>
          </w:p>
        </w:tc>
        <w:tc>
          <w:tcPr/>
          <w:p>
            <w:pPr>
              <w:pStyle w:val="Compact"/>
            </w:pPr>
            <w:r>
              <w:t xml:space="preserve">ICD-10-CM</w:t>
            </w:r>
          </w:p>
        </w:tc>
        <w:tc>
          <w:tcPr/>
          <w:p>
            <w:pPr>
              <w:pStyle w:val="Compact"/>
            </w:pPr>
            <w:r>
              <w:t xml:space="preserve">I8501</w:t>
            </w:r>
          </w:p>
        </w:tc>
      </w:tr>
      <w:tr>
        <w:tc>
          <w:tcPr/>
          <w:p>
            <w:pPr>
              <w:pStyle w:val="Compact"/>
            </w:pPr>
            <w:r>
              <w:t xml:space="preserve">Prior major bleeding (HAS-BLED)</w:t>
            </w:r>
          </w:p>
        </w:tc>
        <w:tc>
          <w:tcPr/>
          <w:p>
            <w:pPr>
              <w:pStyle w:val="Compact"/>
            </w:pPr>
            <w:r>
              <w:t xml:space="preserve">ICD-10-CM</w:t>
            </w:r>
          </w:p>
        </w:tc>
        <w:tc>
          <w:tcPr/>
          <w:p>
            <w:pPr>
              <w:pStyle w:val="Compact"/>
            </w:pPr>
            <w:r>
              <w:t xml:space="preserve">D62</w:t>
            </w:r>
          </w:p>
        </w:tc>
      </w:tr>
      <w:tr>
        <w:tc>
          <w:tcPr/>
          <w:p>
            <w:pPr>
              <w:pStyle w:val="Compact"/>
            </w:pPr>
            <w:r>
              <w:t xml:space="preserve">Prior major bleeding (HAS-BLED)</w:t>
            </w:r>
          </w:p>
        </w:tc>
        <w:tc>
          <w:tcPr/>
          <w:p>
            <w:pPr>
              <w:pStyle w:val="Compact"/>
            </w:pPr>
            <w:r>
              <w:t xml:space="preserve">ICD-10-CM</w:t>
            </w:r>
          </w:p>
        </w:tc>
        <w:tc>
          <w:tcPr/>
          <w:p>
            <w:pPr>
              <w:pStyle w:val="Compact"/>
            </w:pPr>
            <w:r>
              <w:t xml:space="preserve">I60 (family)</w:t>
            </w:r>
          </w:p>
        </w:tc>
      </w:tr>
      <w:tr>
        <w:tc>
          <w:tcPr/>
          <w:p>
            <w:pPr>
              <w:pStyle w:val="Compact"/>
            </w:pPr>
            <w:r>
              <w:t xml:space="preserve">Prior major bleeding (HAS-BLED)</w:t>
            </w:r>
          </w:p>
        </w:tc>
        <w:tc>
          <w:tcPr/>
          <w:p>
            <w:pPr>
              <w:pStyle w:val="Compact"/>
            </w:pPr>
            <w:r>
              <w:t xml:space="preserve">ICD-10-CM</w:t>
            </w:r>
          </w:p>
        </w:tc>
        <w:tc>
          <w:tcPr/>
          <w:p>
            <w:pPr>
              <w:pStyle w:val="Compact"/>
            </w:pPr>
            <w:r>
              <w:t xml:space="preserve">I61 (family)</w:t>
            </w:r>
          </w:p>
        </w:tc>
      </w:tr>
      <w:tr>
        <w:tc>
          <w:tcPr/>
          <w:p>
            <w:pPr>
              <w:pStyle w:val="Compact"/>
            </w:pPr>
            <w:r>
              <w:t xml:space="preserve">Prior major bleeding (HAS-BLED)</w:t>
            </w:r>
          </w:p>
        </w:tc>
        <w:tc>
          <w:tcPr/>
          <w:p>
            <w:pPr>
              <w:pStyle w:val="Compact"/>
            </w:pPr>
            <w:r>
              <w:t xml:space="preserve">ICD-10-CM</w:t>
            </w:r>
          </w:p>
        </w:tc>
        <w:tc>
          <w:tcPr/>
          <w:p>
            <w:pPr>
              <w:pStyle w:val="Compact"/>
            </w:pPr>
            <w:r>
              <w:t xml:space="preserve">I62 (family)</w:t>
            </w:r>
          </w:p>
        </w:tc>
      </w:tr>
      <w:tr>
        <w:tc>
          <w:tcPr/>
          <w:p>
            <w:pPr>
              <w:pStyle w:val="Compact"/>
            </w:pPr>
            <w:r>
              <w:t xml:space="preserve">Atrial fibrillation (Table 1 only)</w:t>
            </w:r>
          </w:p>
        </w:tc>
        <w:tc>
          <w:tcPr/>
          <w:p>
            <w:pPr>
              <w:pStyle w:val="Compact"/>
            </w:pPr>
            <w:r>
              <w:t xml:space="preserve">ICD-10-CM</w:t>
            </w:r>
          </w:p>
        </w:tc>
        <w:tc>
          <w:tcPr/>
          <w:p>
            <w:pPr>
              <w:pStyle w:val="Compact"/>
            </w:pPr>
            <w:r>
              <w:t xml:space="preserve">I48 (family)</w:t>
            </w:r>
          </w:p>
        </w:tc>
      </w:tr>
    </w:tbl>
    <w:bookmarkEnd w:id="63"/>
    <w:bookmarkEnd w:id="64"/>
    <w:bookmarkStart w:id="65" w:name="limitations"/>
    <w:p>
      <w:pPr>
        <w:pStyle w:val="Heading1"/>
      </w:pPr>
      <w:r>
        <w:t xml:space="preserve">6. Limitations</w:t>
      </w:r>
    </w:p>
    <w:p>
      <w:pPr>
        <w:pStyle w:val="FirstParagraph"/>
      </w:pPr>
      <w:r>
        <w:rPr>
          <w:b/>
          <w:bCs/>
        </w:rPr>
        <w:t xml:space="preserve">The unit of analysis is the hospitalization, not the patient.</w:t>
      </w:r>
      <w:r>
        <w:t xml:space="preserve"> </w:t>
      </w:r>
      <w:r>
        <w:t xml:space="preserve">The NRD contains verified within-year patient linkage, and a minority of patients contributed more than one qualifying admission in a calendar year. The pre-specified first-admission-per-patient-year sensitivity analysis addresses this and is reported in Table 6.</w:t>
      </w:r>
    </w:p>
    <w:p>
      <w:pPr>
        <w:pStyle w:val="BodyText"/>
      </w:pPr>
      <w:r>
        <w:rPr>
          <w:b/>
          <w:bCs/>
        </w:rPr>
        <w:t xml:space="preserve">Follow-up cannot cross a calendar year.</w:t>
      </w:r>
      <w:r>
        <w:t xml:space="preserve"> </w:t>
      </w:r>
      <w:r>
        <w:t xml:space="preserve">NRD linkage is within-year only, so December discharges were excluded by design. The consequence is that the cohort under-represents late-December activity, and no 30-day window that would straddle 31 December is observable in this data source at all.</w:t>
      </w:r>
    </w:p>
    <w:p>
      <w:pPr>
        <w:pStyle w:val="BodyText"/>
      </w:pPr>
      <w:r>
        <w:rPr>
          <w:b/>
          <w:bCs/>
        </w:rPr>
        <w:t xml:space="preserve">Post-discharge death is not observed.</w:t>
      </w:r>
      <w:r>
        <w:t xml:space="preserve"> </w:t>
      </w:r>
      <w:r>
        <w:t xml:space="preserve">The database records in-hospital death but nothing that happens outside a hospital, so death after discharge is an uncontrollable competing risk for readmission. This matters more here than in most readmission studies: post-discharge mortality is substantially higher in dialysis-dependent patients, so a dialysis-dependent patient has a greater chance of dying before being readmitted. The direction of that bias is towards the null, so the reported association is, if anything, an underestimate.</w:t>
      </w:r>
    </w:p>
    <w:p>
      <w:pPr>
        <w:pStyle w:val="BodyText"/>
      </w:pPr>
      <w:r>
        <w:rPr>
          <w:b/>
          <w:bCs/>
        </w:rPr>
        <w:t xml:space="preserve">Administrative coding defines every variable.</w:t>
      </w:r>
      <w:r>
        <w:t xml:space="preserve"> </w:t>
      </w:r>
      <w:r>
        <w:t xml:space="preserve">Comorbidities, complications and the exposure itself are ICD-10 codes, not clinical observations. There is no present-on-admission indicator in any NRD data year in this window, so an index complication cannot be distinguished with certainty from a condition present at arrival, and every present-on-admission restricted analysis is</w:t>
      </w:r>
      <w:r>
        <w:t xml:space="preserve"> </w:t>
      </w:r>
      <w:r>
        <w:rPr>
          <w:b/>
          <w:bCs/>
        </w:rPr>
        <w:t xml:space="preserve">not estimable</w:t>
      </w:r>
      <w:r>
        <w:t xml:space="preserve"> </w:t>
      </w:r>
      <w:r>
        <w:t xml:space="preserve">in this data source (it is listed as such in Table 6). For the same reason prior major bleeding and prior stroke coded on the index record cannot be separated from a periprocedural event during the index stay. Coding intensity also increased across the study window, so an apparent increase in the prevalence of an any-listed condition reflects ascertainment as much as incidence.</w:t>
      </w:r>
    </w:p>
    <w:p>
      <w:pPr>
        <w:pStyle w:val="BodyText"/>
      </w:pPr>
      <w:r>
        <w:rPr>
          <w:b/>
          <w:bCs/>
        </w:rPr>
        <w:t xml:space="preserve">The number of populated diagnosis and procedure fields differs across data years.</w:t>
      </w:r>
      <w:r>
        <w:t xml:space="preserve"> </w:t>
      </w:r>
      <w:r>
        <w:t xml:space="preserve">Because the exposure requires an any-listed diagnosis together with an any-listed dialysis marker, it is ascertained less completely in years with fewer populated fields. The pre-specified sensitivity analysis that re-ascertains the exposure within the uniform field depth present in every year is reported in Table 6.</w:t>
      </w:r>
    </w:p>
    <w:p>
      <w:pPr>
        <w:pStyle w:val="BodyText"/>
      </w:pPr>
      <w:r>
        <w:rPr>
          <w:b/>
          <w:bCs/>
        </w:rPr>
        <w:t xml:space="preserve">The device model cannot be identified.</w:t>
      </w:r>
      <w:r>
        <w:t xml:space="preserve"> </w:t>
      </w:r>
      <w:r>
        <w:t xml:space="preserve">ICD-10-PCS code 02L73DK covers every intraluminal left atrial appendage occlusion device. The restriction to 2020-2022 discharges is therefore a calendar restriction, not a device restriction, and no comparison between device generations is possible from these data.</w:t>
      </w:r>
    </w:p>
    <w:p>
      <w:pPr>
        <w:pStyle w:val="BodyText"/>
      </w:pPr>
      <w:r>
        <w:rPr>
          <w:b/>
          <w:bCs/>
        </w:rPr>
        <w:t xml:space="preserve">Dialysis vintage, modality and adequacy are unrecorded.</w:t>
      </w:r>
      <w:r>
        <w:t xml:space="preserve"> </w:t>
      </w:r>
      <w:r>
        <w:t xml:space="preserve">The exposure is binary. Time on dialysis, haemodialysis versus peritoneal dialysis in a form reliable enough to stratify on, residual renal function and dialysis adequacy are all absent, and each is plausibly associated with both the decision to implant and the risk of readmission. Frailty is likewise unmeasured. The E-value quantifies how strong such a confounder would have to be.</w:t>
      </w:r>
    </w:p>
    <w:p>
      <w:pPr>
        <w:pStyle w:val="BodyText"/>
      </w:pPr>
      <w:r>
        <w:rPr>
          <w:b/>
          <w:bCs/>
        </w:rPr>
        <w:t xml:space="preserve">Indication for the procedure is not recorded.</w:t>
      </w:r>
      <w:r>
        <w:t xml:space="preserve"> </w:t>
      </w:r>
      <w:r>
        <w:t xml:space="preserve">Left atrial appendage occlusion is performed in patients judged unsuitable for long-term anticoagulation, and the reason for that judgement is not in the data. Dialysis-dependent patients may reach the procedure through a different clinical pathway from other patients. The pre-specified subgroup restricted to patients with prior major bleeding is the closest available approach to a like-for-like comparison, because both arms of that stratum carry a documented bleed.</w:t>
      </w:r>
    </w:p>
    <w:p>
      <w:pPr>
        <w:pStyle w:val="BodyText"/>
      </w:pPr>
      <w:r>
        <w:rPr>
          <w:b/>
          <w:bCs/>
        </w:rPr>
        <w:t xml:space="preserve">Anticoagulant and antiplatelet therapy after discharge is not recorded.</w:t>
      </w:r>
      <w:r>
        <w:t xml:space="preserve"> </w:t>
      </w:r>
      <w:r>
        <w:t xml:space="preserve">Post-implantation antithrombotic strategy differs between dialysis-dependent and other patients and is a plausible mediator of bleeding readmission that cannot be measured here.</w:t>
      </w:r>
    </w:p>
    <w:p>
      <w:pPr>
        <w:pStyle w:val="BodyText"/>
      </w:pPr>
      <w:r>
        <w:rPr>
          <w:b/>
          <w:bCs/>
        </w:rPr>
        <w:t xml:space="preserve">No race, ethnicity or geographic identifiers.</w:t>
      </w:r>
      <w:r>
        <w:t xml:space="preserve"> </w:t>
      </w:r>
      <w:r>
        <w:t xml:space="preserve">The NRD contains no race or ethnicity variable and no geographic identifier below the national level, so disparities in access to or outcomes after this procedure cannot be examined and regional variation cannot be described.</w:t>
      </w:r>
    </w:p>
    <w:p>
      <w:pPr>
        <w:pStyle w:val="BodyText"/>
      </w:pPr>
      <w:r>
        <w:rPr>
          <w:b/>
          <w:bCs/>
        </w:rPr>
        <w:t xml:space="preserve">Residual confounding.</w:t>
      </w:r>
      <w:r>
        <w:t xml:space="preserve"> </w:t>
      </w:r>
      <w:r>
        <w:t xml:space="preserve">This is an observational analysis of administrative data. Overlap weighting balances measured covariates only; it does nothing about unmeasured ones. The negative control outcome and the E-value are reported so that the reader can judge the plausibility of residual confounding rather than take an assurance on trust.</w:t>
      </w:r>
    </w:p>
    <w:p>
      <w:pPr>
        <w:pStyle w:val="BodyText"/>
      </w:pPr>
      <w:r>
        <w:rPr>
          <w:b/>
          <w:bCs/>
        </w:rPr>
        <w:t xml:space="preserve">Subgroup and cause-of-readmission analyses are exploratory.</w:t>
      </w:r>
      <w:r>
        <w:t xml:space="preserve"> </w:t>
      </w:r>
      <w:r>
        <w:t xml:space="preserve">The exposed arm contributes roughly 461 readmission events in total. That number, not the size of the full cohort, governs the precision of every stratified estimate, and it is why the cause-of-readmission table reports four categories rather than fifteen and why no subgroup finding appears in the Conclusions.</w:t>
      </w:r>
    </w:p>
    <w:bookmarkEnd w:id="65"/>
    <w:bookmarkStart w:id="66" w:name="anticipated-statistical-review"/>
    <w:p>
      <w:pPr>
        <w:pStyle w:val="Heading1"/>
      </w:pPr>
      <w:r>
        <w:t xml:space="preserve">7. Anticipated statistical review</w:t>
      </w:r>
    </w:p>
    <w:p>
      <w:pPr>
        <w:pStyle w:val="FirstParagraph"/>
      </w:pPr>
      <w:r>
        <w:rPr>
          <w:i/>
          <w:iCs/>
        </w:rPr>
        <w:t xml:space="preserve">Prepared responses to the criticisms this analysis is most likely to attract.</w:t>
      </w:r>
      <w:r>
        <w:rPr>
          <w:i/>
          <w:iCs/>
        </w:rPr>
        <w:t xml:space="preserve"> </w:t>
      </w:r>
      <w:r>
        <w:rPr>
          <w:i/>
          <w:iCs/>
        </w:rPr>
        <w:t xml:space="preserve">Each is answered from what was actually done, with the location of the</w:t>
      </w:r>
      <w:r>
        <w:rPr>
          <w:i/>
          <w:iCs/>
        </w:rPr>
        <w:t xml:space="preserve"> </w:t>
      </w:r>
      <w:r>
        <w:rPr>
          <w:i/>
          <w:iCs/>
        </w:rPr>
        <w:t xml:space="preserve">supporting evidence.</w:t>
      </w:r>
    </w:p>
    <w:p>
      <w:pPr>
        <w:pStyle w:val="BodyText"/>
      </w:pPr>
      <w:r>
        <w:rPr>
          <w:b/>
          <w:bCs/>
        </w:rPr>
        <w:t xml:space="preserve">“You have used an odds ratio for a common outcome, which exaggerates the effect.”</w:t>
      </w:r>
      <w:r>
        <w:t xml:space="preserve"> </w:t>
      </w:r>
      <w:r>
        <w:t xml:space="preserve">Agreed, which is why the odds ratio is not the headline estimate. Table 3 reports the marginally standardized adjusted absolute risk in each arm, the adjusted risk difference in percentage points and the adjusted risk ratio, all obtained by g-computation over the observed covariate distribution with delta-method variance on the design-based covariance matrix. The abstract leads with the absolute risk difference.</w:t>
      </w:r>
    </w:p>
    <w:p>
      <w:pPr>
        <w:pStyle w:val="BodyText"/>
      </w:pPr>
      <w:r>
        <w:rPr>
          <w:b/>
          <w:bCs/>
        </w:rPr>
        <w:t xml:space="preserve">“Your standard errors are wrong because you pooled seven years of NRD data.”</w:t>
      </w:r>
      <w:r>
        <w:t xml:space="preserve"> </w:t>
      </w:r>
      <w:r>
        <w:t xml:space="preserve">Stratum and hospital identifiers are re-issued each data year and do not identify the same unit across years. Year-unique stratum and cluster identifiers were constructed before the design was specified, which prevents unrelated hospitals from collapsing into one cluster. Table S1 reports the resulting number of strata, primary sampling units and design degrees of freedom.</w:t>
      </w:r>
    </w:p>
    <w:p>
      <w:pPr>
        <w:pStyle w:val="BodyText"/>
      </w:pPr>
      <w:r>
        <w:rPr>
          <w:b/>
          <w:bCs/>
        </w:rPr>
        <w:t xml:space="preserve">“You rebuilt the survey design for each subgroup, which discards strata.”</w:t>
      </w:r>
      <w:r>
        <w:t xml:space="preserve"> </w:t>
      </w:r>
      <w:r>
        <w:t xml:space="preserve">We did not. A single design object was built once on the complete cohort and every analysis in this report, including every subgroup and every sensitivity analysis, is a</w:t>
      </w:r>
      <w:r>
        <w:t xml:space="preserve"> </w:t>
      </w:r>
      <w:r>
        <w:rPr>
          <w:rStyle w:val="VerbatimChar"/>
        </w:rPr>
        <w:t xml:space="preserve">subset()</w:t>
      </w:r>
      <w:r>
        <w:t xml:space="preserve"> </w:t>
      </w:r>
      <w:r>
        <w:t xml:space="preserve">of that object. This is stated in the Methods and is visible in the analysis scripts.</w:t>
      </w:r>
    </w:p>
    <w:p>
      <w:pPr>
        <w:pStyle w:val="BodyText"/>
      </w:pPr>
      <w:r>
        <w:rPr>
          <w:b/>
          <w:bCs/>
        </w:rPr>
        <w:t xml:space="preserve">“With this few exposed events you cannot support that many covariates.”</w:t>
      </w:r>
      <w:r>
        <w:t xml:space="preserve"> </w:t>
      </w:r>
      <w:r>
        <w:t xml:space="preserve">Table 3c separates the two quantities this objection conflates. The stability of a logistic model’s coefficients is governed by the smaller of the event and non-event counts across the whole cohort, which here is in the thousands; the exposed-arm event count governs the precision of the exposure contrast and the granularity at which subgroups can be reported. The covariate block was kept compact for that reason, the full 31-flag Elixhauser set was deliberately not used, the overlap-weighted estimator reduces the outcome model to a single exposure term, and every subgroup and cause-of-readmission analysis is labelled exploratory.</w:t>
      </w:r>
    </w:p>
    <w:p>
      <w:pPr>
        <w:pStyle w:val="BodyText"/>
      </w:pPr>
      <w:r>
        <w:rPr>
          <w:b/>
          <w:bCs/>
        </w:rPr>
        <w:t xml:space="preserve">“Renal failure is in your comorbidity index and also in your exposure.”</w:t>
      </w:r>
      <w:r>
        <w:t xml:space="preserve"> </w:t>
      </w:r>
      <w:r>
        <w:t xml:space="preserve">It is not. The Elixhauser renal failure flag was removed from the comorbidity count by pre-specification, as was every comorbidity entered individually in the model, so the residual count double-counts nothing.</w:t>
      </w:r>
    </w:p>
    <w:p>
      <w:pPr>
        <w:pStyle w:val="BodyText"/>
      </w:pPr>
      <w:r>
        <w:rPr>
          <w:b/>
          <w:bCs/>
        </w:rPr>
        <w:t xml:space="preserve">“This is confounding by indication: these patients were selected for the procedure differently.”</w:t>
      </w:r>
      <w:r>
        <w:t xml:space="preserve"> </w:t>
      </w:r>
      <w:r>
        <w:t xml:space="preserve">Probably true in part, and it is stated as a limitation rather than argued away. Three things address it directly: the overlap-weighted co-primary estimate, which balances the measured covariate set exactly; the pre-specified subgroup restricted to patients with prior major bleeding, in which both arms carry a documented bleed; and the E-value, which states how strong an unmeasured confounder would need to be.</w:t>
      </w:r>
    </w:p>
    <w:p>
      <w:pPr>
        <w:pStyle w:val="BodyText"/>
      </w:pPr>
      <w:r>
        <w:rPr>
          <w:b/>
          <w:bCs/>
        </w:rPr>
        <w:t xml:space="preserve">“A Cox model would be more appropriate.”</w:t>
      </w:r>
      <w:r>
        <w:t xml:space="preserve"> </w:t>
      </w:r>
      <w:r>
        <w:t xml:space="preserve">Every patient in the analytic cohort has complete 30-day follow-up by construction and the only censoring is administrative at day 30, so a hazard ratio adds nothing to a binary outcome. Cox is reported as a sensitivity analysis fitted on the full cohort with administrative censoring at day 30, never on readmitted records only.</w:t>
      </w:r>
    </w:p>
    <w:p>
      <w:pPr>
        <w:pStyle w:val="BodyText"/>
      </w:pPr>
      <w:r>
        <w:rPr>
          <w:b/>
          <w:bCs/>
        </w:rPr>
        <w:t xml:space="preserve">“Your Kaplan-Meier curve ignores the competing risk of death.”</w:t>
      </w:r>
      <w:r>
        <w:t xml:space="preserve"> </w:t>
      </w:r>
      <w:r>
        <w:t xml:space="preserve">The figure is labelled as cumulative incidence of first readmission among discharge survivors, not as survival. Post-discharge death is not observed in the NRD at all, so no competing-risk estimator can be fitted; the direction of the resulting bias is towards the null and is stated in both the figure legend and the Limitations.</w:t>
      </w:r>
    </w:p>
    <w:p>
      <w:pPr>
        <w:pStyle w:val="BodyText"/>
      </w:pPr>
      <w:r>
        <w:rPr>
          <w:b/>
          <w:bCs/>
        </w:rPr>
        <w:t xml:space="preserve">“Length of stay should be in the model.”</w:t>
      </w:r>
      <w:r>
        <w:t xml:space="preserve"> </w:t>
      </w:r>
      <w:r>
        <w:t xml:space="preserve">Length of stay and discharge disposition lie on the causal path between dialysis dependence and readmission. They appear only in Model 5 of Table 4, which is labelled as over-adjusted and is presented to demonstrate mediation. Model 4 is the primary specification.</w:t>
      </w:r>
    </w:p>
    <w:p>
      <w:pPr>
        <w:pStyle w:val="BodyText"/>
      </w:pPr>
      <w:r>
        <w:rPr>
          <w:b/>
          <w:bCs/>
        </w:rPr>
        <w:t xml:space="preserve">“You have not adjusted for multiplicity.”</w:t>
      </w:r>
      <w:r>
        <w:t xml:space="preserve"> </w:t>
      </w:r>
      <w:r>
        <w:t xml:space="preserve">The primary outcome is tested once and is the only confirmatory test. Secondary outcomes form one pre-specified Benjamini-Hochberg family whose membership was fixed before any result was seen; the cause-of-readmission categories form a second, separate family and the two are never pooled. Sensitivity analyses are consistency checks and are deliberately not corrected, which is stated where they are reported. Subgroups are exploratory and are not corrected, which is also stated.</w:t>
      </w:r>
    </w:p>
    <w:p>
      <w:pPr>
        <w:pStyle w:val="BodyText"/>
      </w:pPr>
      <w:r>
        <w:rPr>
          <w:b/>
          <w:bCs/>
        </w:rPr>
        <w:t xml:space="preserve">“How do we know this is not just residual confounding?”</w:t>
      </w:r>
      <w:r>
        <w:t xml:space="preserve"> </w:t>
      </w:r>
      <w:r>
        <w:t xml:space="preserve">A negative control outcome with no plausible causal link to the exposure was pre-specified and analysed with the identical model (Table 6b), and an E-value is reported on the risk ratio scale. Neither proves the absence of confounding and neither is presented as doing so.</w:t>
      </w:r>
    </w:p>
    <w:p>
      <w:pPr>
        <w:pStyle w:val="BodyText"/>
      </w:pPr>
      <w:r>
        <w:rPr>
          <w:b/>
          <w:bCs/>
        </w:rPr>
        <w:t xml:space="preserve">“This has already been published.”</w:t>
      </w:r>
      <w:r>
        <w:t xml:space="preserve"> </w:t>
      </w:r>
      <w:r>
        <w:t xml:space="preserve">Amin AM et al. Left atrial appendage occlusion in patients with chronic kidney disease and end-stage renal disease: a propensity-matched TriNetX analysis of 10,689 patients. European Heart Journal Open 2026. doi:10.1093/ehjopen/oeag082 reports a propensity-matched network analysis pooling chronic kidney disease and end-stage renal disease. This study differs in three ways that are stated in the Introduction rather than left for a reviewer to find: the exposure requires demonstrated dialysis dependence rather than a coded kidney-failure diagnosis, and the sensitivity analysis using the wider definition quantifies how much that requirement changes the estimate; the outcome is all-cause readmission to any hospital in a nationally representative all-payer sample rather than a convenience network; and the cause-of-readmission and hospital-volume analyses are not available in the comparator data source.</w:t>
      </w:r>
    </w:p>
    <w:p>
      <w:pPr>
        <w:pStyle w:val="BodyText"/>
      </w:pPr>
      <w:r>
        <w:rPr>
          <w:b/>
          <w:bCs/>
        </w:rPr>
        <w:t xml:space="preserve">“Your cost figures are not comparable across years.”</w:t>
      </w:r>
      <w:r>
        <w:t xml:space="preserve"> </w:t>
      </w:r>
      <w:r>
        <w:t xml:space="preserve">Charges were converted to costs using the HCUP hospital-specific cost-to-charge ratio and deflated to 2022 US dollars using CUUR0000SA0. The series identifier and its annual values are printed in this report so that the adjustment can be reproduced exactly.</w:t>
      </w:r>
    </w:p>
    <w:bookmarkEnd w:id="66"/>
    <w:bookmarkStart w:id="72" w:name="verification"/>
    <w:p>
      <w:pPr>
        <w:pStyle w:val="Heading1"/>
      </w:pPr>
      <w:r>
        <w:t xml:space="preserve">8. Verification</w:t>
      </w:r>
    </w:p>
    <w:bookmarkStart w:id="67" w:name="feasibility-of-planned-analyses"/>
    <w:p>
      <w:pPr>
        <w:pStyle w:val="Heading2"/>
      </w:pPr>
      <w:r>
        <w:t xml:space="preserve">8.1 Feasibility of planned analyses</w:t>
      </w:r>
    </w:p>
    <w:p>
      <w:pPr>
        <w:pStyle w:val="TableCaption"/>
      </w:pPr>
      <w:r>
        <w:t xml:space="preserve">Every planned analysis, its binding unweighted cell and whether it was estimated, suppressed or not estimable.</w:t>
      </w:r>
    </w:p>
    <w:tbl>
      <w:tblPr>
        <w:tblStyle w:val="Table"/>
        <w:tblW w:type="pct" w:w="5000"/>
        <w:tblLayout w:type="fixed"/>
        <w:tblLook w:firstRow="1" w:lastRow="0" w:firstColumn="0" w:lastColumn="0" w:noHBand="0" w:noVBand="0" w:val="0020"/>
        <w:tblCaption w:val="Every planned analysis, its binding unweighted cell and whether it was estimated, suppressed or not estimable."/>
      </w:tblPr>
      <w:tblGrid>
        <w:gridCol w:w="3541"/>
        <w:gridCol w:w="804"/>
        <w:gridCol w:w="1191"/>
        <w:gridCol w:w="2382"/>
      </w:tblGrid>
      <w:tr>
        <w:trPr>
          <w:tblHeader w:val="on"/>
        </w:trPr>
        <w:tc>
          <w:tcPr/>
          <w:p>
            <w:pPr>
              <w:pStyle w:val="Compact"/>
            </w:pPr>
            <w:r>
              <w:t xml:space="preserve">Analysis</w:t>
            </w:r>
          </w:p>
        </w:tc>
        <w:tc>
          <w:tcPr/>
          <w:p>
            <w:pPr>
              <w:pStyle w:val="Compact"/>
            </w:pPr>
            <w:r>
              <w:t xml:space="preserve">Binding unweighted cell</w:t>
            </w:r>
          </w:p>
        </w:tc>
        <w:tc>
          <w:tcPr/>
          <w:p>
            <w:pPr>
              <w:pStyle w:val="Compact"/>
            </w:pPr>
            <w:r>
              <w:t xml:space="preserve">Events per parameter (whole cohort)</w:t>
            </w:r>
          </w:p>
        </w:tc>
        <w:tc>
          <w:tcPr/>
          <w:p>
            <w:pPr>
              <w:pStyle w:val="Compact"/>
            </w:pPr>
            <w:r>
              <w:t xml:space="preserve">Status</w:t>
            </w:r>
          </w:p>
        </w:tc>
      </w:tr>
      <w:tr>
        <w:tc>
          <w:tcPr/>
          <w:p>
            <w:pPr>
              <w:pStyle w:val="Compact"/>
            </w:pPr>
            <w:r>
              <w:t xml:space="preserve">Primary: survey-weighted logistic regression + g-computation</w:t>
            </w:r>
          </w:p>
        </w:tc>
        <w:tc>
          <w:tcPr/>
          <w:p>
            <w:pPr>
              <w:pStyle w:val="Compact"/>
            </w:pPr>
            <w:r>
              <w:t xml:space="preserve">461</w:t>
            </w:r>
          </w:p>
        </w:tc>
        <w:tc>
          <w:tcPr/>
          <w:p>
            <w:pPr>
              <w:pStyle w:val="Compact"/>
            </w:pPr>
            <w:r>
              <w:t xml:space="preserve">188.3</w:t>
            </w:r>
          </w:p>
        </w:tc>
        <w:tc>
          <w:tcPr/>
          <w:p>
            <w:pPr>
              <w:pStyle w:val="Compact"/>
            </w:pPr>
            <w:r>
              <w:t xml:space="preserve">Estimated</w:t>
            </w:r>
          </w:p>
        </w:tc>
      </w:tr>
      <w:tr>
        <w:tc>
          <w:tcPr/>
          <w:p>
            <w:pPr>
              <w:pStyle w:val="Compact"/>
            </w:pPr>
            <w:r>
              <w:t xml:space="preserve">Co-primary: overlap weighting (ATO)</w:t>
            </w:r>
          </w:p>
        </w:tc>
        <w:tc>
          <w:tcPr/>
          <w:p>
            <w:pPr>
              <w:pStyle w:val="Compact"/>
            </w:pPr>
            <w:r>
              <w:t xml:space="preserve">461</w:t>
            </w:r>
          </w:p>
        </w:tc>
        <w:tc>
          <w:tcPr/>
          <w:p>
            <w:pPr>
              <w:pStyle w:val="Compact"/>
            </w:pPr>
            <w:r>
              <w:t xml:space="preserve">—</w:t>
            </w:r>
          </w:p>
        </w:tc>
        <w:tc>
          <w:tcPr/>
          <w:p>
            <w:pPr>
              <w:pStyle w:val="Compact"/>
            </w:pPr>
            <w:r>
              <w:t xml:space="preserve">Estimated</w:t>
            </w:r>
          </w:p>
        </w:tc>
      </w:tr>
      <w:tr>
        <w:tc>
          <w:tcPr/>
          <w:p>
            <w:pPr>
              <w:pStyle w:val="Compact"/>
            </w:pPr>
            <w:r>
              <w:t xml:space="preserve">Secondary: Bleeding readmission (GI haemorrhage, intracranial haemorrhage or acute posthaemorrhagic anaemia)</w:t>
            </w:r>
          </w:p>
        </w:tc>
        <w:tc>
          <w:tcPr/>
          <w:p>
            <w:pPr>
              <w:pStyle w:val="Compact"/>
            </w:pPr>
            <w:r>
              <w:t xml:space="preserve">52</w:t>
            </w:r>
          </w:p>
        </w:tc>
        <w:tc>
          <w:tcPr/>
          <w:p>
            <w:pPr>
              <w:pStyle w:val="Compact"/>
            </w:pPr>
            <w:r>
              <w:t xml:space="preserve">—</w:t>
            </w:r>
          </w:p>
        </w:tc>
        <w:tc>
          <w:tcPr/>
          <w:p>
            <w:pPr>
              <w:pStyle w:val="Compact"/>
            </w:pPr>
            <w:r>
              <w:t xml:space="preserve">Estimated</w:t>
            </w:r>
          </w:p>
        </w:tc>
      </w:tr>
      <w:tr>
        <w:tc>
          <w:tcPr/>
          <w:p>
            <w:pPr>
              <w:pStyle w:val="Compact"/>
            </w:pPr>
            <w:r>
              <w:t xml:space="preserve">Secondary: Ischaemic stroke readmission (CCSR CIR020)</w:t>
            </w:r>
          </w:p>
        </w:tc>
        <w:tc>
          <w:tcPr/>
          <w:p>
            <w:pPr>
              <w:pStyle w:val="Compact"/>
            </w:pPr>
            <w:r>
              <w:t xml:space="preserve">&lt;11</w:t>
            </w:r>
          </w:p>
        </w:tc>
        <w:tc>
          <w:tcPr/>
          <w:p>
            <w:pPr>
              <w:pStyle w:val="Compact"/>
            </w:pPr>
            <w:r>
              <w:t xml:space="preserve">—</w:t>
            </w:r>
          </w:p>
        </w:tc>
        <w:tc>
          <w:tcPr/>
          <w:p>
            <w:pPr>
              <w:pStyle w:val="Compact"/>
            </w:pPr>
            <w:r>
              <w:t xml:space="preserve">Suppressed (HCUP &lt;11 cell)</w:t>
            </w:r>
          </w:p>
        </w:tc>
      </w:tr>
      <w:tr>
        <w:tc>
          <w:tcPr/>
          <w:p>
            <w:pPr>
              <w:pStyle w:val="Compact"/>
            </w:pPr>
            <w:r>
              <w:t xml:space="preserve">Secondary: Unplanned (non-elective) readmission</w:t>
            </w:r>
          </w:p>
        </w:tc>
        <w:tc>
          <w:tcPr/>
          <w:p>
            <w:pPr>
              <w:pStyle w:val="Compact"/>
            </w:pPr>
            <w:r>
              <w:t xml:space="preserve">14</w:t>
            </w:r>
          </w:p>
        </w:tc>
        <w:tc>
          <w:tcPr/>
          <w:p>
            <w:pPr>
              <w:pStyle w:val="Compact"/>
            </w:pPr>
            <w:r>
              <w:t xml:space="preserve">—</w:t>
            </w:r>
          </w:p>
        </w:tc>
        <w:tc>
          <w:tcPr/>
          <w:p>
            <w:pPr>
              <w:pStyle w:val="Compact"/>
            </w:pPr>
            <w:r>
              <w:t xml:space="preserve">Estimated</w:t>
            </w:r>
          </w:p>
        </w:tc>
      </w:tr>
      <w:tr>
        <w:tc>
          <w:tcPr/>
          <w:p>
            <w:pPr>
              <w:pStyle w:val="Compact"/>
            </w:pPr>
            <w:r>
              <w:t xml:space="preserve">Secondary: In-hospital death at readmission</w:t>
            </w:r>
          </w:p>
        </w:tc>
        <w:tc>
          <w:tcPr/>
          <w:p>
            <w:pPr>
              <w:pStyle w:val="Compact"/>
            </w:pPr>
            <w:r>
              <w:t xml:space="preserve">21</w:t>
            </w:r>
          </w:p>
        </w:tc>
        <w:tc>
          <w:tcPr/>
          <w:p>
            <w:pPr>
              <w:pStyle w:val="Compact"/>
            </w:pPr>
            <w:r>
              <w:t xml:space="preserve">—</w:t>
            </w:r>
          </w:p>
        </w:tc>
        <w:tc>
          <w:tcPr/>
          <w:p>
            <w:pPr>
              <w:pStyle w:val="Compact"/>
            </w:pPr>
            <w:r>
              <w:t xml:space="preserve">Estimated</w:t>
            </w:r>
          </w:p>
        </w:tc>
      </w:tr>
      <w:tr>
        <w:tc>
          <w:tcPr/>
          <w:p>
            <w:pPr>
              <w:pStyle w:val="Compact"/>
            </w:pPr>
            <w:r>
              <w:t xml:space="preserve">Secondary: Pericardial effusion or tamponade at index</w:t>
            </w:r>
          </w:p>
        </w:tc>
        <w:tc>
          <w:tcPr/>
          <w:p>
            <w:pPr>
              <w:pStyle w:val="Compact"/>
            </w:pPr>
            <w:r>
              <w:t xml:space="preserve">97</w:t>
            </w:r>
          </w:p>
        </w:tc>
        <w:tc>
          <w:tcPr/>
          <w:p>
            <w:pPr>
              <w:pStyle w:val="Compact"/>
            </w:pPr>
            <w:r>
              <w:t xml:space="preserve">—</w:t>
            </w:r>
          </w:p>
        </w:tc>
        <w:tc>
          <w:tcPr/>
          <w:p>
            <w:pPr>
              <w:pStyle w:val="Compact"/>
            </w:pPr>
            <w:r>
              <w:t xml:space="preserve">Estimated</w:t>
            </w:r>
          </w:p>
        </w:tc>
      </w:tr>
      <w:tr>
        <w:tc>
          <w:tcPr/>
          <w:p>
            <w:pPr>
              <w:pStyle w:val="Compact"/>
            </w:pPr>
            <w:r>
              <w:t xml:space="preserve">Secondary: Pericardial drainage at index</w:t>
            </w:r>
          </w:p>
        </w:tc>
        <w:tc>
          <w:tcPr/>
          <w:p>
            <w:pPr>
              <w:pStyle w:val="Compact"/>
            </w:pPr>
            <w:r>
              <w:t xml:space="preserve">19</w:t>
            </w:r>
          </w:p>
        </w:tc>
        <w:tc>
          <w:tcPr/>
          <w:p>
            <w:pPr>
              <w:pStyle w:val="Compact"/>
            </w:pPr>
            <w:r>
              <w:t xml:space="preserve">—</w:t>
            </w:r>
          </w:p>
        </w:tc>
        <w:tc>
          <w:tcPr/>
          <w:p>
            <w:pPr>
              <w:pStyle w:val="Compact"/>
            </w:pPr>
            <w:r>
              <w:t xml:space="preserve">Estimated</w:t>
            </w:r>
          </w:p>
        </w:tc>
      </w:tr>
      <w:tr>
        <w:tc>
          <w:tcPr/>
          <w:p>
            <w:pPr>
              <w:pStyle w:val="Compact"/>
            </w:pPr>
            <w:r>
              <w:t xml:space="preserve">Secondary: Non-home discharge at index</w:t>
            </w:r>
          </w:p>
        </w:tc>
        <w:tc>
          <w:tcPr/>
          <w:p>
            <w:pPr>
              <w:pStyle w:val="Compact"/>
            </w:pPr>
            <w:r>
              <w:t xml:space="preserve">91</w:t>
            </w:r>
          </w:p>
        </w:tc>
        <w:tc>
          <w:tcPr/>
          <w:p>
            <w:pPr>
              <w:pStyle w:val="Compact"/>
            </w:pPr>
            <w:r>
              <w:t xml:space="preserve">—</w:t>
            </w:r>
          </w:p>
        </w:tc>
        <w:tc>
          <w:tcPr/>
          <w:p>
            <w:pPr>
              <w:pStyle w:val="Compact"/>
            </w:pPr>
            <w:r>
              <w:t xml:space="preserve">Estimated</w:t>
            </w:r>
          </w:p>
        </w:tc>
      </w:tr>
      <w:tr>
        <w:tc>
          <w:tcPr/>
          <w:p>
            <w:pPr>
              <w:pStyle w:val="Compact"/>
            </w:pPr>
            <w:r>
              <w:t xml:space="preserve">Subgroup (exploratory): Prior major bleeding vs none = No prior major bleeding</w:t>
            </w:r>
          </w:p>
        </w:tc>
        <w:tc>
          <w:tcPr/>
          <w:p>
            <w:pPr>
              <w:pStyle w:val="Compact"/>
            </w:pPr>
            <w:r>
              <w:t xml:space="preserve">&gt;= 11</w:t>
            </w:r>
          </w:p>
        </w:tc>
        <w:tc>
          <w:tcPr/>
          <w:p>
            <w:pPr>
              <w:pStyle w:val="Compact"/>
            </w:pPr>
            <w:r>
              <w:t xml:space="preserve">—</w:t>
            </w:r>
          </w:p>
        </w:tc>
        <w:tc>
          <w:tcPr/>
          <w:p>
            <w:pPr>
              <w:pStyle w:val="Compact"/>
            </w:pPr>
            <w:r>
              <w:t xml:space="preserve">Estimated</w:t>
            </w:r>
          </w:p>
        </w:tc>
      </w:tr>
      <w:tr>
        <w:tc>
          <w:tcPr/>
          <w:p>
            <w:pPr>
              <w:pStyle w:val="Compact"/>
            </w:pPr>
            <w:r>
              <w:t xml:space="preserve">Subgroup (exploratory): Prior major bleeding vs none = Prior major bleeding</w:t>
            </w:r>
          </w:p>
        </w:tc>
        <w:tc>
          <w:tcPr/>
          <w:p>
            <w:pPr>
              <w:pStyle w:val="Compact"/>
            </w:pPr>
            <w:r>
              <w:t xml:space="preserve">&gt;= 11</w:t>
            </w:r>
          </w:p>
        </w:tc>
        <w:tc>
          <w:tcPr/>
          <w:p>
            <w:pPr>
              <w:pStyle w:val="Compact"/>
            </w:pPr>
            <w:r>
              <w:t xml:space="preserve">—</w:t>
            </w:r>
          </w:p>
        </w:tc>
        <w:tc>
          <w:tcPr/>
          <w:p>
            <w:pPr>
              <w:pStyle w:val="Compact"/>
            </w:pPr>
            <w:r>
              <w:t xml:space="preserve">Estimated</w:t>
            </w:r>
          </w:p>
        </w:tc>
      </w:tr>
      <w:tr>
        <w:tc>
          <w:tcPr/>
          <w:p>
            <w:pPr>
              <w:pStyle w:val="Compact"/>
            </w:pPr>
            <w:r>
              <w:t xml:space="preserve">Subgroup (exploratory): Age ≥75 vs &lt;75 years = &lt;75 years</w:t>
            </w:r>
          </w:p>
        </w:tc>
        <w:tc>
          <w:tcPr/>
          <w:p>
            <w:pPr>
              <w:pStyle w:val="Compact"/>
            </w:pPr>
            <w:r>
              <w:t xml:space="preserve">&gt;= 11</w:t>
            </w:r>
          </w:p>
        </w:tc>
        <w:tc>
          <w:tcPr/>
          <w:p>
            <w:pPr>
              <w:pStyle w:val="Compact"/>
            </w:pPr>
            <w:r>
              <w:t xml:space="preserve">—</w:t>
            </w:r>
          </w:p>
        </w:tc>
        <w:tc>
          <w:tcPr/>
          <w:p>
            <w:pPr>
              <w:pStyle w:val="Compact"/>
            </w:pPr>
            <w:r>
              <w:t xml:space="preserve">Estimated</w:t>
            </w:r>
          </w:p>
        </w:tc>
      </w:tr>
      <w:tr>
        <w:tc>
          <w:tcPr/>
          <w:p>
            <w:pPr>
              <w:pStyle w:val="Compact"/>
            </w:pPr>
            <w:r>
              <w:t xml:space="preserve">Subgroup (exploratory): Age ≥75 vs &lt;75 years = ≥75 years</w:t>
            </w:r>
          </w:p>
        </w:tc>
        <w:tc>
          <w:tcPr/>
          <w:p>
            <w:pPr>
              <w:pStyle w:val="Compact"/>
            </w:pPr>
            <w:r>
              <w:t xml:space="preserve">&gt;= 11</w:t>
            </w:r>
          </w:p>
        </w:tc>
        <w:tc>
          <w:tcPr/>
          <w:p>
            <w:pPr>
              <w:pStyle w:val="Compact"/>
            </w:pPr>
            <w:r>
              <w:t xml:space="preserve">—</w:t>
            </w:r>
          </w:p>
        </w:tc>
        <w:tc>
          <w:tcPr/>
          <w:p>
            <w:pPr>
              <w:pStyle w:val="Compact"/>
            </w:pPr>
            <w:r>
              <w:t xml:space="preserve">Estimated</w:t>
            </w:r>
          </w:p>
        </w:tc>
      </w:tr>
      <w:tr>
        <w:tc>
          <w:tcPr/>
          <w:p>
            <w:pPr>
              <w:pStyle w:val="Compact"/>
            </w:pPr>
            <w:r>
              <w:t xml:space="preserve">Subgroup (exploratory): Hospital LAAO volume tertile = High</w:t>
            </w:r>
          </w:p>
        </w:tc>
        <w:tc>
          <w:tcPr/>
          <w:p>
            <w:pPr>
              <w:pStyle w:val="Compact"/>
            </w:pPr>
            <w:r>
              <w:t xml:space="preserve">&gt;= 11</w:t>
            </w:r>
          </w:p>
        </w:tc>
        <w:tc>
          <w:tcPr/>
          <w:p>
            <w:pPr>
              <w:pStyle w:val="Compact"/>
            </w:pPr>
            <w:r>
              <w:t xml:space="preserve">—</w:t>
            </w:r>
          </w:p>
        </w:tc>
        <w:tc>
          <w:tcPr/>
          <w:p>
            <w:pPr>
              <w:pStyle w:val="Compact"/>
            </w:pPr>
            <w:r>
              <w:t xml:space="preserve">Estimated</w:t>
            </w:r>
          </w:p>
        </w:tc>
      </w:tr>
      <w:tr>
        <w:tc>
          <w:tcPr/>
          <w:p>
            <w:pPr>
              <w:pStyle w:val="Compact"/>
            </w:pPr>
            <w:r>
              <w:t xml:space="preserve">Subgroup (exploratory): Hospital LAAO volume tertile = Middle</w:t>
            </w:r>
          </w:p>
        </w:tc>
        <w:tc>
          <w:tcPr/>
          <w:p>
            <w:pPr>
              <w:pStyle w:val="Compact"/>
            </w:pPr>
            <w:r>
              <w:t xml:space="preserve">&gt;= 11</w:t>
            </w:r>
          </w:p>
        </w:tc>
        <w:tc>
          <w:tcPr/>
          <w:p>
            <w:pPr>
              <w:pStyle w:val="Compact"/>
            </w:pPr>
            <w:r>
              <w:t xml:space="preserve">—</w:t>
            </w:r>
          </w:p>
        </w:tc>
        <w:tc>
          <w:tcPr/>
          <w:p>
            <w:pPr>
              <w:pStyle w:val="Compact"/>
            </w:pPr>
            <w:r>
              <w:t xml:space="preserve">Estimated</w:t>
            </w:r>
          </w:p>
        </w:tc>
      </w:tr>
      <w:tr>
        <w:tc>
          <w:tcPr/>
          <w:p>
            <w:pPr>
              <w:pStyle w:val="Compact"/>
            </w:pPr>
            <w:r>
              <w:t xml:space="preserve">Subgroup (exploratory): Hospital LAAO volume tertile = Low</w:t>
            </w:r>
          </w:p>
        </w:tc>
        <w:tc>
          <w:tcPr/>
          <w:p>
            <w:pPr>
              <w:pStyle w:val="Compact"/>
            </w:pPr>
            <w:r>
              <w:t xml:space="preserve">&gt;= 11</w:t>
            </w:r>
          </w:p>
        </w:tc>
        <w:tc>
          <w:tcPr/>
          <w:p>
            <w:pPr>
              <w:pStyle w:val="Compact"/>
            </w:pPr>
            <w:r>
              <w:t xml:space="preserve">—</w:t>
            </w:r>
          </w:p>
        </w:tc>
        <w:tc>
          <w:tcPr/>
          <w:p>
            <w:pPr>
              <w:pStyle w:val="Compact"/>
            </w:pPr>
            <w:r>
              <w:t xml:space="preserve">Estimated</w:t>
            </w:r>
          </w:p>
        </w:tc>
      </w:tr>
      <w:tr>
        <w:tc>
          <w:tcPr/>
          <w:p>
            <w:pPr>
              <w:pStyle w:val="Compact"/>
            </w:pPr>
            <w:r>
              <w:t xml:space="preserve">Sensitivity: S1. First qualifying index admission per patient-year only</w:t>
            </w:r>
          </w:p>
        </w:tc>
        <w:tc>
          <w:tcPr/>
          <w:p>
            <w:pPr>
              <w:pStyle w:val="Compact"/>
            </w:pPr>
            <w:r>
              <w:t xml:space="preserve">461</w:t>
            </w:r>
          </w:p>
        </w:tc>
        <w:tc>
          <w:tcPr/>
          <w:p>
            <w:pPr>
              <w:pStyle w:val="Compact"/>
            </w:pPr>
            <w:r>
              <w:t xml:space="preserve">—</w:t>
            </w:r>
          </w:p>
        </w:tc>
        <w:tc>
          <w:tcPr/>
          <w:p>
            <w:pPr>
              <w:pStyle w:val="Compact"/>
            </w:pPr>
            <w:r>
              <w:t xml:space="preserve">Estimated</w:t>
            </w:r>
          </w:p>
        </w:tc>
      </w:tr>
      <w:tr>
        <w:tc>
          <w:tcPr/>
          <w:p>
            <w:pPr>
              <w:pStyle w:val="Compact"/>
            </w:pPr>
            <w:r>
              <w:t xml:space="preserve">Sensitivity: S2. Leave-2020-out</w:t>
            </w:r>
          </w:p>
        </w:tc>
        <w:tc>
          <w:tcPr/>
          <w:p>
            <w:pPr>
              <w:pStyle w:val="Compact"/>
            </w:pPr>
            <w:r>
              <w:t xml:space="preserve">390</w:t>
            </w:r>
          </w:p>
        </w:tc>
        <w:tc>
          <w:tcPr/>
          <w:p>
            <w:pPr>
              <w:pStyle w:val="Compact"/>
            </w:pPr>
            <w:r>
              <w:t xml:space="preserve">—</w:t>
            </w:r>
          </w:p>
        </w:tc>
        <w:tc>
          <w:tcPr/>
          <w:p>
            <w:pPr>
              <w:pStyle w:val="Compact"/>
            </w:pPr>
            <w:r>
              <w:t xml:space="preserve">Estimated</w:t>
            </w:r>
          </w:p>
        </w:tc>
      </w:tr>
      <w:tr>
        <w:tc>
          <w:tcPr/>
          <w:p>
            <w:pPr>
              <w:pStyle w:val="Compact"/>
            </w:pPr>
            <w:r>
              <w:t xml:space="preserve">Sensitivity: S3. Propensity-score overlap-weighted (ATO) estimate – also reported as co-primary</w:t>
            </w:r>
          </w:p>
        </w:tc>
        <w:tc>
          <w:tcPr/>
          <w:p>
            <w:pPr>
              <w:pStyle w:val="Compact"/>
            </w:pPr>
            <w:r>
              <w:t xml:space="preserve">461</w:t>
            </w:r>
          </w:p>
        </w:tc>
        <w:tc>
          <w:tcPr/>
          <w:p>
            <w:pPr>
              <w:pStyle w:val="Compact"/>
            </w:pPr>
            <w:r>
              <w:t xml:space="preserve">—</w:t>
            </w:r>
          </w:p>
        </w:tc>
        <w:tc>
          <w:tcPr/>
          <w:p>
            <w:pPr>
              <w:pStyle w:val="Compact"/>
            </w:pPr>
            <w:r>
              <w:t xml:space="preserve">Estimated</w:t>
            </w:r>
          </w:p>
        </w:tc>
      </w:tr>
      <w:tr>
        <w:tc>
          <w:tcPr/>
          <w:p>
            <w:pPr>
              <w:pStyle w:val="Compact"/>
            </w:pPr>
            <w:r>
              <w:t xml:space="preserve">Sensitivity: S4. Cox model, administrative censoring at day 30, full cohort</w:t>
            </w:r>
          </w:p>
        </w:tc>
        <w:tc>
          <w:tcPr/>
          <w:p>
            <w:pPr>
              <w:pStyle w:val="Compact"/>
            </w:pPr>
            <w:r>
              <w:t xml:space="preserve">461</w:t>
            </w:r>
          </w:p>
        </w:tc>
        <w:tc>
          <w:tcPr/>
          <w:p>
            <w:pPr>
              <w:pStyle w:val="Compact"/>
            </w:pPr>
            <w:r>
              <w:t xml:space="preserve">—</w:t>
            </w:r>
          </w:p>
        </w:tc>
        <w:tc>
          <w:tcPr/>
          <w:p>
            <w:pPr>
              <w:pStyle w:val="Compact"/>
            </w:pPr>
            <w:r>
              <w:t xml:space="preserve">Estimated</w:t>
            </w:r>
          </w:p>
        </w:tc>
      </w:tr>
      <w:tr>
        <w:tc>
          <w:tcPr/>
          <w:p>
            <w:pPr>
              <w:pStyle w:val="Compact"/>
            </w:pPr>
            <w:r>
              <w:t xml:space="preserve">Sensitivity: S5. Device-era restriction: 2020-2022 discharges only</w:t>
            </w:r>
          </w:p>
        </w:tc>
        <w:tc>
          <w:tcPr/>
          <w:p>
            <w:pPr>
              <w:pStyle w:val="Compact"/>
            </w:pPr>
            <w:r>
              <w:t xml:space="preserve">293</w:t>
            </w:r>
          </w:p>
        </w:tc>
        <w:tc>
          <w:tcPr/>
          <w:p>
            <w:pPr>
              <w:pStyle w:val="Compact"/>
            </w:pPr>
            <w:r>
              <w:t xml:space="preserve">—</w:t>
            </w:r>
          </w:p>
        </w:tc>
        <w:tc>
          <w:tcPr/>
          <w:p>
            <w:pPr>
              <w:pStyle w:val="Compact"/>
            </w:pPr>
            <w:r>
              <w:t xml:space="preserve">Estimated</w:t>
            </w:r>
          </w:p>
        </w:tc>
      </w:tr>
      <w:tr>
        <w:tc>
          <w:tcPr/>
          <w:p>
            <w:pPr>
              <w:pStyle w:val="Compact"/>
            </w:pPr>
            <w:r>
              <w:t xml:space="preserve">Sensitivity: S6. Alternative exposure: N18.6 with or without a dialysis-dependence marker</w:t>
            </w:r>
          </w:p>
        </w:tc>
        <w:tc>
          <w:tcPr/>
          <w:p>
            <w:pPr>
              <w:pStyle w:val="Compact"/>
            </w:pPr>
            <w:r>
              <w:t xml:space="preserve">511</w:t>
            </w:r>
          </w:p>
        </w:tc>
        <w:tc>
          <w:tcPr/>
          <w:p>
            <w:pPr>
              <w:pStyle w:val="Compact"/>
            </w:pPr>
            <w:r>
              <w:t xml:space="preserve">—</w:t>
            </w:r>
          </w:p>
        </w:tc>
        <w:tc>
          <w:tcPr/>
          <w:p>
            <w:pPr>
              <w:pStyle w:val="Compact"/>
            </w:pPr>
            <w:r>
              <w:t xml:space="preserve">Estimated</w:t>
            </w:r>
          </w:p>
        </w:tc>
      </w:tr>
      <w:tr>
        <w:tc>
          <w:tcPr/>
          <w:p>
            <w:pPr>
              <w:pStyle w:val="Compact"/>
            </w:pPr>
            <w:r>
              <w:t xml:space="preserve">Sensitivity: S7. Excluding non-elective index admissions</w:t>
            </w:r>
          </w:p>
        </w:tc>
        <w:tc>
          <w:tcPr/>
          <w:p>
            <w:pPr>
              <w:pStyle w:val="Compact"/>
            </w:pPr>
            <w:r>
              <w:t xml:space="preserve">407</w:t>
            </w:r>
          </w:p>
        </w:tc>
        <w:tc>
          <w:tcPr/>
          <w:p>
            <w:pPr>
              <w:pStyle w:val="Compact"/>
            </w:pPr>
            <w:r>
              <w:t xml:space="preserve">—</w:t>
            </w:r>
          </w:p>
        </w:tc>
        <w:tc>
          <w:tcPr/>
          <w:p>
            <w:pPr>
              <w:pStyle w:val="Compact"/>
            </w:pPr>
            <w:r>
              <w:t xml:space="preserve">Estimated</w:t>
            </w:r>
          </w:p>
        </w:tc>
      </w:tr>
      <w:tr>
        <w:tc>
          <w:tcPr/>
          <w:p>
            <w:pPr>
              <w:pStyle w:val="Compact"/>
            </w:pPr>
            <w:r>
              <w:t xml:space="preserve">Sensitivity: S8. Exposure ascertained from I10_DX1-I10_DX30 and I10_PR1-I10_PR15 only (uniform field depth)</w:t>
            </w:r>
          </w:p>
        </w:tc>
        <w:tc>
          <w:tcPr/>
          <w:p>
            <w:pPr>
              <w:pStyle w:val="Compact"/>
            </w:pPr>
            <w:r>
              <w:t xml:space="preserve">460</w:t>
            </w:r>
          </w:p>
        </w:tc>
        <w:tc>
          <w:tcPr/>
          <w:p>
            <w:pPr>
              <w:pStyle w:val="Compact"/>
            </w:pPr>
            <w:r>
              <w:t xml:space="preserve">—</w:t>
            </w:r>
          </w:p>
        </w:tc>
        <w:tc>
          <w:tcPr/>
          <w:p>
            <w:pPr>
              <w:pStyle w:val="Compact"/>
            </w:pPr>
            <w:r>
              <w:t xml:space="preserve">Estimated</w:t>
            </w:r>
          </w:p>
        </w:tc>
      </w:tr>
      <w:tr>
        <w:tc>
          <w:tcPr/>
          <w:p>
            <w:pPr>
              <w:pStyle w:val="Compact"/>
            </w:pPr>
            <w:r>
              <w:t xml:space="preserve">Sensitivity: Present-on-admission-restricted definitions (SAP C1 item 4)</w:t>
            </w:r>
          </w:p>
        </w:tc>
        <w:tc>
          <w:tcPr/>
          <w:p>
            <w:pPr>
              <w:pStyle w:val="Compact"/>
            </w:pPr>
            <w:r>
              <w:t xml:space="preserve">—</w:t>
            </w:r>
          </w:p>
        </w:tc>
        <w:tc>
          <w:tcPr/>
          <w:p>
            <w:pPr>
              <w:pStyle w:val="Compact"/>
            </w:pPr>
            <w:r>
              <w:t xml:space="preserve">—</w:t>
            </w:r>
          </w:p>
        </w:tc>
        <w:tc>
          <w:tcPr/>
          <w:p>
            <w:pPr>
              <w:pStyle w:val="Compact"/>
            </w:pPr>
            <w:r>
              <w:t xml:space="preserve">Not estimable: no present-on-admission indicator exists in NRD 2016-2022</w:t>
            </w:r>
          </w:p>
        </w:tc>
      </w:tr>
      <w:tr>
        <w:tc>
          <w:tcPr/>
          <w:p>
            <w:pPr>
              <w:pStyle w:val="Compact"/>
            </w:pPr>
            <w:r>
              <w:t xml:space="preserve">Negative control outcome (SKN readmission)</w:t>
            </w:r>
          </w:p>
        </w:tc>
        <w:tc>
          <w:tcPr/>
          <w:p>
            <w:pPr>
              <w:pStyle w:val="Compact"/>
            </w:pPr>
            <w:r>
              <w:t xml:space="preserve">&lt;11</w:t>
            </w:r>
          </w:p>
        </w:tc>
        <w:tc>
          <w:tcPr/>
          <w:p>
            <w:pPr>
              <w:pStyle w:val="Compact"/>
            </w:pPr>
            <w:r>
              <w:t xml:space="preserve">—</w:t>
            </w:r>
          </w:p>
        </w:tc>
        <w:tc>
          <w:tcPr/>
          <w:p>
            <w:pPr>
              <w:pStyle w:val="Compact"/>
            </w:pPr>
            <w:r>
              <w:t xml:space="preserve">Suppressed (HCUP &lt;11 cell)</w:t>
            </w:r>
          </w:p>
        </w:tc>
      </w:tr>
      <w:tr>
        <w:tc>
          <w:tcPr/>
          <w:p>
            <w:pPr>
              <w:pStyle w:val="Compact"/>
            </w:pPr>
            <w:r>
              <w:t xml:space="preserve">Temporal trend: arm-by-year readmission rates</w:t>
            </w:r>
          </w:p>
        </w:tc>
        <w:tc>
          <w:tcPr/>
          <w:p>
            <w:pPr>
              <w:pStyle w:val="Compact"/>
            </w:pPr>
            <w:r>
              <w:t xml:space="preserve">per year</w:t>
            </w:r>
          </w:p>
        </w:tc>
        <w:tc>
          <w:tcPr/>
          <w:p>
            <w:pPr>
              <w:pStyle w:val="Compact"/>
            </w:pPr>
            <w:r>
              <w:t xml:space="preserve">—</w:t>
            </w:r>
          </w:p>
        </w:tc>
        <w:tc>
          <w:tcPr/>
          <w:p>
            <w:pPr>
              <w:pStyle w:val="Compact"/>
            </w:pPr>
            <w:r>
              <w:t xml:space="preserve">0 of 14 arm-years suppressed</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The exposed arm is thin, so several pre-specified analyses rest on cells below the HCUP minimum of 11 unweighted discharges. They are reported as suppressed or not estimable rather than forced.</w:t>
            </w:r>
          </w:p>
        </w:tc>
      </w:tr>
    </w:tbl>
    <w:bookmarkEnd w:id="67"/>
    <w:bookmarkStart w:id="68" w:name="small-cell-scan"/>
    <w:p>
      <w:pPr>
        <w:pStyle w:val="Heading2"/>
      </w:pPr>
      <w:r>
        <w:t xml:space="preserve">8.2 Small-cell scan</w:t>
      </w:r>
    </w:p>
    <w:p>
      <w:pPr>
        <w:pStyle w:val="TableCaption"/>
      </w:pPr>
      <w:r>
        <w:t xml:space="preserve">Automated scan of every rendered table for unsuppressed cells below the HCUP minimum of 11 unweighted discharges (cell text, count columns, headers and the smallest cell underlying each estimate).</w:t>
      </w:r>
    </w:p>
    <w:tbl>
      <w:tblPr>
        <w:tblStyle w:val="Table"/>
        <w:tblW w:type="pct" w:w="5000"/>
        <w:tblLayout w:type="fixed"/>
        <w:tblLook w:firstRow="1" w:lastRow="0" w:firstColumn="0" w:lastColumn="0" w:noHBand="0" w:noVBand="0" w:val="0020"/>
        <w:tblCaption w:val="Automated scan of every rendered table for unsuppressed cells below the HCUP minimum of 11 unweighted discharges (cell text, count columns, headers and the smallest cell underlying each estimate)."/>
      </w:tblPr>
      <w:tblGrid>
        <w:gridCol w:w="4449"/>
        <w:gridCol w:w="1334"/>
        <w:gridCol w:w="1245"/>
        <w:gridCol w:w="889"/>
      </w:tblGrid>
      <w:tr>
        <w:trPr>
          <w:tblHeader w:val="on"/>
        </w:trPr>
        <w:tc>
          <w:tcPr/>
          <w:p>
            <w:pPr>
              <w:pStyle w:val="Compact"/>
            </w:pPr>
            <w:r>
              <w:t xml:space="preserve">table</w:t>
            </w:r>
          </w:p>
        </w:tc>
        <w:tc>
          <w:tcPr/>
          <w:p>
            <w:pPr>
              <w:pStyle w:val="Compact"/>
            </w:pPr>
            <w:r>
              <w:t xml:space="preserve">cells_scanned</w:t>
            </w:r>
          </w:p>
        </w:tc>
        <w:tc>
          <w:tcPr/>
          <w:p>
            <w:pPr>
              <w:pStyle w:val="Compact"/>
            </w:pPr>
            <w:r>
              <w:t xml:space="preserve">n_violations</w:t>
            </w:r>
          </w:p>
        </w:tc>
        <w:tc>
          <w:tcPr/>
          <w:p>
            <w:pPr>
              <w:pStyle w:val="Compact"/>
            </w:pPr>
            <w:r>
              <w:t xml:space="preserve">min_cell</w:t>
            </w:r>
          </w:p>
        </w:tc>
      </w:tr>
      <w:tr>
        <w:tc>
          <w:tcPr/>
          <w:p>
            <w:pPr>
              <w:pStyle w:val="Compact"/>
            </w:pPr>
            <w:r>
              <w:t xml:space="preserve">Cohort construction (attrition)</w:t>
            </w:r>
          </w:p>
        </w:tc>
        <w:tc>
          <w:tcPr/>
          <w:p>
            <w:pPr>
              <w:pStyle w:val="Compact"/>
            </w:pPr>
            <w:r>
              <w:t xml:space="preserve">15</w:t>
            </w:r>
          </w:p>
        </w:tc>
        <w:tc>
          <w:tcPr/>
          <w:p>
            <w:pPr>
              <w:pStyle w:val="Compact"/>
            </w:pPr>
            <w:r>
              <w:t xml:space="preserve">0</w:t>
            </w:r>
          </w:p>
        </w:tc>
        <w:tc>
          <w:tcPr/>
          <w:p>
            <w:pPr>
              <w:pStyle w:val="Compact"/>
            </w:pPr>
            <w:r>
              <w:t xml:space="preserve">—</w:t>
            </w:r>
          </w:p>
        </w:tc>
      </w:tr>
      <w:tr>
        <w:tc>
          <w:tcPr/>
          <w:p>
            <w:pPr>
              <w:pStyle w:val="Compact"/>
            </w:pPr>
            <w:r>
              <w:t xml:space="preserve">Device-code and concomitant-procedure accounting</w:t>
            </w:r>
          </w:p>
        </w:tc>
        <w:tc>
          <w:tcPr/>
          <w:p>
            <w:pPr>
              <w:pStyle w:val="Compact"/>
            </w:pPr>
            <w:r>
              <w:t xml:space="preserve">6</w:t>
            </w:r>
          </w:p>
        </w:tc>
        <w:tc>
          <w:tcPr/>
          <w:p>
            <w:pPr>
              <w:pStyle w:val="Compact"/>
            </w:pPr>
            <w:r>
              <w:t xml:space="preserve">0</w:t>
            </w:r>
          </w:p>
        </w:tc>
        <w:tc>
          <w:tcPr/>
          <w:p>
            <w:pPr>
              <w:pStyle w:val="Compact"/>
            </w:pPr>
            <w:r>
              <w:t xml:space="preserve">—</w:t>
            </w:r>
          </w:p>
        </w:tc>
      </w:tr>
      <w:tr>
        <w:tc>
          <w:tcPr/>
          <w:p>
            <w:pPr>
              <w:pStyle w:val="Compact"/>
            </w:pPr>
            <w:r>
              <w:t xml:space="preserve">Missingness</w:t>
            </w:r>
          </w:p>
        </w:tc>
        <w:tc>
          <w:tcPr/>
          <w:p>
            <w:pPr>
              <w:pStyle w:val="Compact"/>
            </w:pPr>
            <w:r>
              <w:t xml:space="preserve">1</w:t>
            </w:r>
          </w:p>
        </w:tc>
        <w:tc>
          <w:tcPr/>
          <w:p>
            <w:pPr>
              <w:pStyle w:val="Compact"/>
            </w:pPr>
            <w:r>
              <w:t xml:space="preserve">0</w:t>
            </w:r>
          </w:p>
        </w:tc>
        <w:tc>
          <w:tcPr/>
          <w:p>
            <w:pPr>
              <w:pStyle w:val="Compact"/>
            </w:pPr>
            <w:r>
              <w:t xml:space="preserve">—</w:t>
            </w:r>
          </w:p>
        </w:tc>
      </w:tr>
      <w:tr>
        <w:tc>
          <w:tcPr/>
          <w:p>
            <w:pPr>
              <w:pStyle w:val="Compact"/>
            </w:pPr>
            <w:r>
              <w:t xml:space="preserve">Table 1 (baseline)</w:t>
            </w:r>
          </w:p>
        </w:tc>
        <w:tc>
          <w:tcPr/>
          <w:p>
            <w:pPr>
              <w:pStyle w:val="Compact"/>
            </w:pPr>
            <w:r>
              <w:t xml:space="preserve">189</w:t>
            </w:r>
          </w:p>
        </w:tc>
        <w:tc>
          <w:tcPr/>
          <w:p>
            <w:pPr>
              <w:pStyle w:val="Compact"/>
            </w:pPr>
            <w:r>
              <w:t xml:space="preserve">0</w:t>
            </w:r>
          </w:p>
        </w:tc>
        <w:tc>
          <w:tcPr/>
          <w:p>
            <w:pPr>
              <w:pStyle w:val="Compact"/>
            </w:pPr>
            <w:r>
              <w:t xml:space="preserve">—</w:t>
            </w:r>
          </w:p>
        </w:tc>
      </w:tr>
      <w:tr>
        <w:tc>
          <w:tcPr/>
          <w:p>
            <w:pPr>
              <w:pStyle w:val="Compact"/>
            </w:pPr>
            <w:r>
              <w:t xml:space="preserve">Table 2 (index outcomes)</w:t>
            </w:r>
          </w:p>
        </w:tc>
        <w:tc>
          <w:tcPr/>
          <w:p>
            <w:pPr>
              <w:pStyle w:val="Compact"/>
            </w:pPr>
            <w:r>
              <w:t xml:space="preserve">15</w:t>
            </w:r>
          </w:p>
        </w:tc>
        <w:tc>
          <w:tcPr/>
          <w:p>
            <w:pPr>
              <w:pStyle w:val="Compact"/>
            </w:pPr>
            <w:r>
              <w:t xml:space="preserve">0</w:t>
            </w:r>
          </w:p>
        </w:tc>
        <w:tc>
          <w:tcPr/>
          <w:p>
            <w:pPr>
              <w:pStyle w:val="Compact"/>
            </w:pPr>
            <w:r>
              <w:t xml:space="preserve">—</w:t>
            </w:r>
          </w:p>
        </w:tc>
      </w:tr>
      <w:tr>
        <w:tc>
          <w:tcPr/>
          <w:p>
            <w:pPr>
              <w:pStyle w:val="Compact"/>
            </w:pPr>
            <w:r>
              <w:t xml:space="preserve">Table 2b (index mortality)</w:t>
            </w:r>
          </w:p>
        </w:tc>
        <w:tc>
          <w:tcPr/>
          <w:p>
            <w:pPr>
              <w:pStyle w:val="Compact"/>
            </w:pPr>
            <w:r>
              <w:t xml:space="preserve">3</w:t>
            </w:r>
          </w:p>
        </w:tc>
        <w:tc>
          <w:tcPr/>
          <w:p>
            <w:pPr>
              <w:pStyle w:val="Compact"/>
            </w:pPr>
            <w:r>
              <w:t xml:space="preserve">0</w:t>
            </w:r>
          </w:p>
        </w:tc>
        <w:tc>
          <w:tcPr/>
          <w:p>
            <w:pPr>
              <w:pStyle w:val="Compact"/>
            </w:pPr>
            <w:r>
              <w:t xml:space="preserve">—</w:t>
            </w:r>
          </w:p>
        </w:tc>
      </w:tr>
      <w:tr>
        <w:tc>
          <w:tcPr/>
          <w:p>
            <w:pPr>
              <w:pStyle w:val="Compact"/>
            </w:pPr>
            <w:r>
              <w:t xml:space="preserve">Table 2c (readmission outcomes)</w:t>
            </w:r>
          </w:p>
        </w:tc>
        <w:tc>
          <w:tcPr/>
          <w:p>
            <w:pPr>
              <w:pStyle w:val="Compact"/>
            </w:pPr>
            <w:r>
              <w:t xml:space="preserve">9</w:t>
            </w:r>
          </w:p>
        </w:tc>
        <w:tc>
          <w:tcPr/>
          <w:p>
            <w:pPr>
              <w:pStyle w:val="Compact"/>
            </w:pPr>
            <w:r>
              <w:t xml:space="preserve">0</w:t>
            </w:r>
          </w:p>
        </w:tc>
        <w:tc>
          <w:tcPr/>
          <w:p>
            <w:pPr>
              <w:pStyle w:val="Compact"/>
            </w:pPr>
            <w:r>
              <w:t xml:space="preserve">—</w:t>
            </w:r>
          </w:p>
        </w:tc>
      </w:tr>
      <w:tr>
        <w:tc>
          <w:tcPr/>
          <w:p>
            <w:pPr>
              <w:pStyle w:val="Compact"/>
            </w:pPr>
            <w:r>
              <w:t xml:space="preserve">Table 2d (AKI, unexposed)</w:t>
            </w:r>
          </w:p>
        </w:tc>
        <w:tc>
          <w:tcPr/>
          <w:p>
            <w:pPr>
              <w:pStyle w:val="Compact"/>
            </w:pPr>
            <w:r>
              <w:t xml:space="preserve">2</w:t>
            </w:r>
          </w:p>
        </w:tc>
        <w:tc>
          <w:tcPr/>
          <w:p>
            <w:pPr>
              <w:pStyle w:val="Compact"/>
            </w:pPr>
            <w:r>
              <w:t xml:space="preserve">0</w:t>
            </w:r>
          </w:p>
        </w:tc>
        <w:tc>
          <w:tcPr/>
          <w:p>
            <w:pPr>
              <w:pStyle w:val="Compact"/>
            </w:pPr>
            <w:r>
              <w:t xml:space="preserve">—</w:t>
            </w:r>
          </w:p>
        </w:tc>
      </w:tr>
      <w:tr>
        <w:tc>
          <w:tcPr/>
          <w:p>
            <w:pPr>
              <w:pStyle w:val="Compact"/>
            </w:pPr>
            <w:r>
              <w:t xml:space="preserve">Table 3 (primary model)</w:t>
            </w:r>
          </w:p>
        </w:tc>
        <w:tc>
          <w:tcPr/>
          <w:p>
            <w:pPr>
              <w:pStyle w:val="Compact"/>
            </w:pPr>
            <w:r>
              <w:t xml:space="preserve">6</w:t>
            </w:r>
          </w:p>
        </w:tc>
        <w:tc>
          <w:tcPr/>
          <w:p>
            <w:pPr>
              <w:pStyle w:val="Compact"/>
            </w:pPr>
            <w:r>
              <w:t xml:space="preserve">0</w:t>
            </w:r>
          </w:p>
        </w:tc>
        <w:tc>
          <w:tcPr/>
          <w:p>
            <w:pPr>
              <w:pStyle w:val="Compact"/>
            </w:pPr>
            <w:r>
              <w:t xml:space="preserve">—</w:t>
            </w:r>
          </w:p>
        </w:tc>
      </w:tr>
      <w:tr>
        <w:tc>
          <w:tcPr/>
          <w:p>
            <w:pPr>
              <w:pStyle w:val="Compact"/>
            </w:pPr>
            <w:r>
              <w:t xml:space="preserve">Table 3b (co-primary estimators)</w:t>
            </w:r>
          </w:p>
        </w:tc>
        <w:tc>
          <w:tcPr/>
          <w:p>
            <w:pPr>
              <w:pStyle w:val="Compact"/>
            </w:pPr>
            <w:r>
              <w:t xml:space="preserve">2</w:t>
            </w:r>
          </w:p>
        </w:tc>
        <w:tc>
          <w:tcPr/>
          <w:p>
            <w:pPr>
              <w:pStyle w:val="Compact"/>
            </w:pPr>
            <w:r>
              <w:t xml:space="preserve">0</w:t>
            </w:r>
          </w:p>
        </w:tc>
        <w:tc>
          <w:tcPr/>
          <w:p>
            <w:pPr>
              <w:pStyle w:val="Compact"/>
            </w:pPr>
            <w:r>
              <w:t xml:space="preserve">—</w:t>
            </w:r>
          </w:p>
        </w:tc>
      </w:tr>
      <w:tr>
        <w:tc>
          <w:tcPr/>
          <w:p>
            <w:pPr>
              <w:pStyle w:val="Compact"/>
            </w:pPr>
            <w:r>
              <w:t xml:space="preserve">Table 3c (events per parameter)</w:t>
            </w:r>
          </w:p>
        </w:tc>
        <w:tc>
          <w:tcPr/>
          <w:p>
            <w:pPr>
              <w:pStyle w:val="Compact"/>
            </w:pPr>
            <w:r>
              <w:t xml:space="preserve">4</w:t>
            </w:r>
          </w:p>
        </w:tc>
        <w:tc>
          <w:tcPr/>
          <w:p>
            <w:pPr>
              <w:pStyle w:val="Compact"/>
            </w:pPr>
            <w:r>
              <w:t xml:space="preserve">0</w:t>
            </w:r>
          </w:p>
        </w:tc>
        <w:tc>
          <w:tcPr/>
          <w:p>
            <w:pPr>
              <w:pStyle w:val="Compact"/>
            </w:pPr>
            <w:r>
              <w:t xml:space="preserve">—</w:t>
            </w:r>
          </w:p>
        </w:tc>
      </w:tr>
      <w:tr>
        <w:tc>
          <w:tcPr/>
          <w:p>
            <w:pPr>
              <w:pStyle w:val="Compact"/>
            </w:pPr>
            <w:r>
              <w:t xml:space="preserve">Table 4 (sequential models)</w:t>
            </w:r>
          </w:p>
        </w:tc>
        <w:tc>
          <w:tcPr/>
          <w:p>
            <w:pPr>
              <w:pStyle w:val="Compact"/>
            </w:pPr>
            <w:r>
              <w:t xml:space="preserve">5</w:t>
            </w:r>
          </w:p>
        </w:tc>
        <w:tc>
          <w:tcPr/>
          <w:p>
            <w:pPr>
              <w:pStyle w:val="Compact"/>
            </w:pPr>
            <w:r>
              <w:t xml:space="preserve">0</w:t>
            </w:r>
          </w:p>
        </w:tc>
        <w:tc>
          <w:tcPr/>
          <w:p>
            <w:pPr>
              <w:pStyle w:val="Compact"/>
            </w:pPr>
            <w:r>
              <w:t xml:space="preserve">—</w:t>
            </w:r>
          </w:p>
        </w:tc>
      </w:tr>
      <w:tr>
        <w:tc>
          <w:tcPr/>
          <w:p>
            <w:pPr>
              <w:pStyle w:val="Compact"/>
            </w:pPr>
            <w:r>
              <w:t xml:space="preserve">Table S2 (coefficients)</w:t>
            </w:r>
          </w:p>
        </w:tc>
        <w:tc>
          <w:tcPr/>
          <w:p>
            <w:pPr>
              <w:pStyle w:val="Compact"/>
            </w:pPr>
            <w:r>
              <w:t xml:space="preserve">42</w:t>
            </w:r>
          </w:p>
        </w:tc>
        <w:tc>
          <w:tcPr/>
          <w:p>
            <w:pPr>
              <w:pStyle w:val="Compact"/>
            </w:pPr>
            <w:r>
              <w:t xml:space="preserve">0</w:t>
            </w:r>
          </w:p>
        </w:tc>
        <w:tc>
          <w:tcPr/>
          <w:p>
            <w:pPr>
              <w:pStyle w:val="Compact"/>
            </w:pPr>
            <w:r>
              <w:t xml:space="preserve">—</w:t>
            </w:r>
          </w:p>
        </w:tc>
      </w:tr>
      <w:tr>
        <w:tc>
          <w:tcPr/>
          <w:p>
            <w:pPr>
              <w:pStyle w:val="Compact"/>
            </w:pPr>
            <w:r>
              <w:t xml:space="preserve">Table 3e (balance)</w:t>
            </w:r>
          </w:p>
        </w:tc>
        <w:tc>
          <w:tcPr/>
          <w:p>
            <w:pPr>
              <w:pStyle w:val="Compact"/>
            </w:pPr>
            <w:r>
              <w:t xml:space="preserve">0</w:t>
            </w:r>
          </w:p>
        </w:tc>
        <w:tc>
          <w:tcPr/>
          <w:p>
            <w:pPr>
              <w:pStyle w:val="Compact"/>
            </w:pPr>
            <w:r>
              <w:t xml:space="preserve">0</w:t>
            </w:r>
          </w:p>
        </w:tc>
        <w:tc>
          <w:tcPr/>
          <w:p>
            <w:pPr>
              <w:pStyle w:val="Compact"/>
            </w:pPr>
            <w:r>
              <w:t xml:space="preserve">—</w:t>
            </w:r>
          </w:p>
        </w:tc>
      </w:tr>
      <w:tr>
        <w:tc>
          <w:tcPr/>
          <w:p>
            <w:pPr>
              <w:pStyle w:val="Compact"/>
            </w:pPr>
            <w:r>
              <w:t xml:space="preserve">Table 4b (secondary outcomes)</w:t>
            </w:r>
          </w:p>
        </w:tc>
        <w:tc>
          <w:tcPr/>
          <w:p>
            <w:pPr>
              <w:pStyle w:val="Compact"/>
            </w:pPr>
            <w:r>
              <w:t xml:space="preserve">13</w:t>
            </w:r>
          </w:p>
        </w:tc>
        <w:tc>
          <w:tcPr/>
          <w:p>
            <w:pPr>
              <w:pStyle w:val="Compact"/>
            </w:pPr>
            <w:r>
              <w:t xml:space="preserve">0</w:t>
            </w:r>
          </w:p>
        </w:tc>
        <w:tc>
          <w:tcPr/>
          <w:p>
            <w:pPr>
              <w:pStyle w:val="Compact"/>
            </w:pPr>
            <w:r>
              <w:t xml:space="preserve">—</w:t>
            </w:r>
          </w:p>
        </w:tc>
      </w:tr>
      <w:tr>
        <w:tc>
          <w:tcPr/>
          <w:p>
            <w:pPr>
              <w:pStyle w:val="Compact"/>
            </w:pPr>
            <w:r>
              <w:t xml:space="preserve">Table 5 (cause of readmission)</w:t>
            </w:r>
          </w:p>
        </w:tc>
        <w:tc>
          <w:tcPr/>
          <w:p>
            <w:pPr>
              <w:pStyle w:val="Compact"/>
            </w:pPr>
            <w:r>
              <w:t xml:space="preserve">12</w:t>
            </w:r>
          </w:p>
        </w:tc>
        <w:tc>
          <w:tcPr/>
          <w:p>
            <w:pPr>
              <w:pStyle w:val="Compact"/>
            </w:pPr>
            <w:r>
              <w:t xml:space="preserve">0</w:t>
            </w:r>
          </w:p>
        </w:tc>
        <w:tc>
          <w:tcPr/>
          <w:p>
            <w:pPr>
              <w:pStyle w:val="Compact"/>
            </w:pPr>
            <w:r>
              <w:t xml:space="preserve">—</w:t>
            </w:r>
          </w:p>
        </w:tc>
      </w:tr>
      <w:tr>
        <w:tc>
          <w:tcPr/>
          <w:p>
            <w:pPr>
              <w:pStyle w:val="Compact"/>
            </w:pPr>
            <w:r>
              <w:t xml:space="preserve">Table 5b (subgroups)</w:t>
            </w:r>
          </w:p>
        </w:tc>
        <w:tc>
          <w:tcPr/>
          <w:p>
            <w:pPr>
              <w:pStyle w:val="Compact"/>
            </w:pPr>
            <w:r>
              <w:t xml:space="preserve">32</w:t>
            </w:r>
          </w:p>
        </w:tc>
        <w:tc>
          <w:tcPr/>
          <w:p>
            <w:pPr>
              <w:pStyle w:val="Compact"/>
            </w:pPr>
            <w:r>
              <w:t xml:space="preserve">0</w:t>
            </w:r>
          </w:p>
        </w:tc>
        <w:tc>
          <w:tcPr/>
          <w:p>
            <w:pPr>
              <w:pStyle w:val="Compact"/>
            </w:pPr>
            <w:r>
              <w:t xml:space="preserve">—</w:t>
            </w:r>
          </w:p>
        </w:tc>
      </w:tr>
      <w:tr>
        <w:tc>
          <w:tcPr/>
          <w:p>
            <w:pPr>
              <w:pStyle w:val="Compact"/>
            </w:pPr>
            <w:r>
              <w:t xml:space="preserve">Table S3 (temporal trends)</w:t>
            </w:r>
          </w:p>
        </w:tc>
        <w:tc>
          <w:tcPr/>
          <w:p>
            <w:pPr>
              <w:pStyle w:val="Compact"/>
            </w:pPr>
            <w:r>
              <w:t xml:space="preserve">7</w:t>
            </w:r>
          </w:p>
        </w:tc>
        <w:tc>
          <w:tcPr/>
          <w:p>
            <w:pPr>
              <w:pStyle w:val="Compact"/>
            </w:pPr>
            <w:r>
              <w:t xml:space="preserve">0</w:t>
            </w:r>
          </w:p>
        </w:tc>
        <w:tc>
          <w:tcPr/>
          <w:p>
            <w:pPr>
              <w:pStyle w:val="Compact"/>
            </w:pPr>
            <w:r>
              <w:t xml:space="preserve">—</w:t>
            </w:r>
          </w:p>
        </w:tc>
      </w:tr>
      <w:tr>
        <w:tc>
          <w:tcPr/>
          <w:p>
            <w:pPr>
              <w:pStyle w:val="Compact"/>
            </w:pPr>
            <w:r>
              <w:t xml:space="preserve">Table 6 (sensitivity)</w:t>
            </w:r>
          </w:p>
        </w:tc>
        <w:tc>
          <w:tcPr/>
          <w:p>
            <w:pPr>
              <w:pStyle w:val="Compact"/>
            </w:pPr>
            <w:r>
              <w:t xml:space="preserve">10</w:t>
            </w:r>
          </w:p>
        </w:tc>
        <w:tc>
          <w:tcPr/>
          <w:p>
            <w:pPr>
              <w:pStyle w:val="Compact"/>
            </w:pPr>
            <w:r>
              <w:t xml:space="preserve">0</w:t>
            </w:r>
          </w:p>
        </w:tc>
        <w:tc>
          <w:tcPr/>
          <w:p>
            <w:pPr>
              <w:pStyle w:val="Compact"/>
            </w:pPr>
            <w:r>
              <w:t xml:space="preserve">—</w:t>
            </w:r>
          </w:p>
        </w:tc>
      </w:tr>
      <w:tr>
        <w:tc>
          <w:tcPr/>
          <w:p>
            <w:pPr>
              <w:pStyle w:val="Compact"/>
            </w:pPr>
            <w:r>
              <w:t xml:space="preserve">Table 6b (negative control)</w:t>
            </w:r>
          </w:p>
        </w:tc>
        <w:tc>
          <w:tcPr/>
          <w:p>
            <w:pPr>
              <w:pStyle w:val="Compact"/>
            </w:pPr>
            <w:r>
              <w:t xml:space="preserve">1</w:t>
            </w:r>
          </w:p>
        </w:tc>
        <w:tc>
          <w:tcPr/>
          <w:p>
            <w:pPr>
              <w:pStyle w:val="Compact"/>
            </w:pPr>
            <w:r>
              <w:t xml:space="preserve">0</w:t>
            </w:r>
          </w:p>
        </w:tc>
        <w:tc>
          <w:tcPr/>
          <w:p>
            <w:pPr>
              <w:pStyle w:val="Compact"/>
            </w:pPr>
            <w:r>
              <w:t xml:space="preserve">—</w:t>
            </w:r>
          </w:p>
        </w:tc>
      </w:tr>
      <w:tr>
        <w:tc>
          <w:tcPr/>
          <w:p>
            <w:pPr>
              <w:pStyle w:val="Compact"/>
            </w:pPr>
            <w:r>
              <w:t xml:space="preserve">Figure 4 at-risk table</w:t>
            </w:r>
          </w:p>
        </w:tc>
        <w:tc>
          <w:tcPr/>
          <w:p>
            <w:pPr>
              <w:pStyle w:val="Compact"/>
            </w:pPr>
            <w:r>
              <w:t xml:space="preserve">8</w:t>
            </w:r>
          </w:p>
        </w:tc>
        <w:tc>
          <w:tcPr/>
          <w:p>
            <w:pPr>
              <w:pStyle w:val="Compact"/>
            </w:pPr>
            <w:r>
              <w:t xml:space="preserve">0</w:t>
            </w:r>
          </w:p>
        </w:tc>
        <w:tc>
          <w:tcPr/>
          <w:p>
            <w:pPr>
              <w:pStyle w:val="Compact"/>
            </w:pPr>
            <w:r>
              <w:t xml:space="preserve">—</w:t>
            </w:r>
          </w:p>
        </w:tc>
      </w:tr>
      <w:tr>
        <w:tc>
          <w:tcPr/>
          <w:p>
            <w:pPr>
              <w:pStyle w:val="Compact"/>
            </w:pPr>
            <w:r>
              <w:t xml:space="preserve">Table S1 (design)</w:t>
            </w:r>
          </w:p>
        </w:tc>
        <w:tc>
          <w:tcPr/>
          <w:p>
            <w:pPr>
              <w:pStyle w:val="Compact"/>
            </w:pPr>
            <w:r>
              <w:t xml:space="preserve">2</w:t>
            </w:r>
          </w:p>
        </w:tc>
        <w:tc>
          <w:tcPr/>
          <w:p>
            <w:pPr>
              <w:pStyle w:val="Compact"/>
            </w:pPr>
            <w:r>
              <w:t xml:space="preserve">0</w:t>
            </w:r>
          </w:p>
        </w:tc>
        <w:tc>
          <w:tcPr/>
          <w:p>
            <w:pPr>
              <w:pStyle w:val="Compact"/>
            </w:pPr>
            <w:r>
              <w:t xml:space="preserve">—</w:t>
            </w:r>
          </w:p>
        </w:tc>
      </w:tr>
      <w:tr>
        <w:tc>
          <w:tcPr/>
          <w:p>
            <w:pPr>
              <w:pStyle w:val="Compact"/>
            </w:pPr>
            <w:r>
              <w:t xml:space="preserve">Table S4 (diagnostics)</w:t>
            </w:r>
          </w:p>
        </w:tc>
        <w:tc>
          <w:tcPr/>
          <w:p>
            <w:pPr>
              <w:pStyle w:val="Compact"/>
            </w:pPr>
            <w:r>
              <w:t xml:space="preserve">0</w:t>
            </w:r>
          </w:p>
        </w:tc>
        <w:tc>
          <w:tcPr/>
          <w:p>
            <w:pPr>
              <w:pStyle w:val="Compact"/>
            </w:pPr>
            <w:r>
              <w:t xml:space="preserve">0</w:t>
            </w:r>
          </w:p>
        </w:tc>
        <w:tc>
          <w:tcPr/>
          <w:p>
            <w:pPr>
              <w:pStyle w:val="Compact"/>
            </w:pPr>
            <w:r>
              <w:t xml:space="preserve">—</w:t>
            </w:r>
          </w:p>
        </w:tc>
      </w:tr>
      <w:tr>
        <w:tc>
          <w:tcPr/>
          <w:p>
            <w:pPr>
              <w:pStyle w:val="Compact"/>
            </w:pPr>
            <w:r>
              <w:t xml:space="preserve">Table S4b (VIF)</w:t>
            </w:r>
          </w:p>
        </w:tc>
        <w:tc>
          <w:tcPr/>
          <w:p>
            <w:pPr>
              <w:pStyle w:val="Compact"/>
            </w:pPr>
            <w:r>
              <w:t xml:space="preserve">0</w:t>
            </w:r>
          </w:p>
        </w:tc>
        <w:tc>
          <w:tcPr/>
          <w:p>
            <w:pPr>
              <w:pStyle w:val="Compact"/>
            </w:pPr>
            <w:r>
              <w:t xml:space="preserve">0</w:t>
            </w:r>
          </w:p>
        </w:tc>
        <w:tc>
          <w:tcPr/>
          <w:p>
            <w:pPr>
              <w:pStyle w:val="Compact"/>
            </w:pPr>
            <w:r>
              <w:t xml:space="preserve">—</w:t>
            </w:r>
          </w:p>
        </w:tc>
      </w:tr>
      <w:tr>
        <w:tc>
          <w:tcPr/>
          <w:p>
            <w:pPr>
              <w:pStyle w:val="Compact"/>
            </w:pPr>
            <w:r>
              <w:t xml:space="preserve">Table 3d (g-computation cross-check)</w:t>
            </w:r>
          </w:p>
        </w:tc>
        <w:tc>
          <w:tcPr/>
          <w:p>
            <w:pPr>
              <w:pStyle w:val="Compact"/>
            </w:pPr>
            <w:r>
              <w:t xml:space="preserve">0</w:t>
            </w:r>
          </w:p>
        </w:tc>
        <w:tc>
          <w:tcPr/>
          <w:p>
            <w:pPr>
              <w:pStyle w:val="Compact"/>
            </w:pPr>
            <w:r>
              <w:t xml:space="preserve">0</w:t>
            </w:r>
          </w:p>
        </w:tc>
        <w:tc>
          <w:tcPr/>
          <w:p>
            <w:pPr>
              <w:pStyle w:val="Compact"/>
            </w:pPr>
            <w:r>
              <w:t xml:space="preserve">—</w:t>
            </w:r>
          </w:p>
        </w:tc>
      </w:tr>
      <w:tr>
        <w:tc>
          <w:tcPr/>
          <w:p>
            <w:pPr>
              <w:pStyle w:val="Compact"/>
            </w:pPr>
            <w:r>
              <w:t xml:space="preserve">Feasibility of planned analyses</w:t>
            </w:r>
          </w:p>
        </w:tc>
        <w:tc>
          <w:tcPr/>
          <w:p>
            <w:pPr>
              <w:pStyle w:val="Compact"/>
            </w:pPr>
            <w:r>
              <w:t xml:space="preserve">16</w:t>
            </w:r>
          </w:p>
        </w:tc>
        <w:tc>
          <w:tcPr/>
          <w:p>
            <w:pPr>
              <w:pStyle w:val="Compact"/>
            </w:pPr>
            <w:r>
              <w:t xml:space="preserve">0</w:t>
            </w:r>
          </w:p>
        </w:tc>
        <w:tc>
          <w:tcPr/>
          <w:p>
            <w:pPr>
              <w:pStyle w:val="Compact"/>
            </w:pPr>
            <w:r>
              <w:t xml:space="preserve">—</w:t>
            </w:r>
          </w:p>
        </w:tc>
      </w:tr>
    </w:tbl>
    <w:p>
      <w:pPr>
        <w:pStyle w:val="BodyText"/>
      </w:pPr>
      <w:r>
        <w:t xml:space="preserve"> </w:t>
      </w:r>
    </w:p>
    <w:p>
      <w:pPr>
        <w:pStyle w:val="TableCaption"/>
      </w:pPr>
      <w:r>
        <w:t xml:space="preserve">Self-test of the scanner in both directions.</w:t>
      </w:r>
    </w:p>
    <w:tbl>
      <w:tblPr>
        <w:tblStyle w:val="Table"/>
        <w:tblW w:type="pct" w:w="5000"/>
        <w:tblLayout w:type="fixed"/>
        <w:tblLook w:firstRow="1" w:lastRow="0" w:firstColumn="0" w:lastColumn="0" w:noHBand="0" w:noVBand="0" w:val="0020"/>
        <w:tblCaption w:val="Self-test of the scanner in both directions."/>
      </w:tblPr>
      <w:tblGrid>
        <w:gridCol w:w="5349"/>
        <w:gridCol w:w="1320"/>
        <w:gridCol w:w="833"/>
        <w:gridCol w:w="416"/>
      </w:tblGrid>
      <w:tr>
        <w:trPr>
          <w:tblHeader w:val="on"/>
        </w:trPr>
        <w:tc>
          <w:tcPr/>
          <w:p>
            <w:pPr>
              <w:pStyle w:val="Compact"/>
            </w:pPr>
            <w:r>
              <w:t xml:space="preserve">Test</w:t>
            </w:r>
          </w:p>
        </w:tc>
        <w:tc>
          <w:tcPr/>
          <w:p>
            <w:pPr>
              <w:pStyle w:val="Compact"/>
            </w:pPr>
            <w:r>
              <w:t xml:space="preserve">Direction</w:t>
            </w:r>
          </w:p>
        </w:tc>
        <w:tc>
          <w:tcPr/>
          <w:p>
            <w:pPr>
              <w:pStyle w:val="Compact"/>
            </w:pPr>
            <w:r>
              <w:t xml:space="preserve">Violations</w:t>
            </w:r>
          </w:p>
        </w:tc>
        <w:tc>
          <w:tcPr/>
          <w:p>
            <w:pPr>
              <w:pStyle w:val="Compact"/>
            </w:pPr>
            <w:r>
              <w:t xml:space="preserve">pass</w:t>
            </w:r>
          </w:p>
        </w:tc>
      </w:tr>
      <w:tr>
        <w:tc>
          <w:tcPr/>
          <w:p>
            <w:pPr>
              <w:pStyle w:val="Compact"/>
            </w:pPr>
            <w:r>
              <w:t xml:space="preserve">Injected a parenthesised count of seven into a Table 1 cell is caught</w:t>
            </w:r>
          </w:p>
        </w:tc>
        <w:tc>
          <w:tcPr/>
          <w:p>
            <w:pPr>
              <w:pStyle w:val="Compact"/>
            </w:pPr>
            <w:r>
              <w:t xml:space="preserve">Must FAIL (catch)</w:t>
            </w:r>
          </w:p>
        </w:tc>
        <w:tc>
          <w:tcPr/>
          <w:p>
            <w:pPr>
              <w:pStyle w:val="Compact"/>
            </w:pPr>
            <w:r>
              <w:t xml:space="preserve">1</w:t>
            </w:r>
          </w:p>
        </w:tc>
        <w:tc>
          <w:tcPr/>
          <w:p>
            <w:pPr>
              <w:pStyle w:val="Compact"/>
            </w:pPr>
            <w:r>
              <w:t xml:space="preserve">TRUE</w:t>
            </w:r>
          </w:p>
        </w:tc>
      </w:tr>
      <w:tr>
        <w:tc>
          <w:tcPr/>
          <w:p>
            <w:pPr>
              <w:pStyle w:val="Compact"/>
            </w:pPr>
            <w:r>
              <w:t xml:space="preserve">Injected a bare count of eight in a subgroup n column is caught</w:t>
            </w:r>
          </w:p>
        </w:tc>
        <w:tc>
          <w:tcPr/>
          <w:p>
            <w:pPr>
              <w:pStyle w:val="Compact"/>
            </w:pPr>
            <w:r>
              <w:t xml:space="preserve">Must FAIL (catch)</w:t>
            </w:r>
          </w:p>
        </w:tc>
        <w:tc>
          <w:tcPr/>
          <w:p>
            <w:pPr>
              <w:pStyle w:val="Compact"/>
            </w:pPr>
            <w:r>
              <w:t xml:space="preserve">1</w:t>
            </w:r>
          </w:p>
        </w:tc>
        <w:tc>
          <w:tcPr/>
          <w:p>
            <w:pPr>
              <w:pStyle w:val="Compact"/>
            </w:pPr>
            <w:r>
              <w:t xml:space="preserve">TRUE</w:t>
            </w:r>
          </w:p>
        </w:tc>
      </w:tr>
      <w:tr>
        <w:tc>
          <w:tcPr/>
          <w:p>
            <w:pPr>
              <w:pStyle w:val="Compact"/>
            </w:pPr>
            <w:r>
              <w:t xml:space="preserve">Injected a smallest-cell value of five on a Table 3b model row is caught</w:t>
            </w:r>
          </w:p>
        </w:tc>
        <w:tc>
          <w:tcPr/>
          <w:p>
            <w:pPr>
              <w:pStyle w:val="Compact"/>
            </w:pPr>
            <w:r>
              <w:t xml:space="preserve">Must FAIL (catch)</w:t>
            </w:r>
          </w:p>
        </w:tc>
        <w:tc>
          <w:tcPr/>
          <w:p>
            <w:pPr>
              <w:pStyle w:val="Compact"/>
            </w:pPr>
            <w:r>
              <w:t xml:space="preserve">1</w:t>
            </w:r>
          </w:p>
        </w:tc>
        <w:tc>
          <w:tcPr/>
          <w:p>
            <w:pPr>
              <w:pStyle w:val="Compact"/>
            </w:pPr>
            <w:r>
              <w:t xml:space="preserve">TRUE</w:t>
            </w:r>
          </w:p>
        </w:tc>
      </w:tr>
      <w:tr>
        <w:tc>
          <w:tcPr/>
          <w:p>
            <w:pPr>
              <w:pStyle w:val="Compact"/>
            </w:pPr>
            <w:r>
              <w:t xml:space="preserve">Injected a header count of nine in Table 5 is caught</w:t>
            </w:r>
          </w:p>
        </w:tc>
        <w:tc>
          <w:tcPr/>
          <w:p>
            <w:pPr>
              <w:pStyle w:val="Compact"/>
            </w:pPr>
            <w:r>
              <w:t xml:space="preserve">Must FAIL (catch)</w:t>
            </w:r>
          </w:p>
        </w:tc>
        <w:tc>
          <w:tcPr/>
          <w:p>
            <w:pPr>
              <w:pStyle w:val="Compact"/>
            </w:pPr>
            <w:r>
              <w:t xml:space="preserve">1</w:t>
            </w:r>
          </w:p>
        </w:tc>
        <w:tc>
          <w:tcPr/>
          <w:p>
            <w:pPr>
              <w:pStyle w:val="Compact"/>
            </w:pPr>
            <w:r>
              <w:t xml:space="preserve">TRUE</w:t>
            </w:r>
          </w:p>
        </w:tc>
      </w:tr>
      <w:tr>
        <w:tc>
          <w:tcPr/>
          <w:p>
            <w:pPr>
              <w:pStyle w:val="Compact"/>
            </w:pPr>
            <w:r>
              <w:t xml:space="preserve">A clean table (all counts &gt;= 11 or marked suppressed) passes</w:t>
            </w:r>
          </w:p>
        </w:tc>
        <w:tc>
          <w:tcPr/>
          <w:p>
            <w:pPr>
              <w:pStyle w:val="Compact"/>
            </w:pPr>
            <w:r>
              <w:t xml:space="preserve">Must PASS</w:t>
            </w:r>
          </w:p>
        </w:tc>
        <w:tc>
          <w:tcPr/>
          <w:p>
            <w:pPr>
              <w:pStyle w:val="Compact"/>
            </w:pPr>
            <w:r>
              <w:t xml:space="preserve">0</w:t>
            </w:r>
          </w:p>
        </w:tc>
        <w:tc>
          <w:tcPr/>
          <w:p>
            <w:pPr>
              <w:pStyle w:val="Compact"/>
            </w:pPr>
            <w:r>
              <w:t xml:space="preserve">TRUE</w:t>
            </w:r>
          </w:p>
        </w:tc>
      </w:tr>
      <w:tr>
        <w:tc>
          <w:tcPr/>
          <w:p>
            <w:pPr>
              <w:pStyle w:val="Compact"/>
            </w:pPr>
            <w:r>
              <w:t xml:space="preserve">Complementary suppression leaves no row or column with a single hidden cell</w:t>
            </w:r>
          </w:p>
        </w:tc>
        <w:tc>
          <w:tcPr/>
          <w:p>
            <w:pPr>
              <w:pStyle w:val="Compact"/>
            </w:pPr>
            <w:r>
              <w:t xml:space="preserve">Must hold</w:t>
            </w:r>
          </w:p>
        </w:tc>
        <w:tc>
          <w:tcPr/>
          <w:p>
            <w:pPr>
              <w:pStyle w:val="Compact"/>
            </w:pPr>
            <w:r>
              <w:t xml:space="preserve">—</w:t>
            </w:r>
          </w:p>
        </w:tc>
        <w:tc>
          <w:tcPr/>
          <w:p>
            <w:pPr>
              <w:pStyle w:val="Compact"/>
            </w:pPr>
            <w:r>
              <w:t xml:space="preserve">TRUE</w:t>
            </w:r>
          </w:p>
        </w:tc>
      </w:tr>
    </w:tbl>
    <w:p>
      <w:pPr>
        <w:pStyle w:val="BodyText"/>
      </w:pPr>
      <w:r>
        <w:rPr>
          <w:b/>
          <w:bCs/>
        </w:rPr>
        <w:t xml:space="preserve">PASS.</w:t>
      </w:r>
      <w:r>
        <w:t xml:space="preserve"> </w:t>
      </w:r>
      <w:r>
        <w:t xml:space="preserve">400 cells scanned across 26 rendered tables; zero unsuppressed cells below 11 unweighted discharges, and the scanner catches every injected small cell.</w:t>
      </w:r>
    </w:p>
    <w:bookmarkEnd w:id="68"/>
    <w:bookmarkStart w:id="69" w:name="denominator-guards"/>
    <w:p>
      <w:pPr>
        <w:pStyle w:val="Heading2"/>
      </w:pPr>
      <w:r>
        <w:t xml:space="preserve">8.3 Denominator guards</w:t>
      </w:r>
    </w:p>
    <w:p>
      <w:pPr>
        <w:pStyle w:val="TableCaption"/>
      </w:pPr>
      <w:r>
        <w:t xml:space="preserve">Denominator guards (the report does not render if any fails).</w:t>
      </w:r>
    </w:p>
    <w:tbl>
      <w:tblPr>
        <w:tblStyle w:val="Table"/>
        <w:tblW w:type="pct" w:w="5000"/>
        <w:tblLayout w:type="fixed"/>
        <w:tblLook w:firstRow="1" w:lastRow="0" w:firstColumn="0" w:lastColumn="0" w:noHBand="0" w:noVBand="0" w:val="0020"/>
        <w:tblCaption w:val="Denominator guards (the report does not render if any fails)."/>
      </w:tblPr>
      <w:tblGrid>
        <w:gridCol w:w="5804"/>
        <w:gridCol w:w="1279"/>
        <w:gridCol w:w="541"/>
        <w:gridCol w:w="295"/>
      </w:tblGrid>
      <w:tr>
        <w:trPr>
          <w:tblHeader w:val="on"/>
        </w:trPr>
        <w:tc>
          <w:tcPr/>
          <w:p>
            <w:pPr>
              <w:pStyle w:val="Compact"/>
            </w:pPr>
            <w:r>
              <w:t xml:space="preserve">check</w:t>
            </w:r>
          </w:p>
        </w:tc>
        <w:tc>
          <w:tcPr/>
          <w:p>
            <w:pPr>
              <w:pStyle w:val="Compact"/>
            </w:pPr>
            <w:r>
              <w:t xml:space="preserve">observed</w:t>
            </w:r>
          </w:p>
        </w:tc>
        <w:tc>
          <w:tcPr/>
          <w:p>
            <w:pPr>
              <w:pStyle w:val="Compact"/>
            </w:pPr>
            <w:r>
              <w:t xml:space="preserve">expected</w:t>
            </w:r>
          </w:p>
        </w:tc>
        <w:tc>
          <w:tcPr/>
          <w:p>
            <w:pPr>
              <w:pStyle w:val="Compact"/>
            </w:pPr>
            <w:r>
              <w:t xml:space="preserve">pass</w:t>
            </w:r>
          </w:p>
        </w:tc>
      </w:tr>
      <w:tr>
        <w:tc>
          <w:tcPr/>
          <w:p>
            <w:pPr>
              <w:pStyle w:val="Compact"/>
            </w:pPr>
            <w:r>
              <w:t xml:space="preserve">Analytic design rows = attrition final step (complete cases)</w:t>
            </w:r>
          </w:p>
        </w:tc>
        <w:tc>
          <w:tcPr/>
          <w:p>
            <w:pPr>
              <w:pStyle w:val="Compact"/>
            </w:pPr>
            <w:r>
              <w:t xml:space="preserve">101813</w:t>
            </w:r>
          </w:p>
        </w:tc>
        <w:tc>
          <w:tcPr/>
          <w:p>
            <w:pPr>
              <w:pStyle w:val="Compact"/>
            </w:pPr>
            <w:r>
              <w:t xml:space="preserve">101813</w:t>
            </w:r>
          </w:p>
        </w:tc>
        <w:tc>
          <w:tcPr/>
          <w:p>
            <w:pPr>
              <w:pStyle w:val="Compact"/>
            </w:pPr>
            <w:r>
              <w:t xml:space="preserve">TRUE</w:t>
            </w:r>
          </w:p>
        </w:tc>
      </w:tr>
      <w:tr>
        <w:tc>
          <w:tcPr/>
          <w:p>
            <w:pPr>
              <w:pStyle w:val="Compact"/>
            </w:pPr>
            <w:r>
              <w:t xml:space="preserve">Index design rows before complete-case step = attrition step 7</w:t>
            </w:r>
          </w:p>
        </w:tc>
        <w:tc>
          <w:tcPr/>
          <w:p>
            <w:pPr>
              <w:pStyle w:val="Compact"/>
            </w:pPr>
            <w:r>
              <w:t xml:space="preserve">101865</w:t>
            </w:r>
          </w:p>
        </w:tc>
        <w:tc>
          <w:tcPr/>
          <w:p>
            <w:pPr>
              <w:pStyle w:val="Compact"/>
            </w:pPr>
            <w:r>
              <w:t xml:space="preserve">101865</w:t>
            </w:r>
          </w:p>
        </w:tc>
        <w:tc>
          <w:tcPr/>
          <w:p>
            <w:pPr>
              <w:pStyle w:val="Compact"/>
            </w:pPr>
            <w:r>
              <w:t xml:space="preserve">TRUE</w:t>
            </w:r>
          </w:p>
        </w:tc>
      </w:tr>
      <w:tr>
        <w:tc>
          <w:tcPr/>
          <w:p>
            <w:pPr>
              <w:pStyle w:val="Compact"/>
            </w:pPr>
            <w:r>
              <w:t xml:space="preserve">Attrition: every</w:t>
            </w:r>
            <w:r>
              <w:t xml:space="preserve"> </w:t>
            </w:r>
            <w:r>
              <w:t xml:space="preserve">‘excluded’</w:t>
            </w:r>
            <w:r>
              <w:t xml:space="preserve"> </w:t>
            </w:r>
            <w:r>
              <w:t xml:space="preserve">= difference of</w:t>
            </w:r>
            <w:r>
              <w:t xml:space="preserve"> </w:t>
            </w:r>
            <w:r>
              <w:t xml:space="preserve">‘remaining’</w:t>
            </w:r>
          </w:p>
        </w:tc>
        <w:tc>
          <w:tcPr/>
          <w:p>
            <w:pPr>
              <w:pStyle w:val="Compact"/>
            </w:pPr>
            <w:r>
              <w:t xml:space="preserve">checked</w:t>
            </w:r>
          </w:p>
        </w:tc>
        <w:tc>
          <w:tcPr/>
          <w:p>
            <w:pPr>
              <w:pStyle w:val="Compact"/>
            </w:pPr>
            <w:r>
              <w:t xml:space="preserve">all equal</w:t>
            </w:r>
          </w:p>
        </w:tc>
        <w:tc>
          <w:tcPr/>
          <w:p>
            <w:pPr>
              <w:pStyle w:val="Compact"/>
            </w:pPr>
            <w:r>
              <w:t xml:space="preserve">TRUE</w:t>
            </w:r>
          </w:p>
        </w:tc>
      </w:tr>
      <w:tr>
        <w:tc>
          <w:tcPr/>
          <w:p>
            <w:pPr>
              <w:pStyle w:val="Compact"/>
            </w:pPr>
            <w:r>
              <w:t xml:space="preserve">Attrition is non-increasing</w:t>
            </w:r>
          </w:p>
        </w:tc>
        <w:tc>
          <w:tcPr/>
          <w:p>
            <w:pPr>
              <w:pStyle w:val="Compact"/>
            </w:pPr>
            <w:r>
              <w:t xml:space="preserve">checked</w:t>
            </w:r>
          </w:p>
        </w:tc>
        <w:tc>
          <w:tcPr/>
          <w:p>
            <w:pPr>
              <w:pStyle w:val="Compact"/>
            </w:pPr>
            <w:r>
              <w:t xml:space="preserve">monotone</w:t>
            </w:r>
          </w:p>
        </w:tc>
        <w:tc>
          <w:tcPr/>
          <w:p>
            <w:pPr>
              <w:pStyle w:val="Compact"/>
            </w:pPr>
            <w:r>
              <w:t xml:space="preserve">TRUE</w:t>
            </w:r>
          </w:p>
        </w:tc>
      </w:tr>
      <w:tr>
        <w:tc>
          <w:tcPr/>
          <w:p>
            <w:pPr>
              <w:pStyle w:val="Compact"/>
            </w:pPr>
            <w:r>
              <w:t xml:space="preserve">No in-hospital deaths in the index cohort</w:t>
            </w:r>
          </w:p>
        </w:tc>
        <w:tc>
          <w:tcPr/>
          <w:p>
            <w:pPr>
              <w:pStyle w:val="Compact"/>
            </w:pPr>
            <w:r>
              <w:t xml:space="preserve">0</w:t>
            </w:r>
          </w:p>
        </w:tc>
        <w:tc>
          <w:tcPr/>
          <w:p>
            <w:pPr>
              <w:pStyle w:val="Compact"/>
            </w:pPr>
            <w:r>
              <w:t xml:space="preserve">0</w:t>
            </w:r>
          </w:p>
        </w:tc>
        <w:tc>
          <w:tcPr/>
          <w:p>
            <w:pPr>
              <w:pStyle w:val="Compact"/>
            </w:pPr>
            <w:r>
              <w:t xml:space="preserve">TRUE</w:t>
            </w:r>
          </w:p>
        </w:tc>
      </w:tr>
      <w:tr>
        <w:tc>
          <w:tcPr/>
          <w:p>
            <w:pPr>
              <w:pStyle w:val="Compact"/>
            </w:pPr>
            <w:r>
              <w:t xml:space="preserve">No December discharges / transfers out / concomitant surgery in the index cohort</w:t>
            </w:r>
          </w:p>
        </w:tc>
        <w:tc>
          <w:tcPr/>
          <w:p>
            <w:pPr>
              <w:pStyle w:val="Compact"/>
            </w:pPr>
            <w:r>
              <w:t xml:space="preserve">0</w:t>
            </w:r>
          </w:p>
        </w:tc>
        <w:tc>
          <w:tcPr/>
          <w:p>
            <w:pPr>
              <w:pStyle w:val="Compact"/>
            </w:pPr>
            <w:r>
              <w:t xml:space="preserve">0</w:t>
            </w:r>
          </w:p>
        </w:tc>
        <w:tc>
          <w:tcPr/>
          <w:p>
            <w:pPr>
              <w:pStyle w:val="Compact"/>
            </w:pPr>
            <w:r>
              <w:t xml:space="preserve">TRUE</w:t>
            </w:r>
          </w:p>
        </w:tc>
      </w:tr>
      <w:tr>
        <w:tc>
          <w:tcPr/>
          <w:p>
            <w:pPr>
              <w:pStyle w:val="Compact"/>
            </w:pPr>
            <w:r>
              <w:t xml:space="preserve">Levels of</w:t>
            </w:r>
            <w:r>
              <w:t xml:space="preserve"> </w:t>
            </w:r>
            <w:r>
              <w:t xml:space="preserve">‘Dialysis-dependent kidney failure’</w:t>
            </w:r>
            <w:r>
              <w:t xml:space="preserve"> </w:t>
            </w:r>
            <w:r>
              <w:t xml:space="preserve">sum to the analytic cohort</w:t>
            </w:r>
          </w:p>
        </w:tc>
        <w:tc>
          <w:tcPr/>
          <w:p>
            <w:pPr>
              <w:pStyle w:val="Compact"/>
            </w:pPr>
            <w:r>
              <w:t xml:space="preserve">101813</w:t>
            </w:r>
          </w:p>
        </w:tc>
        <w:tc>
          <w:tcPr/>
          <w:p>
            <w:pPr>
              <w:pStyle w:val="Compact"/>
            </w:pPr>
            <w:r>
              <w:t xml:space="preserve">101813</w:t>
            </w:r>
          </w:p>
        </w:tc>
        <w:tc>
          <w:tcPr/>
          <w:p>
            <w:pPr>
              <w:pStyle w:val="Compact"/>
            </w:pPr>
            <w:r>
              <w:t xml:space="preserve">TRUE</w:t>
            </w:r>
          </w:p>
        </w:tc>
      </w:tr>
      <w:tr>
        <w:tc>
          <w:tcPr/>
          <w:p>
            <w:pPr>
              <w:pStyle w:val="Compact"/>
            </w:pPr>
            <w:r>
              <w:t xml:space="preserve">Levels of</w:t>
            </w:r>
            <w:r>
              <w:t xml:space="preserve"> </w:t>
            </w:r>
            <w:r>
              <w:t xml:space="preserve">‘Discharge year’</w:t>
            </w:r>
            <w:r>
              <w:t xml:space="preserve"> </w:t>
            </w:r>
            <w:r>
              <w:t xml:space="preserve">sum to the analytic cohort</w:t>
            </w:r>
          </w:p>
        </w:tc>
        <w:tc>
          <w:tcPr/>
          <w:p>
            <w:pPr>
              <w:pStyle w:val="Compact"/>
            </w:pPr>
            <w:r>
              <w:t xml:space="preserve">101813</w:t>
            </w:r>
          </w:p>
        </w:tc>
        <w:tc>
          <w:tcPr/>
          <w:p>
            <w:pPr>
              <w:pStyle w:val="Compact"/>
            </w:pPr>
            <w:r>
              <w:t xml:space="preserve">101813</w:t>
            </w:r>
          </w:p>
        </w:tc>
        <w:tc>
          <w:tcPr/>
          <w:p>
            <w:pPr>
              <w:pStyle w:val="Compact"/>
            </w:pPr>
            <w:r>
              <w:t xml:space="preserve">TRUE</w:t>
            </w:r>
          </w:p>
        </w:tc>
      </w:tr>
      <w:tr>
        <w:tc>
          <w:tcPr/>
          <w:p>
            <w:pPr>
              <w:pStyle w:val="Compact"/>
            </w:pPr>
            <w:r>
              <w:t xml:space="preserve">Levels of</w:t>
            </w:r>
            <w:r>
              <w:t xml:space="preserve"> </w:t>
            </w:r>
            <w:r>
              <w:t xml:space="preserve">‘Prior major bleeding’</w:t>
            </w:r>
            <w:r>
              <w:t xml:space="preserve"> </w:t>
            </w:r>
            <w:r>
              <w:t xml:space="preserve">sum to the analytic cohort</w:t>
            </w:r>
          </w:p>
        </w:tc>
        <w:tc>
          <w:tcPr/>
          <w:p>
            <w:pPr>
              <w:pStyle w:val="Compact"/>
            </w:pPr>
            <w:r>
              <w:t xml:space="preserve">101813</w:t>
            </w:r>
          </w:p>
        </w:tc>
        <w:tc>
          <w:tcPr/>
          <w:p>
            <w:pPr>
              <w:pStyle w:val="Compact"/>
            </w:pPr>
            <w:r>
              <w:t xml:space="preserve">101813</w:t>
            </w:r>
          </w:p>
        </w:tc>
        <w:tc>
          <w:tcPr/>
          <w:p>
            <w:pPr>
              <w:pStyle w:val="Compact"/>
            </w:pPr>
            <w:r>
              <w:t xml:space="preserve">TRUE</w:t>
            </w:r>
          </w:p>
        </w:tc>
      </w:tr>
      <w:tr>
        <w:tc>
          <w:tcPr/>
          <w:p>
            <w:pPr>
              <w:pStyle w:val="Compact"/>
            </w:pPr>
            <w:r>
              <w:t xml:space="preserve">Levels of</w:t>
            </w:r>
            <w:r>
              <w:t xml:space="preserve"> </w:t>
            </w:r>
            <w:r>
              <w:t xml:space="preserve">‘Age group’</w:t>
            </w:r>
            <w:r>
              <w:t xml:space="preserve"> </w:t>
            </w:r>
            <w:r>
              <w:t xml:space="preserve">sum to the analytic cohort</w:t>
            </w:r>
          </w:p>
        </w:tc>
        <w:tc>
          <w:tcPr/>
          <w:p>
            <w:pPr>
              <w:pStyle w:val="Compact"/>
            </w:pPr>
            <w:r>
              <w:t xml:space="preserve">101813</w:t>
            </w:r>
          </w:p>
        </w:tc>
        <w:tc>
          <w:tcPr/>
          <w:p>
            <w:pPr>
              <w:pStyle w:val="Compact"/>
            </w:pPr>
            <w:r>
              <w:t xml:space="preserve">101813</w:t>
            </w:r>
          </w:p>
        </w:tc>
        <w:tc>
          <w:tcPr/>
          <w:p>
            <w:pPr>
              <w:pStyle w:val="Compact"/>
            </w:pPr>
            <w:r>
              <w:t xml:space="preserve">TRUE</w:t>
            </w:r>
          </w:p>
        </w:tc>
      </w:tr>
      <w:tr>
        <w:tc>
          <w:tcPr/>
          <w:p>
            <w:pPr>
              <w:pStyle w:val="Compact"/>
            </w:pPr>
            <w:r>
              <w:t xml:space="preserve">Levels of</w:t>
            </w:r>
            <w:r>
              <w:t xml:space="preserve"> </w:t>
            </w:r>
            <w:r>
              <w:t xml:space="preserve">‘Hospital LAAO volume tertile (within year)’</w:t>
            </w:r>
            <w:r>
              <w:t xml:space="preserve"> </w:t>
            </w:r>
            <w:r>
              <w:t xml:space="preserve">sum to the analytic cohort</w:t>
            </w:r>
          </w:p>
        </w:tc>
        <w:tc>
          <w:tcPr/>
          <w:p>
            <w:pPr>
              <w:pStyle w:val="Compact"/>
            </w:pPr>
            <w:r>
              <w:t xml:space="preserve">101813</w:t>
            </w:r>
          </w:p>
        </w:tc>
        <w:tc>
          <w:tcPr/>
          <w:p>
            <w:pPr>
              <w:pStyle w:val="Compact"/>
            </w:pPr>
            <w:r>
              <w:t xml:space="preserve">101813</w:t>
            </w:r>
          </w:p>
        </w:tc>
        <w:tc>
          <w:tcPr/>
          <w:p>
            <w:pPr>
              <w:pStyle w:val="Compact"/>
            </w:pPr>
            <w:r>
              <w:t xml:space="preserve">TRUE</w:t>
            </w:r>
          </w:p>
        </w:tc>
      </w:tr>
      <w:tr>
        <w:tc>
          <w:tcPr/>
          <w:p>
            <w:pPr>
              <w:pStyle w:val="Compact"/>
            </w:pPr>
            <w:r>
              <w:t xml:space="preserve">Levels of</w:t>
            </w:r>
            <w:r>
              <w:t xml:space="preserve"> </w:t>
            </w:r>
            <w:r>
              <w:t xml:space="preserve">‘Sex’</w:t>
            </w:r>
            <w:r>
              <w:t xml:space="preserve"> </w:t>
            </w:r>
            <w:r>
              <w:t xml:space="preserve">sum to the analytic cohort</w:t>
            </w:r>
          </w:p>
        </w:tc>
        <w:tc>
          <w:tcPr/>
          <w:p>
            <w:pPr>
              <w:pStyle w:val="Compact"/>
            </w:pPr>
            <w:r>
              <w:t xml:space="preserve">101813</w:t>
            </w:r>
          </w:p>
        </w:tc>
        <w:tc>
          <w:tcPr/>
          <w:p>
            <w:pPr>
              <w:pStyle w:val="Compact"/>
            </w:pPr>
            <w:r>
              <w:t xml:space="preserve">101813</w:t>
            </w:r>
          </w:p>
        </w:tc>
        <w:tc>
          <w:tcPr/>
          <w:p>
            <w:pPr>
              <w:pStyle w:val="Compact"/>
            </w:pPr>
            <w:r>
              <w:t xml:space="preserve">TRUE</w:t>
            </w:r>
          </w:p>
        </w:tc>
      </w:tr>
      <w:tr>
        <w:tc>
          <w:tcPr/>
          <w:p>
            <w:pPr>
              <w:pStyle w:val="Compact"/>
            </w:pPr>
            <w:r>
              <w:t xml:space="preserve">Levels of</w:t>
            </w:r>
            <w:r>
              <w:t xml:space="preserve"> </w:t>
            </w:r>
            <w:r>
              <w:t xml:space="preserve">‘Primary expected payer’</w:t>
            </w:r>
            <w:r>
              <w:t xml:space="preserve"> </w:t>
            </w:r>
            <w:r>
              <w:t xml:space="preserve">sum to the analytic cohort</w:t>
            </w:r>
          </w:p>
        </w:tc>
        <w:tc>
          <w:tcPr/>
          <w:p>
            <w:pPr>
              <w:pStyle w:val="Compact"/>
            </w:pPr>
            <w:r>
              <w:t xml:space="preserve">101813</w:t>
            </w:r>
          </w:p>
        </w:tc>
        <w:tc>
          <w:tcPr/>
          <w:p>
            <w:pPr>
              <w:pStyle w:val="Compact"/>
            </w:pPr>
            <w:r>
              <w:t xml:space="preserve">101813</w:t>
            </w:r>
          </w:p>
        </w:tc>
        <w:tc>
          <w:tcPr/>
          <w:p>
            <w:pPr>
              <w:pStyle w:val="Compact"/>
            </w:pPr>
            <w:r>
              <w:t xml:space="preserve">TRUE</w:t>
            </w:r>
          </w:p>
        </w:tc>
      </w:tr>
      <w:tr>
        <w:tc>
          <w:tcPr/>
          <w:p>
            <w:pPr>
              <w:pStyle w:val="Compact"/>
            </w:pPr>
            <w:r>
              <w:t xml:space="preserve">Levels of</w:t>
            </w:r>
            <w:r>
              <w:t xml:space="preserve"> </w:t>
            </w:r>
            <w:r>
              <w:t xml:space="preserve">‘Median household income quartile (patient ZIP code)’</w:t>
            </w:r>
            <w:r>
              <w:t xml:space="preserve"> </w:t>
            </w:r>
            <w:r>
              <w:t xml:space="preserve">sum to the analytic cohort</w:t>
            </w:r>
          </w:p>
        </w:tc>
        <w:tc>
          <w:tcPr/>
          <w:p>
            <w:pPr>
              <w:pStyle w:val="Compact"/>
            </w:pPr>
            <w:r>
              <w:t xml:space="preserve">101813</w:t>
            </w:r>
          </w:p>
        </w:tc>
        <w:tc>
          <w:tcPr/>
          <w:p>
            <w:pPr>
              <w:pStyle w:val="Compact"/>
            </w:pPr>
            <w:r>
              <w:t xml:space="preserve">101813</w:t>
            </w:r>
          </w:p>
        </w:tc>
        <w:tc>
          <w:tcPr/>
          <w:p>
            <w:pPr>
              <w:pStyle w:val="Compact"/>
            </w:pPr>
            <w:r>
              <w:t xml:space="preserve">TRUE</w:t>
            </w:r>
          </w:p>
        </w:tc>
      </w:tr>
      <w:tr>
        <w:tc>
          <w:tcPr/>
          <w:p>
            <w:pPr>
              <w:pStyle w:val="Compact"/>
            </w:pPr>
            <w:r>
              <w:t xml:space="preserve">Levels of</w:t>
            </w:r>
            <w:r>
              <w:t xml:space="preserve"> </w:t>
            </w:r>
            <w:r>
              <w:t xml:space="preserve">‘Patient residence (NCHS urban-rural classification)’</w:t>
            </w:r>
            <w:r>
              <w:t xml:space="preserve"> </w:t>
            </w:r>
            <w:r>
              <w:t xml:space="preserve">sum to the analytic cohort</w:t>
            </w:r>
          </w:p>
        </w:tc>
        <w:tc>
          <w:tcPr/>
          <w:p>
            <w:pPr>
              <w:pStyle w:val="Compact"/>
            </w:pPr>
            <w:r>
              <w:t xml:space="preserve">101813</w:t>
            </w:r>
          </w:p>
        </w:tc>
        <w:tc>
          <w:tcPr/>
          <w:p>
            <w:pPr>
              <w:pStyle w:val="Compact"/>
            </w:pPr>
            <w:r>
              <w:t xml:space="preserve">101813</w:t>
            </w:r>
          </w:p>
        </w:tc>
        <w:tc>
          <w:tcPr/>
          <w:p>
            <w:pPr>
              <w:pStyle w:val="Compact"/>
            </w:pPr>
            <w:r>
              <w:t xml:space="preserve">TRUE</w:t>
            </w:r>
          </w:p>
        </w:tc>
      </w:tr>
      <w:tr>
        <w:tc>
          <w:tcPr/>
          <w:p>
            <w:pPr>
              <w:pStyle w:val="Compact"/>
            </w:pPr>
            <w:r>
              <w:t xml:space="preserve">Levels of</w:t>
            </w:r>
            <w:r>
              <w:t xml:space="preserve"> </w:t>
            </w:r>
            <w:r>
              <w:t xml:space="preserve">‘Admission day’</w:t>
            </w:r>
            <w:r>
              <w:t xml:space="preserve"> </w:t>
            </w:r>
            <w:r>
              <w:t xml:space="preserve">sum to the analytic cohort</w:t>
            </w:r>
          </w:p>
        </w:tc>
        <w:tc>
          <w:tcPr/>
          <w:p>
            <w:pPr>
              <w:pStyle w:val="Compact"/>
            </w:pPr>
            <w:r>
              <w:t xml:space="preserve">101813</w:t>
            </w:r>
          </w:p>
        </w:tc>
        <w:tc>
          <w:tcPr/>
          <w:p>
            <w:pPr>
              <w:pStyle w:val="Compact"/>
            </w:pPr>
            <w:r>
              <w:t xml:space="preserve">101813</w:t>
            </w:r>
          </w:p>
        </w:tc>
        <w:tc>
          <w:tcPr/>
          <w:p>
            <w:pPr>
              <w:pStyle w:val="Compact"/>
            </w:pPr>
            <w:r>
              <w:t xml:space="preserve">TRUE</w:t>
            </w:r>
          </w:p>
        </w:tc>
      </w:tr>
      <w:tr>
        <w:tc>
          <w:tcPr/>
          <w:p>
            <w:pPr>
              <w:pStyle w:val="Compact"/>
            </w:pPr>
            <w:r>
              <w:t xml:space="preserve">Levels of</w:t>
            </w:r>
            <w:r>
              <w:t xml:space="preserve"> </w:t>
            </w:r>
            <w:r>
              <w:t xml:space="preserve">‘Admission type’</w:t>
            </w:r>
            <w:r>
              <w:t xml:space="preserve"> </w:t>
            </w:r>
            <w:r>
              <w:t xml:space="preserve">sum to the analytic cohort</w:t>
            </w:r>
          </w:p>
        </w:tc>
        <w:tc>
          <w:tcPr/>
          <w:p>
            <w:pPr>
              <w:pStyle w:val="Compact"/>
            </w:pPr>
            <w:r>
              <w:t xml:space="preserve">101813</w:t>
            </w:r>
          </w:p>
        </w:tc>
        <w:tc>
          <w:tcPr/>
          <w:p>
            <w:pPr>
              <w:pStyle w:val="Compact"/>
            </w:pPr>
            <w:r>
              <w:t xml:space="preserve">101813</w:t>
            </w:r>
          </w:p>
        </w:tc>
        <w:tc>
          <w:tcPr/>
          <w:p>
            <w:pPr>
              <w:pStyle w:val="Compact"/>
            </w:pPr>
            <w:r>
              <w:t xml:space="preserve">TRUE</w:t>
            </w:r>
          </w:p>
        </w:tc>
      </w:tr>
      <w:tr>
        <w:tc>
          <w:tcPr/>
          <w:p>
            <w:pPr>
              <w:pStyle w:val="Compact"/>
            </w:pPr>
            <w:r>
              <w:t xml:space="preserve">Levels of</w:t>
            </w:r>
            <w:r>
              <w:t xml:space="preserve"> </w:t>
            </w:r>
            <w:r>
              <w:t xml:space="preserve">‘Hospital bed size’</w:t>
            </w:r>
            <w:r>
              <w:t xml:space="preserve"> </w:t>
            </w:r>
            <w:r>
              <w:t xml:space="preserve">sum to the analytic cohort</w:t>
            </w:r>
          </w:p>
        </w:tc>
        <w:tc>
          <w:tcPr/>
          <w:p>
            <w:pPr>
              <w:pStyle w:val="Compact"/>
            </w:pPr>
            <w:r>
              <w:t xml:space="preserve">101813</w:t>
            </w:r>
          </w:p>
        </w:tc>
        <w:tc>
          <w:tcPr/>
          <w:p>
            <w:pPr>
              <w:pStyle w:val="Compact"/>
            </w:pPr>
            <w:r>
              <w:t xml:space="preserve">101813</w:t>
            </w:r>
          </w:p>
        </w:tc>
        <w:tc>
          <w:tcPr/>
          <w:p>
            <w:pPr>
              <w:pStyle w:val="Compact"/>
            </w:pPr>
            <w:r>
              <w:t xml:space="preserve">TRUE</w:t>
            </w:r>
          </w:p>
        </w:tc>
      </w:tr>
      <w:tr>
        <w:tc>
          <w:tcPr/>
          <w:p>
            <w:pPr>
              <w:pStyle w:val="Compact"/>
            </w:pPr>
            <w:r>
              <w:t xml:space="preserve">Levels of</w:t>
            </w:r>
            <w:r>
              <w:t xml:space="preserve"> </w:t>
            </w:r>
            <w:r>
              <w:t xml:space="preserve">‘Hospital location and teaching status’</w:t>
            </w:r>
            <w:r>
              <w:t xml:space="preserve"> </w:t>
            </w:r>
            <w:r>
              <w:t xml:space="preserve">sum to the analytic cohort</w:t>
            </w:r>
          </w:p>
        </w:tc>
        <w:tc>
          <w:tcPr/>
          <w:p>
            <w:pPr>
              <w:pStyle w:val="Compact"/>
            </w:pPr>
            <w:r>
              <w:t xml:space="preserve">101813</w:t>
            </w:r>
          </w:p>
        </w:tc>
        <w:tc>
          <w:tcPr/>
          <w:p>
            <w:pPr>
              <w:pStyle w:val="Compact"/>
            </w:pPr>
            <w:r>
              <w:t xml:space="preserve">101813</w:t>
            </w:r>
          </w:p>
        </w:tc>
        <w:tc>
          <w:tcPr/>
          <w:p>
            <w:pPr>
              <w:pStyle w:val="Compact"/>
            </w:pPr>
            <w:r>
              <w:t xml:space="preserve">TRUE</w:t>
            </w:r>
          </w:p>
        </w:tc>
      </w:tr>
      <w:tr>
        <w:tc>
          <w:tcPr/>
          <w:p>
            <w:pPr>
              <w:pStyle w:val="Compact"/>
            </w:pPr>
            <w:r>
              <w:t xml:space="preserve">Levels of</w:t>
            </w:r>
            <w:r>
              <w:t xml:space="preserve"> </w:t>
            </w:r>
            <w:r>
              <w:t xml:space="preserve">‘Hospital ownership’</w:t>
            </w:r>
            <w:r>
              <w:t xml:space="preserve"> </w:t>
            </w:r>
            <w:r>
              <w:t xml:space="preserve">sum to the analytic cohort</w:t>
            </w:r>
          </w:p>
        </w:tc>
        <w:tc>
          <w:tcPr/>
          <w:p>
            <w:pPr>
              <w:pStyle w:val="Compact"/>
            </w:pPr>
            <w:r>
              <w:t xml:space="preserve">101813</w:t>
            </w:r>
          </w:p>
        </w:tc>
        <w:tc>
          <w:tcPr/>
          <w:p>
            <w:pPr>
              <w:pStyle w:val="Compact"/>
            </w:pPr>
            <w:r>
              <w:t xml:space="preserve">101813</w:t>
            </w:r>
          </w:p>
        </w:tc>
        <w:tc>
          <w:tcPr/>
          <w:p>
            <w:pPr>
              <w:pStyle w:val="Compact"/>
            </w:pPr>
            <w:r>
              <w:t xml:space="preserve">TRUE</w:t>
            </w:r>
          </w:p>
        </w:tc>
      </w:tr>
      <w:tr>
        <w:tc>
          <w:tcPr/>
          <w:p>
            <w:pPr>
              <w:pStyle w:val="Compact"/>
            </w:pPr>
            <w:r>
              <w:t xml:space="preserve">Levels of</w:t>
            </w:r>
            <w:r>
              <w:t xml:space="preserve"> </w:t>
            </w:r>
            <w:r>
              <w:t xml:space="preserve">‘Atrial fibrillation or flutter’</w:t>
            </w:r>
            <w:r>
              <w:t xml:space="preserve"> </w:t>
            </w:r>
            <w:r>
              <w:t xml:space="preserve">sum to the analytic cohort</w:t>
            </w:r>
          </w:p>
        </w:tc>
        <w:tc>
          <w:tcPr/>
          <w:p>
            <w:pPr>
              <w:pStyle w:val="Compact"/>
            </w:pPr>
            <w:r>
              <w:t xml:space="preserve">101813</w:t>
            </w:r>
          </w:p>
        </w:tc>
        <w:tc>
          <w:tcPr/>
          <w:p>
            <w:pPr>
              <w:pStyle w:val="Compact"/>
            </w:pPr>
            <w:r>
              <w:t xml:space="preserve">101813</w:t>
            </w:r>
          </w:p>
        </w:tc>
        <w:tc>
          <w:tcPr/>
          <w:p>
            <w:pPr>
              <w:pStyle w:val="Compact"/>
            </w:pPr>
            <w:r>
              <w:t xml:space="preserve">TRUE</w:t>
            </w:r>
          </w:p>
        </w:tc>
      </w:tr>
      <w:tr>
        <w:tc>
          <w:tcPr/>
          <w:p>
            <w:pPr>
              <w:pStyle w:val="Compact"/>
            </w:pPr>
            <w:r>
              <w:t xml:space="preserve">Levels of</w:t>
            </w:r>
            <w:r>
              <w:t xml:space="preserve"> </w:t>
            </w:r>
            <w:r>
              <w:t xml:space="preserve">‘Congestive heart failure’</w:t>
            </w:r>
            <w:r>
              <w:t xml:space="preserve"> </w:t>
            </w:r>
            <w:r>
              <w:t xml:space="preserve">sum to the analytic cohort</w:t>
            </w:r>
          </w:p>
        </w:tc>
        <w:tc>
          <w:tcPr/>
          <w:p>
            <w:pPr>
              <w:pStyle w:val="Compact"/>
            </w:pPr>
            <w:r>
              <w:t xml:space="preserve">101813</w:t>
            </w:r>
          </w:p>
        </w:tc>
        <w:tc>
          <w:tcPr/>
          <w:p>
            <w:pPr>
              <w:pStyle w:val="Compact"/>
            </w:pPr>
            <w:r>
              <w:t xml:space="preserve">101813</w:t>
            </w:r>
          </w:p>
        </w:tc>
        <w:tc>
          <w:tcPr/>
          <w:p>
            <w:pPr>
              <w:pStyle w:val="Compact"/>
            </w:pPr>
            <w:r>
              <w:t xml:space="preserve">TRUE</w:t>
            </w:r>
          </w:p>
        </w:tc>
      </w:tr>
      <w:tr>
        <w:tc>
          <w:tcPr/>
          <w:p>
            <w:pPr>
              <w:pStyle w:val="Compact"/>
            </w:pPr>
            <w:r>
              <w:t xml:space="preserve">Levels of</w:t>
            </w:r>
            <w:r>
              <w:t xml:space="preserve"> </w:t>
            </w:r>
            <w:r>
              <w:t xml:space="preserve">‘Hypertension’</w:t>
            </w:r>
            <w:r>
              <w:t xml:space="preserve"> </w:t>
            </w:r>
            <w:r>
              <w:t xml:space="preserve">sum to the analytic cohort</w:t>
            </w:r>
          </w:p>
        </w:tc>
        <w:tc>
          <w:tcPr/>
          <w:p>
            <w:pPr>
              <w:pStyle w:val="Compact"/>
            </w:pPr>
            <w:r>
              <w:t xml:space="preserve">101813</w:t>
            </w:r>
          </w:p>
        </w:tc>
        <w:tc>
          <w:tcPr/>
          <w:p>
            <w:pPr>
              <w:pStyle w:val="Compact"/>
            </w:pPr>
            <w:r>
              <w:t xml:space="preserve">101813</w:t>
            </w:r>
          </w:p>
        </w:tc>
        <w:tc>
          <w:tcPr/>
          <w:p>
            <w:pPr>
              <w:pStyle w:val="Compact"/>
            </w:pPr>
            <w:r>
              <w:t xml:space="preserve">TRUE</w:t>
            </w:r>
          </w:p>
        </w:tc>
      </w:tr>
      <w:tr>
        <w:tc>
          <w:tcPr/>
          <w:p>
            <w:pPr>
              <w:pStyle w:val="Compact"/>
            </w:pPr>
            <w:r>
              <w:t xml:space="preserve">Levels of</w:t>
            </w:r>
            <w:r>
              <w:t xml:space="preserve"> </w:t>
            </w:r>
            <w:r>
              <w:t xml:space="preserve">‘Diabetes mellitus’</w:t>
            </w:r>
            <w:r>
              <w:t xml:space="preserve"> </w:t>
            </w:r>
            <w:r>
              <w:t xml:space="preserve">sum to the analytic cohort</w:t>
            </w:r>
          </w:p>
        </w:tc>
        <w:tc>
          <w:tcPr/>
          <w:p>
            <w:pPr>
              <w:pStyle w:val="Compact"/>
            </w:pPr>
            <w:r>
              <w:t xml:space="preserve">101813</w:t>
            </w:r>
          </w:p>
        </w:tc>
        <w:tc>
          <w:tcPr/>
          <w:p>
            <w:pPr>
              <w:pStyle w:val="Compact"/>
            </w:pPr>
            <w:r>
              <w:t xml:space="preserve">101813</w:t>
            </w:r>
          </w:p>
        </w:tc>
        <w:tc>
          <w:tcPr/>
          <w:p>
            <w:pPr>
              <w:pStyle w:val="Compact"/>
            </w:pPr>
            <w:r>
              <w:t xml:space="preserve">TRUE</w:t>
            </w:r>
          </w:p>
        </w:tc>
      </w:tr>
      <w:tr>
        <w:tc>
          <w:tcPr/>
          <w:p>
            <w:pPr>
              <w:pStyle w:val="Compact"/>
            </w:pPr>
            <w:r>
              <w:t xml:space="preserve">Levels of</w:t>
            </w:r>
            <w:r>
              <w:t xml:space="preserve"> </w:t>
            </w:r>
            <w:r>
              <w:t xml:space="preserve">‘Prior stroke, TIA or thromboembolism’</w:t>
            </w:r>
            <w:r>
              <w:t xml:space="preserve"> </w:t>
            </w:r>
            <w:r>
              <w:t xml:space="preserve">sum to the analytic cohort</w:t>
            </w:r>
          </w:p>
        </w:tc>
        <w:tc>
          <w:tcPr/>
          <w:p>
            <w:pPr>
              <w:pStyle w:val="Compact"/>
            </w:pPr>
            <w:r>
              <w:t xml:space="preserve">101813</w:t>
            </w:r>
          </w:p>
        </w:tc>
        <w:tc>
          <w:tcPr/>
          <w:p>
            <w:pPr>
              <w:pStyle w:val="Compact"/>
            </w:pPr>
            <w:r>
              <w:t xml:space="preserve">101813</w:t>
            </w:r>
          </w:p>
        </w:tc>
        <w:tc>
          <w:tcPr/>
          <w:p>
            <w:pPr>
              <w:pStyle w:val="Compact"/>
            </w:pPr>
            <w:r>
              <w:t xml:space="preserve">TRUE</w:t>
            </w:r>
          </w:p>
        </w:tc>
      </w:tr>
      <w:tr>
        <w:tc>
          <w:tcPr/>
          <w:p>
            <w:pPr>
              <w:pStyle w:val="Compact"/>
            </w:pPr>
            <w:r>
              <w:t xml:space="preserve">Levels of</w:t>
            </w:r>
            <w:r>
              <w:t xml:space="preserve"> </w:t>
            </w:r>
            <w:r>
              <w:t xml:space="preserve">‘Vascular disease (peripheral arterial, aortic or prior myocardial infarction)’</w:t>
            </w:r>
            <w:r>
              <w:t xml:space="preserve"> </w:t>
            </w:r>
            <w:r>
              <w:t xml:space="preserve">sum to the analytic cohort</w:t>
            </w:r>
          </w:p>
        </w:tc>
        <w:tc>
          <w:tcPr/>
          <w:p>
            <w:pPr>
              <w:pStyle w:val="Compact"/>
            </w:pPr>
            <w:r>
              <w:t xml:space="preserve">101813</w:t>
            </w:r>
          </w:p>
        </w:tc>
        <w:tc>
          <w:tcPr/>
          <w:p>
            <w:pPr>
              <w:pStyle w:val="Compact"/>
            </w:pPr>
            <w:r>
              <w:t xml:space="preserve">101813</w:t>
            </w:r>
          </w:p>
        </w:tc>
        <w:tc>
          <w:tcPr/>
          <w:p>
            <w:pPr>
              <w:pStyle w:val="Compact"/>
            </w:pPr>
            <w:r>
              <w:t xml:space="preserve">TRUE</w:t>
            </w:r>
          </w:p>
        </w:tc>
      </w:tr>
      <w:tr>
        <w:tc>
          <w:tcPr/>
          <w:p>
            <w:pPr>
              <w:pStyle w:val="Compact"/>
            </w:pPr>
            <w:r>
              <w:t xml:space="preserve">Levels of</w:t>
            </w:r>
            <w:r>
              <w:t xml:space="preserve"> </w:t>
            </w:r>
            <w:r>
              <w:t xml:space="preserve">‘Prior major bleeding’</w:t>
            </w:r>
            <w:r>
              <w:t xml:space="preserve"> </w:t>
            </w:r>
            <w:r>
              <w:t xml:space="preserve">sum to the analytic cohort</w:t>
            </w:r>
          </w:p>
        </w:tc>
        <w:tc>
          <w:tcPr/>
          <w:p>
            <w:pPr>
              <w:pStyle w:val="Compact"/>
            </w:pPr>
            <w:r>
              <w:t xml:space="preserve">101813</w:t>
            </w:r>
          </w:p>
        </w:tc>
        <w:tc>
          <w:tcPr/>
          <w:p>
            <w:pPr>
              <w:pStyle w:val="Compact"/>
            </w:pPr>
            <w:r>
              <w:t xml:space="preserve">101813</w:t>
            </w:r>
          </w:p>
        </w:tc>
        <w:tc>
          <w:tcPr/>
          <w:p>
            <w:pPr>
              <w:pStyle w:val="Compact"/>
            </w:pPr>
            <w:r>
              <w:t xml:space="preserve">TRUE</w:t>
            </w:r>
          </w:p>
        </w:tc>
      </w:tr>
      <w:tr>
        <w:tc>
          <w:tcPr/>
          <w:p>
            <w:pPr>
              <w:pStyle w:val="Compact"/>
            </w:pPr>
            <w:r>
              <w:t xml:space="preserve">Levels of</w:t>
            </w:r>
            <w:r>
              <w:t xml:space="preserve"> </w:t>
            </w:r>
            <w:r>
              <w:t xml:space="preserve">‘Liver disease’</w:t>
            </w:r>
            <w:r>
              <w:t xml:space="preserve"> </w:t>
            </w:r>
            <w:r>
              <w:t xml:space="preserve">sum to the analytic cohort</w:t>
            </w:r>
          </w:p>
        </w:tc>
        <w:tc>
          <w:tcPr/>
          <w:p>
            <w:pPr>
              <w:pStyle w:val="Compact"/>
            </w:pPr>
            <w:r>
              <w:t xml:space="preserve">101813</w:t>
            </w:r>
          </w:p>
        </w:tc>
        <w:tc>
          <w:tcPr/>
          <w:p>
            <w:pPr>
              <w:pStyle w:val="Compact"/>
            </w:pPr>
            <w:r>
              <w:t xml:space="preserve">101813</w:t>
            </w:r>
          </w:p>
        </w:tc>
        <w:tc>
          <w:tcPr/>
          <w:p>
            <w:pPr>
              <w:pStyle w:val="Compact"/>
            </w:pPr>
            <w:r>
              <w:t xml:space="preserve">TRUE</w:t>
            </w:r>
          </w:p>
        </w:tc>
      </w:tr>
      <w:tr>
        <w:tc>
          <w:tcPr/>
          <w:p>
            <w:pPr>
              <w:pStyle w:val="Compact"/>
            </w:pPr>
            <w:r>
              <w:t xml:space="preserve">Levels of</w:t>
            </w:r>
            <w:r>
              <w:t xml:space="preserve"> </w:t>
            </w:r>
            <w:r>
              <w:t xml:space="preserve">‘Alcohol use disorder’</w:t>
            </w:r>
            <w:r>
              <w:t xml:space="preserve"> </w:t>
            </w:r>
            <w:r>
              <w:t xml:space="preserve">sum to the analytic cohort</w:t>
            </w:r>
          </w:p>
        </w:tc>
        <w:tc>
          <w:tcPr/>
          <w:p>
            <w:pPr>
              <w:pStyle w:val="Compact"/>
            </w:pPr>
            <w:r>
              <w:t xml:space="preserve">101813</w:t>
            </w:r>
          </w:p>
        </w:tc>
        <w:tc>
          <w:tcPr/>
          <w:p>
            <w:pPr>
              <w:pStyle w:val="Compact"/>
            </w:pPr>
            <w:r>
              <w:t xml:space="preserve">101813</w:t>
            </w:r>
          </w:p>
        </w:tc>
        <w:tc>
          <w:tcPr/>
          <w:p>
            <w:pPr>
              <w:pStyle w:val="Compact"/>
            </w:pPr>
            <w:r>
              <w:t xml:space="preserve">TRUE</w:t>
            </w:r>
          </w:p>
        </w:tc>
      </w:tr>
      <w:tr>
        <w:tc>
          <w:tcPr/>
          <w:p>
            <w:pPr>
              <w:pStyle w:val="Compact"/>
            </w:pPr>
            <w:r>
              <w:t xml:space="preserve">Levels of</w:t>
            </w:r>
            <w:r>
              <w:t xml:space="preserve"> </w:t>
            </w:r>
            <w:r>
              <w:t xml:space="preserve">‘Anaemia (deficiency or blood-loss)’</w:t>
            </w:r>
            <w:r>
              <w:t xml:space="preserve"> </w:t>
            </w:r>
            <w:r>
              <w:t xml:space="preserve">sum to the analytic cohort</w:t>
            </w:r>
          </w:p>
        </w:tc>
        <w:tc>
          <w:tcPr/>
          <w:p>
            <w:pPr>
              <w:pStyle w:val="Compact"/>
            </w:pPr>
            <w:r>
              <w:t xml:space="preserve">101813</w:t>
            </w:r>
          </w:p>
        </w:tc>
        <w:tc>
          <w:tcPr/>
          <w:p>
            <w:pPr>
              <w:pStyle w:val="Compact"/>
            </w:pPr>
            <w:r>
              <w:t xml:space="preserve">101813</w:t>
            </w:r>
          </w:p>
        </w:tc>
        <w:tc>
          <w:tcPr/>
          <w:p>
            <w:pPr>
              <w:pStyle w:val="Compact"/>
            </w:pPr>
            <w:r>
              <w:t xml:space="preserve">TRUE</w:t>
            </w:r>
          </w:p>
        </w:tc>
      </w:tr>
      <w:tr>
        <w:tc>
          <w:tcPr/>
          <w:p>
            <w:pPr>
              <w:pStyle w:val="Compact"/>
            </w:pPr>
            <w:r>
              <w:t xml:space="preserve">Levels of</w:t>
            </w:r>
            <w:r>
              <w:t xml:space="preserve"> </w:t>
            </w:r>
            <w:r>
              <w:t xml:space="preserve">‘N18.6 recorded without a dialysis-dependence marker’</w:t>
            </w:r>
            <w:r>
              <w:t xml:space="preserve"> </w:t>
            </w:r>
            <w:r>
              <w:t xml:space="preserve">sum to the analytic cohort</w:t>
            </w:r>
          </w:p>
        </w:tc>
        <w:tc>
          <w:tcPr/>
          <w:p>
            <w:pPr>
              <w:pStyle w:val="Compact"/>
            </w:pPr>
            <w:r>
              <w:t xml:space="preserve">101813</w:t>
            </w:r>
          </w:p>
        </w:tc>
        <w:tc>
          <w:tcPr/>
          <w:p>
            <w:pPr>
              <w:pStyle w:val="Compact"/>
            </w:pPr>
            <w:r>
              <w:t xml:space="preserve">101813</w:t>
            </w:r>
          </w:p>
        </w:tc>
        <w:tc>
          <w:tcPr/>
          <w:p>
            <w:pPr>
              <w:pStyle w:val="Compact"/>
            </w:pPr>
            <w:r>
              <w:t xml:space="preserve">TRUE</w:t>
            </w:r>
          </w:p>
        </w:tc>
      </w:tr>
      <w:tr>
        <w:tc>
          <w:tcPr/>
          <w:p>
            <w:pPr>
              <w:pStyle w:val="Compact"/>
            </w:pPr>
            <w:r>
              <w:t xml:space="preserve">Readmission count identical in design, primary model and Table 3c</w:t>
            </w:r>
          </w:p>
        </w:tc>
        <w:tc>
          <w:tcPr/>
          <w:p>
            <w:pPr>
              <w:pStyle w:val="Compact"/>
            </w:pPr>
            <w:r>
              <w:t xml:space="preserve">7909 7909 7909</w:t>
            </w:r>
          </w:p>
        </w:tc>
        <w:tc>
          <w:tcPr/>
          <w:p>
            <w:pPr>
              <w:pStyle w:val="Compact"/>
            </w:pPr>
            <w:r>
              <w:t xml:space="preserve">all equal</w:t>
            </w:r>
          </w:p>
        </w:tc>
        <w:tc>
          <w:tcPr/>
          <w:p>
            <w:pPr>
              <w:pStyle w:val="Compact"/>
            </w:pPr>
            <w:r>
              <w:t xml:space="preserve">TRUE</w:t>
            </w:r>
          </w:p>
        </w:tc>
      </w:tr>
      <w:tr>
        <w:tc>
          <w:tcPr/>
          <w:p>
            <w:pPr>
              <w:pStyle w:val="Compact"/>
            </w:pPr>
            <w:r>
              <w:t xml:space="preserve">Design/SRS standard-error ratio plausible (overall)</w:t>
            </w:r>
          </w:p>
        </w:tc>
        <w:tc>
          <w:tcPr/>
          <w:p>
            <w:pPr>
              <w:pStyle w:val="Compact"/>
            </w:pPr>
            <w:r>
              <w:t xml:space="preserve">1.32</w:t>
            </w:r>
          </w:p>
        </w:tc>
        <w:tc>
          <w:tcPr/>
          <w:p>
            <w:pPr>
              <w:pStyle w:val="Compact"/>
            </w:pPr>
            <w:r>
              <w:t xml:space="preserve">0.5 to 10</w:t>
            </w:r>
          </w:p>
        </w:tc>
        <w:tc>
          <w:tcPr/>
          <w:p>
            <w:pPr>
              <w:pStyle w:val="Compact"/>
            </w:pPr>
            <w:r>
              <w:t xml:space="preserve">TRUE</w:t>
            </w:r>
          </w:p>
        </w:tc>
      </w:tr>
      <w:tr>
        <w:tc>
          <w:tcPr/>
          <w:p>
            <w:pPr>
              <w:pStyle w:val="Compact"/>
            </w:pPr>
            <w:r>
              <w:t xml:space="preserve">Design/SRS standard-error ratio plausible (No dialysis-dependent kidney failure)</w:t>
            </w:r>
          </w:p>
        </w:tc>
        <w:tc>
          <w:tcPr/>
          <w:p>
            <w:pPr>
              <w:pStyle w:val="Compact"/>
            </w:pPr>
            <w:r>
              <w:t xml:space="preserve">1.30</w:t>
            </w:r>
          </w:p>
        </w:tc>
        <w:tc>
          <w:tcPr/>
          <w:p>
            <w:pPr>
              <w:pStyle w:val="Compact"/>
            </w:pPr>
            <w:r>
              <w:t xml:space="preserve">0.5 to 10</w:t>
            </w:r>
          </w:p>
        </w:tc>
        <w:tc>
          <w:tcPr/>
          <w:p>
            <w:pPr>
              <w:pStyle w:val="Compact"/>
            </w:pPr>
            <w:r>
              <w:t xml:space="preserve">TRUE</w:t>
            </w:r>
          </w:p>
        </w:tc>
      </w:tr>
      <w:tr>
        <w:tc>
          <w:tcPr/>
          <w:p>
            <w:pPr>
              <w:pStyle w:val="Compact"/>
            </w:pPr>
            <w:r>
              <w:t xml:space="preserve">Design/SRS standard-error ratio plausible (Dialysis-dependent kidney failure)</w:t>
            </w:r>
          </w:p>
        </w:tc>
        <w:tc>
          <w:tcPr/>
          <w:p>
            <w:pPr>
              <w:pStyle w:val="Compact"/>
            </w:pPr>
            <w:r>
              <w:t xml:space="preserve">1.16</w:t>
            </w:r>
          </w:p>
        </w:tc>
        <w:tc>
          <w:tcPr/>
          <w:p>
            <w:pPr>
              <w:pStyle w:val="Compact"/>
            </w:pPr>
            <w:r>
              <w:t xml:space="preserve">0.5 to 10</w:t>
            </w:r>
          </w:p>
        </w:tc>
        <w:tc>
          <w:tcPr/>
          <w:p>
            <w:pPr>
              <w:pStyle w:val="Compact"/>
            </w:pPr>
            <w:r>
              <w:t xml:space="preserve">TRUE</w:t>
            </w:r>
          </w:p>
        </w:tc>
      </w:tr>
      <w:tr>
        <w:tc>
          <w:tcPr/>
          <w:p>
            <w:pPr>
              <w:pStyle w:val="Compact"/>
            </w:pPr>
            <w:r>
              <w:t xml:space="preserve">Overall rate lies within the range of</w:t>
            </w:r>
            <w:r>
              <w:t xml:space="preserve"> </w:t>
            </w:r>
            <w:r>
              <w:t xml:space="preserve">‘Dialysis-dependent kidney failure’</w:t>
            </w:r>
            <w:r>
              <w:t xml:space="preserve"> </w:t>
            </w:r>
            <w:r>
              <w:t xml:space="preserve">levels</w:t>
            </w:r>
          </w:p>
        </w:tc>
        <w:tc>
          <w:tcPr/>
          <w:p>
            <w:pPr>
              <w:pStyle w:val="Compact"/>
            </w:pPr>
            <w:r>
              <w:t xml:space="preserve">7.82% in [7.55%, 18.86%]</w:t>
            </w:r>
          </w:p>
        </w:tc>
        <w:tc>
          <w:tcPr/>
          <w:p>
            <w:pPr>
              <w:pStyle w:val="Compact"/>
            </w:pPr>
            <w:r>
              <w:t xml:space="preserve">inside</w:t>
            </w:r>
          </w:p>
        </w:tc>
        <w:tc>
          <w:tcPr/>
          <w:p>
            <w:pPr>
              <w:pStyle w:val="Compact"/>
            </w:pPr>
            <w:r>
              <w:t xml:space="preserve">TRUE</w:t>
            </w:r>
          </w:p>
        </w:tc>
      </w:tr>
      <w:tr>
        <w:tc>
          <w:tcPr/>
          <w:p>
            <w:pPr>
              <w:pStyle w:val="Compact"/>
            </w:pPr>
            <w:r>
              <w:t xml:space="preserve">Overall rate lies within the range of</w:t>
            </w:r>
            <w:r>
              <w:t xml:space="preserve"> </w:t>
            </w:r>
            <w:r>
              <w:t xml:space="preserve">‘Discharge year’</w:t>
            </w:r>
            <w:r>
              <w:t xml:space="preserve"> </w:t>
            </w:r>
            <w:r>
              <w:t xml:space="preserve">levels</w:t>
            </w:r>
          </w:p>
        </w:tc>
        <w:tc>
          <w:tcPr/>
          <w:p>
            <w:pPr>
              <w:pStyle w:val="Compact"/>
            </w:pPr>
            <w:r>
              <w:t xml:space="preserve">7.82% in [6.71%, 9.86%]</w:t>
            </w:r>
          </w:p>
        </w:tc>
        <w:tc>
          <w:tcPr/>
          <w:p>
            <w:pPr>
              <w:pStyle w:val="Compact"/>
            </w:pPr>
            <w:r>
              <w:t xml:space="preserve">inside</w:t>
            </w:r>
          </w:p>
        </w:tc>
        <w:tc>
          <w:tcPr/>
          <w:p>
            <w:pPr>
              <w:pStyle w:val="Compact"/>
            </w:pPr>
            <w:r>
              <w:t xml:space="preserve">TRUE</w:t>
            </w:r>
          </w:p>
        </w:tc>
      </w:tr>
      <w:tr>
        <w:tc>
          <w:tcPr/>
          <w:p>
            <w:pPr>
              <w:pStyle w:val="Compact"/>
            </w:pPr>
            <w:r>
              <w:t xml:space="preserve">Overall rate lies within the range of</w:t>
            </w:r>
            <w:r>
              <w:t xml:space="preserve"> </w:t>
            </w:r>
            <w:r>
              <w:t xml:space="preserve">‘Prior major bleeding’</w:t>
            </w:r>
            <w:r>
              <w:t xml:space="preserve"> </w:t>
            </w:r>
            <w:r>
              <w:t xml:space="preserve">levels</w:t>
            </w:r>
          </w:p>
        </w:tc>
        <w:tc>
          <w:tcPr/>
          <w:p>
            <w:pPr>
              <w:pStyle w:val="Compact"/>
            </w:pPr>
            <w:r>
              <w:t xml:space="preserve">7.82% in [7.52%, 15.03%]</w:t>
            </w:r>
          </w:p>
        </w:tc>
        <w:tc>
          <w:tcPr/>
          <w:p>
            <w:pPr>
              <w:pStyle w:val="Compact"/>
            </w:pPr>
            <w:r>
              <w:t xml:space="preserve">inside</w:t>
            </w:r>
          </w:p>
        </w:tc>
        <w:tc>
          <w:tcPr/>
          <w:p>
            <w:pPr>
              <w:pStyle w:val="Compact"/>
            </w:pPr>
            <w:r>
              <w:t xml:space="preserve">TRUE</w:t>
            </w:r>
          </w:p>
        </w:tc>
      </w:tr>
      <w:tr>
        <w:tc>
          <w:tcPr/>
          <w:p>
            <w:pPr>
              <w:pStyle w:val="Compact"/>
            </w:pPr>
            <w:r>
              <w:t xml:space="preserve">Overall rate lies within the range of</w:t>
            </w:r>
            <w:r>
              <w:t xml:space="preserve"> </w:t>
            </w:r>
            <w:r>
              <w:t xml:space="preserve">‘Age group’</w:t>
            </w:r>
            <w:r>
              <w:t xml:space="preserve"> </w:t>
            </w:r>
            <w:r>
              <w:t xml:space="preserve">levels</w:t>
            </w:r>
          </w:p>
        </w:tc>
        <w:tc>
          <w:tcPr/>
          <w:p>
            <w:pPr>
              <w:pStyle w:val="Compact"/>
            </w:pPr>
            <w:r>
              <w:t xml:space="preserve">7.82% in [7.04%, 8.31%]</w:t>
            </w:r>
          </w:p>
        </w:tc>
        <w:tc>
          <w:tcPr/>
          <w:p>
            <w:pPr>
              <w:pStyle w:val="Compact"/>
            </w:pPr>
            <w:r>
              <w:t xml:space="preserve">inside</w:t>
            </w:r>
          </w:p>
        </w:tc>
        <w:tc>
          <w:tcPr/>
          <w:p>
            <w:pPr>
              <w:pStyle w:val="Compact"/>
            </w:pPr>
            <w:r>
              <w:t xml:space="preserve">TRUE</w:t>
            </w:r>
          </w:p>
        </w:tc>
      </w:tr>
      <w:tr>
        <w:tc>
          <w:tcPr/>
          <w:p>
            <w:pPr>
              <w:pStyle w:val="Compact"/>
            </w:pPr>
            <w:r>
              <w:t xml:space="preserve">Overall rate lies within the range of</w:t>
            </w:r>
            <w:r>
              <w:t xml:space="preserve"> </w:t>
            </w:r>
            <w:r>
              <w:t xml:space="preserve">‘Hospital LAAO volume tertile (within year)’</w:t>
            </w:r>
            <w:r>
              <w:t xml:space="preserve"> </w:t>
            </w:r>
            <w:r>
              <w:t xml:space="preserve">levels</w:t>
            </w:r>
          </w:p>
        </w:tc>
        <w:tc>
          <w:tcPr/>
          <w:p>
            <w:pPr>
              <w:pStyle w:val="Compact"/>
            </w:pPr>
            <w:r>
              <w:t xml:space="preserve">7.82% in [7.06%, 8.60%]</w:t>
            </w:r>
          </w:p>
        </w:tc>
        <w:tc>
          <w:tcPr/>
          <w:p>
            <w:pPr>
              <w:pStyle w:val="Compact"/>
            </w:pPr>
            <w:r>
              <w:t xml:space="preserve">inside</w:t>
            </w:r>
          </w:p>
        </w:tc>
        <w:tc>
          <w:tcPr/>
          <w:p>
            <w:pPr>
              <w:pStyle w:val="Compact"/>
            </w:pPr>
            <w:r>
              <w:t xml:space="preserve">TRUE</w:t>
            </w:r>
          </w:p>
        </w:tc>
      </w:tr>
      <w:tr>
        <w:tc>
          <w:tcPr/>
          <w:p>
            <w:pPr>
              <w:pStyle w:val="Compact"/>
            </w:pPr>
            <w:r>
              <w:t xml:space="preserve">Every reported standard error finite (no non-finite or missing value in any table cell)</w:t>
            </w:r>
          </w:p>
        </w:tc>
        <w:tc>
          <w:tcPr/>
          <w:p>
            <w:pPr>
              <w:pStyle w:val="Compact"/>
            </w:pPr>
            <w:r>
              <w:t xml:space="preserve">0</w:t>
            </w:r>
          </w:p>
        </w:tc>
        <w:tc>
          <w:tcPr/>
          <w:p>
            <w:pPr>
              <w:pStyle w:val="Compact"/>
            </w:pPr>
            <w:r>
              <w:t xml:space="preserve">0</w:t>
            </w:r>
          </w:p>
        </w:tc>
        <w:tc>
          <w:tcPr/>
          <w:p>
            <w:pPr>
              <w:pStyle w:val="Compact"/>
            </w:pPr>
            <w:r>
              <w:t xml:space="preserve">TRUE</w:t>
            </w:r>
          </w:p>
        </w:tc>
      </w:tr>
      <w:tr>
        <w:tc>
          <w:tcPr/>
          <w:p>
            <w:pPr>
              <w:pStyle w:val="Compact"/>
            </w:pPr>
            <w:r>
              <w:t xml:space="preserve">Design degrees of freedom &gt; 100 (SAP D2)</w:t>
            </w:r>
          </w:p>
        </w:tc>
        <w:tc>
          <w:tcPr/>
          <w:p>
            <w:pPr>
              <w:pStyle w:val="Compact"/>
            </w:pPr>
            <w:r>
              <w:t xml:space="preserve">1996</w:t>
            </w:r>
          </w:p>
        </w:tc>
        <w:tc>
          <w:tcPr/>
          <w:p>
            <w:pPr>
              <w:pStyle w:val="Compact"/>
            </w:pPr>
            <w:r>
              <w:t xml:space="preserve">&gt; 100</w:t>
            </w:r>
          </w:p>
        </w:tc>
        <w:tc>
          <w:tcPr/>
          <w:p>
            <w:pPr>
              <w:pStyle w:val="Compact"/>
            </w:pPr>
            <w:r>
              <w:t xml:space="preserve">TRUE</w:t>
            </w:r>
          </w:p>
        </w:tc>
      </w:tr>
      <w:tr>
        <w:tc>
          <w:tcPr/>
          <w:p>
            <w:pPr>
              <w:pStyle w:val="Compact"/>
            </w:pPr>
            <w:r>
              <w:t xml:space="preserve">Small-cell scan: zero violations across every rendered table</w:t>
            </w:r>
          </w:p>
        </w:tc>
        <w:tc>
          <w:tcPr/>
          <w:p>
            <w:pPr>
              <w:pStyle w:val="Compact"/>
            </w:pPr>
            <w:r>
              <w:t xml:space="preserve">0</w:t>
            </w:r>
          </w:p>
        </w:tc>
        <w:tc>
          <w:tcPr/>
          <w:p>
            <w:pPr>
              <w:pStyle w:val="Compact"/>
            </w:pPr>
            <w:r>
              <w:t xml:space="preserve">0</w:t>
            </w:r>
          </w:p>
        </w:tc>
        <w:tc>
          <w:tcPr/>
          <w:p>
            <w:pPr>
              <w:pStyle w:val="Compact"/>
            </w:pPr>
            <w:r>
              <w:t xml:space="preserve">TRUE</w:t>
            </w:r>
          </w:p>
        </w:tc>
      </w:tr>
      <w:tr>
        <w:tc>
          <w:tcPr/>
          <w:p>
            <w:pPr>
              <w:pStyle w:val="Compact"/>
            </w:pPr>
            <w:r>
              <w:t xml:space="preserve">Suppression scanner self-test passes in both directions</w:t>
            </w:r>
          </w:p>
        </w:tc>
        <w:tc>
          <w:tcPr/>
          <w:p>
            <w:pPr>
              <w:pStyle w:val="Compact"/>
            </w:pPr>
            <w:r>
              <w:t xml:space="preserve">6</w:t>
            </w:r>
          </w:p>
        </w:tc>
        <w:tc>
          <w:tcPr/>
          <w:p>
            <w:pPr>
              <w:pStyle w:val="Compact"/>
            </w:pPr>
            <w:r>
              <w:t xml:space="preserve">6</w:t>
            </w:r>
          </w:p>
        </w:tc>
        <w:tc>
          <w:tcPr/>
          <w:p>
            <w:pPr>
              <w:pStyle w:val="Compact"/>
            </w:pPr>
            <w:r>
              <w:t xml:space="preserve">TRUE</w:t>
            </w:r>
          </w:p>
        </w:tc>
      </w:tr>
    </w:tbl>
    <w:p>
      <w:pPr>
        <w:pStyle w:val="BodyText"/>
      </w:pPr>
      <w:r>
        <w:t xml:space="preserve"> </w:t>
      </w:r>
    </w:p>
    <w:p>
      <w:pPr>
        <w:pStyle w:val="TableCaption"/>
      </w:pPr>
      <w:r>
        <w:t xml:space="preserve">Unweighted all-listed 02L73DK discharges per year: this build vs the HCUP frequency workbook.</w:t>
      </w:r>
    </w:p>
    <w:tbl>
      <w:tblPr>
        <w:tblStyle w:val="Table"/>
        <w:tblW w:type="pct" w:w="5000"/>
        <w:tblLayout w:type="fixed"/>
        <w:tblLook w:firstRow="1" w:lastRow="0" w:firstColumn="0" w:lastColumn="0" w:noHBand="0" w:noVBand="0" w:val="0020"/>
        <w:tblCaption w:val="Unweighted all-listed 02L73DK discharges per year: this build vs the HCUP frequency workbook."/>
      </w:tblPr>
      <w:tblGrid>
        <w:gridCol w:w="383"/>
        <w:gridCol w:w="3704"/>
        <w:gridCol w:w="2874"/>
        <w:gridCol w:w="958"/>
      </w:tblGrid>
      <w:tr>
        <w:trPr>
          <w:tblHeader w:val="on"/>
        </w:trPr>
        <w:tc>
          <w:tcPr/>
          <w:p>
            <w:pPr>
              <w:pStyle w:val="Compact"/>
            </w:pPr>
            <w:r>
              <w:t xml:space="preserve">Year</w:t>
            </w:r>
          </w:p>
        </w:tc>
        <w:tc>
          <w:tcPr/>
          <w:p>
            <w:pPr>
              <w:pStyle w:val="Compact"/>
            </w:pPr>
            <w:r>
              <w:t xml:space="preserve">HCUP frequency workbook, all-listed 02L73DK (unweighted)</w:t>
            </w:r>
          </w:p>
        </w:tc>
        <w:tc>
          <w:tcPr/>
          <w:p>
            <w:pPr>
              <w:pStyle w:val="Compact"/>
            </w:pPr>
            <w:r>
              <w:t xml:space="preserve">This build, all-listed 02L73DK (unweighted)</w:t>
            </w:r>
          </w:p>
        </w:tc>
        <w:tc>
          <w:tcPr/>
          <w:p>
            <w:pPr>
              <w:pStyle w:val="Compact"/>
            </w:pPr>
            <w:r>
              <w:t xml:space="preserve">Difference, %</w:t>
            </w:r>
          </w:p>
        </w:tc>
      </w:tr>
      <w:tr>
        <w:tc>
          <w:tcPr/>
          <w:p>
            <w:pPr>
              <w:pStyle w:val="Compact"/>
            </w:pPr>
            <w:r>
              <w:t xml:space="preserve">2016</w:t>
            </w:r>
          </w:p>
        </w:tc>
        <w:tc>
          <w:tcPr/>
          <w:p>
            <w:pPr>
              <w:pStyle w:val="Compact"/>
            </w:pPr>
            <w:r>
              <w:t xml:space="preserve">3083</w:t>
            </w:r>
          </w:p>
        </w:tc>
        <w:tc>
          <w:tcPr/>
          <w:p>
            <w:pPr>
              <w:pStyle w:val="Compact"/>
            </w:pPr>
            <w:r>
              <w:t xml:space="preserve">3083</w:t>
            </w:r>
          </w:p>
        </w:tc>
        <w:tc>
          <w:tcPr/>
          <w:p>
            <w:pPr>
              <w:pStyle w:val="Compact"/>
            </w:pPr>
            <w:r>
              <w:t xml:space="preserve">0</w:t>
            </w:r>
          </w:p>
        </w:tc>
      </w:tr>
      <w:tr>
        <w:tc>
          <w:tcPr/>
          <w:p>
            <w:pPr>
              <w:pStyle w:val="Compact"/>
            </w:pPr>
            <w:r>
              <w:t xml:space="preserve">2017</w:t>
            </w:r>
          </w:p>
        </w:tc>
        <w:tc>
          <w:tcPr/>
          <w:p>
            <w:pPr>
              <w:pStyle w:val="Compact"/>
            </w:pPr>
            <w:r>
              <w:t xml:space="preserve">6014</w:t>
            </w:r>
          </w:p>
        </w:tc>
        <w:tc>
          <w:tcPr/>
          <w:p>
            <w:pPr>
              <w:pStyle w:val="Compact"/>
            </w:pPr>
            <w:r>
              <w:t xml:space="preserve">6014</w:t>
            </w:r>
          </w:p>
        </w:tc>
        <w:tc>
          <w:tcPr/>
          <w:p>
            <w:pPr>
              <w:pStyle w:val="Compact"/>
            </w:pPr>
            <w:r>
              <w:t xml:space="preserve">0</w:t>
            </w:r>
          </w:p>
        </w:tc>
      </w:tr>
      <w:tr>
        <w:tc>
          <w:tcPr/>
          <w:p>
            <w:pPr>
              <w:pStyle w:val="Compact"/>
            </w:pPr>
            <w:r>
              <w:t xml:space="preserve">2018</w:t>
            </w:r>
          </w:p>
        </w:tc>
        <w:tc>
          <w:tcPr/>
          <w:p>
            <w:pPr>
              <w:pStyle w:val="Compact"/>
            </w:pPr>
            <w:r>
              <w:t xml:space="preserve">9605</w:t>
            </w:r>
          </w:p>
        </w:tc>
        <w:tc>
          <w:tcPr/>
          <w:p>
            <w:pPr>
              <w:pStyle w:val="Compact"/>
            </w:pPr>
            <w:r>
              <w:t xml:space="preserve">9605</w:t>
            </w:r>
          </w:p>
        </w:tc>
        <w:tc>
          <w:tcPr/>
          <w:p>
            <w:pPr>
              <w:pStyle w:val="Compact"/>
            </w:pPr>
            <w:r>
              <w:t xml:space="preserve">0</w:t>
            </w:r>
          </w:p>
        </w:tc>
      </w:tr>
      <w:tr>
        <w:tc>
          <w:tcPr/>
          <w:p>
            <w:pPr>
              <w:pStyle w:val="Compact"/>
            </w:pPr>
            <w:r>
              <w:t xml:space="preserve">2019</w:t>
            </w:r>
          </w:p>
        </w:tc>
        <w:tc>
          <w:tcPr/>
          <w:p>
            <w:pPr>
              <w:pStyle w:val="Compact"/>
            </w:pPr>
            <w:r>
              <w:t xml:space="preserve">1.561e+04</w:t>
            </w:r>
          </w:p>
        </w:tc>
        <w:tc>
          <w:tcPr/>
          <w:p>
            <w:pPr>
              <w:pStyle w:val="Compact"/>
            </w:pPr>
            <w:r>
              <w:t xml:space="preserve">1.561e+04</w:t>
            </w:r>
          </w:p>
        </w:tc>
        <w:tc>
          <w:tcPr/>
          <w:p>
            <w:pPr>
              <w:pStyle w:val="Compact"/>
            </w:pPr>
            <w:r>
              <w:t xml:space="preserve">0</w:t>
            </w:r>
          </w:p>
        </w:tc>
      </w:tr>
      <w:tr>
        <w:tc>
          <w:tcPr/>
          <w:p>
            <w:pPr>
              <w:pStyle w:val="Compact"/>
            </w:pPr>
            <w:r>
              <w:t xml:space="preserve">2020</w:t>
            </w:r>
          </w:p>
        </w:tc>
        <w:tc>
          <w:tcPr/>
          <w:p>
            <w:pPr>
              <w:pStyle w:val="Compact"/>
            </w:pPr>
            <w:r>
              <w:t xml:space="preserve">1.63e+04</w:t>
            </w:r>
          </w:p>
        </w:tc>
        <w:tc>
          <w:tcPr/>
          <w:p>
            <w:pPr>
              <w:pStyle w:val="Compact"/>
            </w:pPr>
            <w:r>
              <w:t xml:space="preserve">1.63e+04</w:t>
            </w:r>
          </w:p>
        </w:tc>
        <w:tc>
          <w:tcPr/>
          <w:p>
            <w:pPr>
              <w:pStyle w:val="Compact"/>
            </w:pPr>
            <w:r>
              <w:t xml:space="preserve">0</w:t>
            </w:r>
          </w:p>
        </w:tc>
      </w:tr>
      <w:tr>
        <w:tc>
          <w:tcPr/>
          <w:p>
            <w:pPr>
              <w:pStyle w:val="Compact"/>
            </w:pPr>
            <w:r>
              <w:t xml:space="preserve">2021</w:t>
            </w:r>
          </w:p>
        </w:tc>
        <w:tc>
          <w:tcPr/>
          <w:p>
            <w:pPr>
              <w:pStyle w:val="Compact"/>
            </w:pPr>
            <w:r>
              <w:t xml:space="preserve">2.65e+04</w:t>
            </w:r>
          </w:p>
        </w:tc>
        <w:tc>
          <w:tcPr/>
          <w:p>
            <w:pPr>
              <w:pStyle w:val="Compact"/>
            </w:pPr>
            <w:r>
              <w:t xml:space="preserve">2.65e+04</w:t>
            </w:r>
          </w:p>
        </w:tc>
        <w:tc>
          <w:tcPr/>
          <w:p>
            <w:pPr>
              <w:pStyle w:val="Compact"/>
            </w:pPr>
            <w:r>
              <w:t xml:space="preserve">0</w:t>
            </w:r>
          </w:p>
        </w:tc>
      </w:tr>
      <w:tr>
        <w:tc>
          <w:tcPr/>
          <w:p>
            <w:pPr>
              <w:pStyle w:val="Compact"/>
            </w:pPr>
            <w:r>
              <w:t xml:space="preserve">2022</w:t>
            </w:r>
          </w:p>
        </w:tc>
        <w:tc>
          <w:tcPr/>
          <w:p>
            <w:pPr>
              <w:pStyle w:val="Compact"/>
            </w:pPr>
            <w:r>
              <w:t xml:space="preserve">3.577e+04</w:t>
            </w:r>
          </w:p>
        </w:tc>
        <w:tc>
          <w:tcPr/>
          <w:p>
            <w:pPr>
              <w:pStyle w:val="Compact"/>
            </w:pPr>
            <w:r>
              <w:t xml:space="preserve">3.577e+04</w:t>
            </w:r>
          </w:p>
        </w:tc>
        <w:tc>
          <w:tcPr/>
          <w:p>
            <w:pPr>
              <w:pStyle w:val="Compact"/>
            </w:pPr>
            <w:r>
              <w:t xml:space="preserve">0</w:t>
            </w:r>
          </w:p>
        </w:tc>
      </w:tr>
    </w:tbl>
    <w:bookmarkEnd w:id="69"/>
    <w:bookmarkStart w:id="70" w:name="structural-checks"/>
    <w:p>
      <w:pPr>
        <w:pStyle w:val="Heading2"/>
      </w:pPr>
      <w:r>
        <w:t xml:space="preserve">8.4 Structural checks</w:t>
      </w:r>
    </w:p>
    <w:p>
      <w:pPr>
        <w:pStyle w:val="TableCaption"/>
      </w:pPr>
      <w:r>
        <w:t xml:space="preserve">Structural verification (SAP section D2/D3).</w:t>
      </w:r>
    </w:p>
    <w:tbl>
      <w:tblPr>
        <w:tblStyle w:val="Table"/>
        <w:tblW w:type="pct" w:w="5000"/>
        <w:tblLayout w:type="fixed"/>
        <w:tblLook w:firstRow="1" w:lastRow="0" w:firstColumn="0" w:lastColumn="0" w:noHBand="0" w:noVBand="0" w:val="0020"/>
        <w:tblCaption w:val="Structural verification (SAP section D2/D3)."/>
      </w:tblPr>
      <w:tblGrid>
        <w:gridCol w:w="3015"/>
        <w:gridCol w:w="2331"/>
        <w:gridCol w:w="2572"/>
      </w:tblGrid>
      <w:tr>
        <w:trPr>
          <w:tblHeader w:val="on"/>
        </w:trPr>
        <w:tc>
          <w:tcPr/>
          <w:p>
            <w:pPr>
              <w:pStyle w:val="Compact"/>
            </w:pPr>
            <w:r>
              <w:t xml:space="preserve">Check</w:t>
            </w:r>
          </w:p>
        </w:tc>
        <w:tc>
          <w:tcPr/>
          <w:p>
            <w:pPr>
              <w:pStyle w:val="Compact"/>
            </w:pPr>
            <w:r>
              <w:t xml:space="preserve">Result</w:t>
            </w:r>
          </w:p>
        </w:tc>
        <w:tc>
          <w:tcPr/>
          <w:p>
            <w:pPr>
              <w:pStyle w:val="Compact"/>
            </w:pPr>
            <w:r>
              <w:t xml:space="preserve">Evidence</w:t>
            </w:r>
          </w:p>
        </w:tc>
      </w:tr>
      <w:tr>
        <w:tc>
          <w:tcPr/>
          <w:p>
            <w:pPr>
              <w:pStyle w:val="Compact"/>
            </w:pPr>
            <w:r>
              <w:t xml:space="preserve">Survey design built once and subset thereafter</w:t>
            </w:r>
          </w:p>
        </w:tc>
        <w:tc>
          <w:tcPr/>
          <w:p>
            <w:pPr>
              <w:pStyle w:val="Compact"/>
            </w:pPr>
            <w:r>
              <w:t xml:space="preserve">Yes</w:t>
            </w:r>
          </w:p>
        </w:tc>
        <w:tc>
          <w:tcPr/>
          <w:p>
            <w:pPr>
              <w:pStyle w:val="Compact"/>
            </w:pPr>
            <w:r>
              <w:t xml:space="preserve">scripts/NRD_Saad_LAAO_ESKD_setup.R; every stage calls subset()</w:t>
            </w:r>
          </w:p>
        </w:tc>
      </w:tr>
      <w:tr>
        <w:tc>
          <w:tcPr/>
          <w:p>
            <w:pPr>
              <w:pStyle w:val="Compact"/>
            </w:pPr>
            <w:r>
              <w:t xml:space="preserve">Year-unique, integer-coded stratum and cluster identifiers (1:1 asserted)</w:t>
            </w:r>
          </w:p>
        </w:tc>
        <w:tc>
          <w:tcPr/>
          <w:p>
            <w:pPr>
              <w:pStyle w:val="Compact"/>
            </w:pPr>
            <w:r>
              <w:t xml:space="preserve">Yes</w:t>
            </w:r>
          </w:p>
        </w:tc>
        <w:tc>
          <w:tcPr/>
          <w:p>
            <w:pPr>
              <w:pStyle w:val="Compact"/>
            </w:pPr>
            <w:r>
              <w:t xml:space="preserve">add_year_unique_ids() in nrd_survey_core.R; Table S1</w:t>
            </w:r>
          </w:p>
        </w:tc>
      </w:tr>
      <w:tr>
        <w:tc>
          <w:tcPr/>
          <w:p>
            <w:pPr>
              <w:pStyle w:val="Compact"/>
            </w:pPr>
            <w:r>
              <w:t xml:space="preserve">In-hospital deaths excluded from the index cohort</w:t>
            </w:r>
          </w:p>
        </w:tc>
        <w:tc>
          <w:tcPr/>
          <w:p>
            <w:pPr>
              <w:pStyle w:val="Compact"/>
            </w:pPr>
            <w:r>
              <w:t xml:space="preserve">Yes</w:t>
            </w:r>
          </w:p>
        </w:tc>
        <w:tc>
          <w:tcPr/>
          <w:p>
            <w:pPr>
              <w:pStyle w:val="Compact"/>
            </w:pPr>
            <w:r>
              <w:t xml:space="preserve">stopifnot() in prepare_cohort; denominator guards</w:t>
            </w:r>
          </w:p>
        </w:tc>
      </w:tr>
      <w:tr>
        <w:tc>
          <w:tcPr/>
          <w:p>
            <w:pPr>
              <w:pStyle w:val="Compact"/>
            </w:pPr>
            <w:r>
              <w:t xml:space="preserve">December discharges excluded from the index cohort</w:t>
            </w:r>
          </w:p>
        </w:tc>
        <w:tc>
          <w:tcPr/>
          <w:p>
            <w:pPr>
              <w:pStyle w:val="Compact"/>
            </w:pPr>
            <w:r>
              <w:t xml:space="preserve">Yes</w:t>
            </w:r>
          </w:p>
        </w:tc>
        <w:tc>
          <w:tcPr/>
          <w:p>
            <w:pPr>
              <w:pStyle w:val="Compact"/>
            </w:pPr>
            <w:r>
              <w:t xml:space="preserve">stopifnot() in prepare_cohort; denominator guards</w:t>
            </w:r>
          </w:p>
        </w:tc>
      </w:tr>
      <w:tr>
        <w:tc>
          <w:tcPr/>
          <w:p>
            <w:pPr>
              <w:pStyle w:val="Compact"/>
            </w:pPr>
            <w:r>
              <w:t xml:space="preserve">Transfers to another acute hospital excluded</w:t>
            </w:r>
          </w:p>
        </w:tc>
        <w:tc>
          <w:tcPr/>
          <w:p>
            <w:pPr>
              <w:pStyle w:val="Compact"/>
            </w:pPr>
            <w:r>
              <w:t xml:space="preserve">Yes</w:t>
            </w:r>
          </w:p>
        </w:tc>
        <w:tc>
          <w:tcPr/>
          <w:p>
            <w:pPr>
              <w:pStyle w:val="Compact"/>
            </w:pPr>
            <w:r>
              <w:t xml:space="preserve">stopifnot() in prepare_cohort; denominator guards</w:t>
            </w:r>
          </w:p>
        </w:tc>
      </w:tr>
      <w:tr>
        <w:tc>
          <w:tcPr/>
          <w:p>
            <w:pPr>
              <w:pStyle w:val="Compact"/>
            </w:pPr>
            <w:r>
              <w:t xml:space="preserve">Concomitant cardiac surgery excluded</w:t>
            </w:r>
          </w:p>
        </w:tc>
        <w:tc>
          <w:tcPr/>
          <w:p>
            <w:pPr>
              <w:pStyle w:val="Compact"/>
            </w:pPr>
            <w:r>
              <w:t xml:space="preserve">Yes</w:t>
            </w:r>
          </w:p>
        </w:tc>
        <w:tc>
          <w:tcPr/>
          <w:p>
            <w:pPr>
              <w:pStyle w:val="Compact"/>
            </w:pPr>
            <w:r>
              <w:t xml:space="preserve">stopifnot() in prepare_cohort; denominator guards</w:t>
            </w:r>
          </w:p>
        </w:tc>
      </w:tr>
      <w:tr>
        <w:tc>
          <w:tcPr/>
          <w:p>
            <w:pPr>
              <w:pStyle w:val="Compact"/>
            </w:pPr>
            <w:r>
              <w:t xml:space="preserve">Exposure has exactly two levels, no missing values</w:t>
            </w:r>
          </w:p>
        </w:tc>
        <w:tc>
          <w:tcPr/>
          <w:p>
            <w:pPr>
              <w:pStyle w:val="Compact"/>
            </w:pPr>
            <w:r>
              <w:t xml:space="preserve">Yes</w:t>
            </w:r>
          </w:p>
        </w:tc>
        <w:tc>
          <w:tcPr/>
          <w:p>
            <w:pPr>
              <w:pStyle w:val="Compact"/>
            </w:pPr>
            <w:r>
              <w:t xml:space="preserve">stopifnot() in prepare_cohort</w:t>
            </w:r>
          </w:p>
        </w:tc>
      </w:tr>
      <w:tr>
        <w:tc>
          <w:tcPr/>
          <w:p>
            <w:pPr>
              <w:pStyle w:val="Compact"/>
            </w:pPr>
            <w:r>
              <w:t xml:space="preserve">Odds ratio and risk difference agree in direction</w:t>
            </w:r>
          </w:p>
        </w:tc>
        <w:tc>
          <w:tcPr/>
          <w:p>
            <w:pPr>
              <w:pStyle w:val="Compact"/>
            </w:pPr>
            <w:r>
              <w:t xml:space="preserve">Yes</w:t>
            </w:r>
          </w:p>
        </w:tc>
        <w:tc>
          <w:tcPr/>
          <w:p>
            <w:pPr>
              <w:pStyle w:val="Compact"/>
            </w:pPr>
            <w:r>
              <w:t xml:space="preserve">Hard stop in the regression stage</w:t>
            </w:r>
          </w:p>
        </w:tc>
      </w:tr>
      <w:tr>
        <w:tc>
          <w:tcPr/>
          <w:p>
            <w:pPr>
              <w:pStyle w:val="Compact"/>
            </w:pPr>
            <w:r>
              <w:t xml:space="preserve">Marginal standardization cross-checked independently</w:t>
            </w:r>
          </w:p>
        </w:tc>
        <w:tc>
          <w:tcPr/>
          <w:p>
            <w:pPr>
              <w:pStyle w:val="Compact"/>
            </w:pPr>
            <w:r>
              <w:t xml:space="preserve">AGREE (to three decimal places on the probability scale)</w:t>
            </w:r>
          </w:p>
        </w:tc>
        <w:tc>
          <w:tcPr/>
          <w:p>
            <w:pPr>
              <w:pStyle w:val="Compact"/>
            </w:pPr>
            <w:r>
              <w:t xml:space="preserve">Table 3d</w:t>
            </w:r>
          </w:p>
        </w:tc>
      </w:tr>
      <w:tr>
        <w:tc>
          <w:tcPr/>
          <w:p>
            <w:pPr>
              <w:pStyle w:val="Compact"/>
            </w:pPr>
            <w:r>
              <w:t xml:space="preserve">Uniform field-depth sensitivity analysis required by the year audit</w:t>
            </w:r>
          </w:p>
        </w:tc>
        <w:tc>
          <w:tcPr/>
          <w:p>
            <w:pPr>
              <w:pStyle w:val="Compact"/>
            </w:pPr>
            <w:r>
              <w:t xml:space="preserve">Yes – S8 run</w:t>
            </w:r>
          </w:p>
        </w:tc>
        <w:tc>
          <w:tcPr/>
          <w:p>
            <w:pPr>
              <w:pStyle w:val="Compact"/>
            </w:pPr>
            <w:r>
              <w:t xml:space="preserve">Table 6</w:t>
            </w:r>
          </w:p>
        </w:tc>
      </w:tr>
      <w:tr>
        <w:tc>
          <w:tcPr/>
          <w:p>
            <w:pPr>
              <w:pStyle w:val="Compact"/>
            </w:pPr>
            <w:r>
              <w:t xml:space="preserve">Present-on-admission indicator available</w:t>
            </w:r>
          </w:p>
        </w:tc>
        <w:tc>
          <w:tcPr/>
          <w:p>
            <w:pPr>
              <w:pStyle w:val="Compact"/>
            </w:pPr>
            <w:r>
              <w:t xml:space="preserve">No – POA-restricted analyses not estimable</w:t>
            </w:r>
          </w:p>
        </w:tc>
        <w:tc>
          <w:tcPr/>
          <w:p>
            <w:pPr>
              <w:pStyle w:val="Compact"/>
            </w:pPr>
            <w:r>
              <w:t xml:space="preserve">Pre-analysis year audit (Project 1)</w:t>
            </w:r>
          </w:p>
        </w:tc>
      </w:tr>
    </w:tbl>
    <w:bookmarkEnd w:id="70"/>
    <w:bookmarkStart w:id="71" w:name="figures-written"/>
    <w:p>
      <w:pPr>
        <w:pStyle w:val="Heading2"/>
      </w:pPr>
      <w:r>
        <w:t xml:space="preserve">8.5 Figures written</w:t>
      </w:r>
    </w:p>
    <w:p>
      <w:pPr>
        <w:pStyle w:val="TableCaption"/>
      </w:pPr>
      <w:r>
        <w:t xml:space="preserve">Figure files produced by this run.</w:t>
      </w:r>
    </w:p>
    <w:tbl>
      <w:tblPr>
        <w:tblStyle w:val="Table"/>
        <w:tblW w:type="auto" w:w="0"/>
        <w:tblLook w:firstRow="1" w:lastRow="0" w:firstColumn="0" w:lastColumn="0" w:noHBand="0" w:noVBand="0" w:val="0020"/>
        <w:tblCaption w:val="Figure files produced by this run."/>
      </w:tblPr>
      <w:tblGrid>
        <w:gridCol w:w="3960"/>
        <w:gridCol w:w="3960"/>
      </w:tblGrid>
      <w:tr>
        <w:trPr>
          <w:tblHeader w:val="on"/>
        </w:trPr>
        <w:tc>
          <w:tcPr/>
          <w:p>
            <w:pPr>
              <w:pStyle w:val="Compact"/>
            </w:pPr>
            <w:r>
              <w:t xml:space="preserve">File</w:t>
            </w:r>
          </w:p>
        </w:tc>
        <w:tc>
          <w:tcPr/>
          <w:p>
            <w:pPr>
              <w:pStyle w:val="Compact"/>
            </w:pPr>
            <w:r>
              <w:t xml:space="preserve">Size</w:t>
            </w:r>
          </w:p>
        </w:tc>
      </w:tr>
      <w:tr>
        <w:tc>
          <w:tcPr/>
          <w:p>
            <w:pPr>
              <w:pStyle w:val="Compact"/>
            </w:pPr>
            <w:r>
              <w:t xml:space="preserve">Figure1_cohort_flow.pdf</w:t>
            </w:r>
          </w:p>
        </w:tc>
        <w:tc>
          <w:tcPr/>
          <w:p>
            <w:pPr>
              <w:pStyle w:val="Compact"/>
            </w:pPr>
            <w:r>
              <w:t xml:space="preserve">5 KB</w:t>
            </w:r>
          </w:p>
        </w:tc>
      </w:tr>
      <w:tr>
        <w:tc>
          <w:tcPr/>
          <w:p>
            <w:pPr>
              <w:pStyle w:val="Compact"/>
            </w:pPr>
            <w:r>
              <w:t xml:space="preserve">Figure1_cohort_flow.png</w:t>
            </w:r>
          </w:p>
        </w:tc>
        <w:tc>
          <w:tcPr/>
          <w:p>
            <w:pPr>
              <w:pStyle w:val="Compact"/>
            </w:pPr>
            <w:r>
              <w:t xml:space="preserve">152 KB</w:t>
            </w:r>
          </w:p>
        </w:tc>
      </w:tr>
      <w:tr>
        <w:tc>
          <w:tcPr/>
          <w:p>
            <w:pPr>
              <w:pStyle w:val="Compact"/>
            </w:pPr>
            <w:r>
              <w:t xml:space="preserve">Figure2_readmission_rates.pdf</w:t>
            </w:r>
          </w:p>
        </w:tc>
        <w:tc>
          <w:tcPr/>
          <w:p>
            <w:pPr>
              <w:pStyle w:val="Compact"/>
            </w:pPr>
            <w:r>
              <w:t xml:space="preserve">5 KB</w:t>
            </w:r>
          </w:p>
        </w:tc>
      </w:tr>
      <w:tr>
        <w:tc>
          <w:tcPr/>
          <w:p>
            <w:pPr>
              <w:pStyle w:val="Compact"/>
            </w:pPr>
            <w:r>
              <w:t xml:space="preserve">Figure2_readmission_rates.png</w:t>
            </w:r>
          </w:p>
        </w:tc>
        <w:tc>
          <w:tcPr/>
          <w:p>
            <w:pPr>
              <w:pStyle w:val="Compact"/>
            </w:pPr>
            <w:r>
              <w:t xml:space="preserve">169 KB</w:t>
            </w:r>
          </w:p>
        </w:tc>
      </w:tr>
      <w:tr>
        <w:tc>
          <w:tcPr/>
          <w:p>
            <w:pPr>
              <w:pStyle w:val="Compact"/>
            </w:pPr>
            <w:r>
              <w:t xml:space="preserve">Figure3_subgroups.pdf</w:t>
            </w:r>
          </w:p>
        </w:tc>
        <w:tc>
          <w:tcPr/>
          <w:p>
            <w:pPr>
              <w:pStyle w:val="Compact"/>
            </w:pPr>
            <w:r>
              <w:t xml:space="preserve">5 KB</w:t>
            </w:r>
          </w:p>
        </w:tc>
      </w:tr>
      <w:tr>
        <w:tc>
          <w:tcPr/>
          <w:p>
            <w:pPr>
              <w:pStyle w:val="Compact"/>
            </w:pPr>
            <w:r>
              <w:t xml:space="preserve">Figure3_subgroups.png</w:t>
            </w:r>
          </w:p>
        </w:tc>
        <w:tc>
          <w:tcPr/>
          <w:p>
            <w:pPr>
              <w:pStyle w:val="Compact"/>
            </w:pPr>
            <w:r>
              <w:t xml:space="preserve">116 KB</w:t>
            </w:r>
          </w:p>
        </w:tc>
      </w:tr>
      <w:tr>
        <w:tc>
          <w:tcPr/>
          <w:p>
            <w:pPr>
              <w:pStyle w:val="Compact"/>
            </w:pPr>
            <w:r>
              <w:t xml:space="preserve">Figure4_cumulative_incidence.pdf</w:t>
            </w:r>
          </w:p>
        </w:tc>
        <w:tc>
          <w:tcPr/>
          <w:p>
            <w:pPr>
              <w:pStyle w:val="Compact"/>
            </w:pPr>
            <w:r>
              <w:t xml:space="preserve">6 KB</w:t>
            </w:r>
          </w:p>
        </w:tc>
      </w:tr>
      <w:tr>
        <w:tc>
          <w:tcPr/>
          <w:p>
            <w:pPr>
              <w:pStyle w:val="Compact"/>
            </w:pPr>
            <w:r>
              <w:t xml:space="preserve">Figure4_cumulative_incidence.png</w:t>
            </w:r>
          </w:p>
        </w:tc>
        <w:tc>
          <w:tcPr/>
          <w:p>
            <w:pPr>
              <w:pStyle w:val="Compact"/>
            </w:pPr>
            <w:r>
              <w:t xml:space="preserve">154 KB</w:t>
            </w:r>
          </w:p>
        </w:tc>
      </w:tr>
      <w:tr>
        <w:tc>
          <w:tcPr/>
          <w:p>
            <w:pPr>
              <w:pStyle w:val="Compact"/>
            </w:pPr>
            <w:r>
              <w:t xml:space="preserve">Figure5_readmission_causes.pdf</w:t>
            </w:r>
          </w:p>
        </w:tc>
        <w:tc>
          <w:tcPr/>
          <w:p>
            <w:pPr>
              <w:pStyle w:val="Compact"/>
            </w:pPr>
            <w:r>
              <w:t xml:space="preserve">5 KB</w:t>
            </w:r>
          </w:p>
        </w:tc>
      </w:tr>
      <w:tr>
        <w:tc>
          <w:tcPr/>
          <w:p>
            <w:pPr>
              <w:pStyle w:val="Compact"/>
            </w:pPr>
            <w:r>
              <w:t xml:space="preserve">Figure5_readmission_causes.png</w:t>
            </w:r>
          </w:p>
        </w:tc>
        <w:tc>
          <w:tcPr/>
          <w:p>
            <w:pPr>
              <w:pStyle w:val="Compact"/>
            </w:pPr>
            <w:r>
              <w:t xml:space="preserve">113 KB</w:t>
            </w:r>
          </w:p>
        </w:tc>
      </w:tr>
      <w:tr>
        <w:tc>
          <w:tcPr/>
          <w:p>
            <w:pPr>
              <w:pStyle w:val="Compact"/>
            </w:pPr>
            <w:r>
              <w:t xml:space="preserve">FigureS1_temporal_trends.pdf</w:t>
            </w:r>
          </w:p>
        </w:tc>
        <w:tc>
          <w:tcPr/>
          <w:p>
            <w:pPr>
              <w:pStyle w:val="Compact"/>
            </w:pPr>
            <w:r>
              <w:t xml:space="preserve">7 KB</w:t>
            </w:r>
          </w:p>
        </w:tc>
      </w:tr>
      <w:tr>
        <w:tc>
          <w:tcPr/>
          <w:p>
            <w:pPr>
              <w:pStyle w:val="Compact"/>
            </w:pPr>
            <w:r>
              <w:t xml:space="preserve">FigureS1_temporal_trends.png</w:t>
            </w:r>
          </w:p>
        </w:tc>
        <w:tc>
          <w:tcPr/>
          <w:p>
            <w:pPr>
              <w:pStyle w:val="Compact"/>
            </w:pPr>
            <w:r>
              <w:t xml:space="preserve">153 KB</w:t>
            </w:r>
          </w:p>
        </w:tc>
      </w:tr>
      <w:tr>
        <w:tc>
          <w:tcPr/>
          <w:p>
            <w:pPr>
              <w:pStyle w:val="Compact"/>
            </w:pPr>
            <w:r>
              <w:t xml:space="preserve">FigureS2_age_spline.pdf</w:t>
            </w:r>
          </w:p>
        </w:tc>
        <w:tc>
          <w:tcPr/>
          <w:p>
            <w:pPr>
              <w:pStyle w:val="Compact"/>
            </w:pPr>
            <w:r>
              <w:t xml:space="preserve">6 KB</w:t>
            </w:r>
          </w:p>
        </w:tc>
      </w:tr>
      <w:tr>
        <w:tc>
          <w:tcPr/>
          <w:p>
            <w:pPr>
              <w:pStyle w:val="Compact"/>
            </w:pPr>
            <w:r>
              <w:t xml:space="preserve">FigureS2_age_spline.png</w:t>
            </w:r>
          </w:p>
        </w:tc>
        <w:tc>
          <w:tcPr/>
          <w:p>
            <w:pPr>
              <w:pStyle w:val="Compact"/>
            </w:pPr>
            <w:r>
              <w:t xml:space="preserve">105 KB</w:t>
            </w:r>
          </w:p>
        </w:tc>
      </w:tr>
      <w:tr>
        <w:tc>
          <w:tcPr/>
          <w:p>
            <w:pPr>
              <w:pStyle w:val="Compact"/>
            </w:pPr>
            <w:r>
              <w:t xml:space="preserve">FigureS3_covariate_balance.pdf</w:t>
            </w:r>
          </w:p>
        </w:tc>
        <w:tc>
          <w:tcPr/>
          <w:p>
            <w:pPr>
              <w:pStyle w:val="Compact"/>
            </w:pPr>
            <w:r>
              <w:t xml:space="preserve">7 KB</w:t>
            </w:r>
          </w:p>
        </w:tc>
      </w:tr>
      <w:tr>
        <w:tc>
          <w:tcPr/>
          <w:p>
            <w:pPr>
              <w:pStyle w:val="Compact"/>
            </w:pPr>
            <w:r>
              <w:t xml:space="preserve">FigureS3_covariate_balance.png</w:t>
            </w:r>
          </w:p>
        </w:tc>
        <w:tc>
          <w:tcPr/>
          <w:p>
            <w:pPr>
              <w:pStyle w:val="Compact"/>
            </w:pPr>
            <w:r>
              <w:t xml:space="preserve">170 KB</w:t>
            </w:r>
          </w:p>
        </w:tc>
      </w:tr>
      <w:tr>
        <w:tc>
          <w:tcPr/>
          <w:p>
            <w:pPr>
              <w:pStyle w:val="Compact"/>
            </w:pPr>
            <w:r>
              <w:t xml:space="preserve">FigureS4_calibration.pdf</w:t>
            </w:r>
          </w:p>
        </w:tc>
        <w:tc>
          <w:tcPr/>
          <w:p>
            <w:pPr>
              <w:pStyle w:val="Compact"/>
            </w:pPr>
            <w:r>
              <w:t xml:space="preserve">5 KB</w:t>
            </w:r>
          </w:p>
        </w:tc>
      </w:tr>
      <w:tr>
        <w:tc>
          <w:tcPr/>
          <w:p>
            <w:pPr>
              <w:pStyle w:val="Compact"/>
            </w:pPr>
            <w:r>
              <w:t xml:space="preserve">FigureS4_calibration.png</w:t>
            </w:r>
          </w:p>
        </w:tc>
        <w:tc>
          <w:tcPr/>
          <w:p>
            <w:pPr>
              <w:pStyle w:val="Compact"/>
            </w:pPr>
            <w:r>
              <w:t xml:space="preserve">82 KB</w:t>
            </w:r>
          </w:p>
        </w:tc>
      </w:tr>
      <w:tr>
        <w:tc>
          <w:tcPr/>
          <w:p>
            <w:pPr>
              <w:pStyle w:val="Compact"/>
            </w:pPr>
            <w:r>
              <w:t xml:space="preserve">FigureS5_sequential_adjustment.pdf</w:t>
            </w:r>
          </w:p>
        </w:tc>
        <w:tc>
          <w:tcPr/>
          <w:p>
            <w:pPr>
              <w:pStyle w:val="Compact"/>
            </w:pPr>
            <w:r>
              <w:t xml:space="preserve">5 KB</w:t>
            </w:r>
          </w:p>
        </w:tc>
      </w:tr>
      <w:tr>
        <w:tc>
          <w:tcPr/>
          <w:p>
            <w:pPr>
              <w:pStyle w:val="Compact"/>
            </w:pPr>
            <w:r>
              <w:t xml:space="preserve">FigureS5_sequential_adjustment.png</w:t>
            </w:r>
          </w:p>
        </w:tc>
        <w:tc>
          <w:tcPr/>
          <w:p>
            <w:pPr>
              <w:pStyle w:val="Compact"/>
            </w:pPr>
            <w:r>
              <w:t xml:space="preserve">114 KB</w:t>
            </w:r>
          </w:p>
        </w:tc>
      </w:tr>
      <w:tr>
        <w:tc>
          <w:tcPr/>
          <w:p>
            <w:pPr>
              <w:pStyle w:val="Compact"/>
            </w:pPr>
            <w:r>
              <w:t xml:space="preserve">FigureS6_secondary_outcomes.pdf</w:t>
            </w:r>
          </w:p>
        </w:tc>
        <w:tc>
          <w:tcPr/>
          <w:p>
            <w:pPr>
              <w:pStyle w:val="Compact"/>
            </w:pPr>
            <w:r>
              <w:t xml:space="preserve">5 KB</w:t>
            </w:r>
          </w:p>
        </w:tc>
      </w:tr>
      <w:tr>
        <w:tc>
          <w:tcPr/>
          <w:p>
            <w:pPr>
              <w:pStyle w:val="Compact"/>
            </w:pPr>
            <w:r>
              <w:t xml:space="preserve">FigureS6_secondary_outcomes.png</w:t>
            </w:r>
          </w:p>
        </w:tc>
        <w:tc>
          <w:tcPr/>
          <w:p>
            <w:pPr>
              <w:pStyle w:val="Compact"/>
            </w:pPr>
            <w:r>
              <w:t xml:space="preserve">115 KB</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All figures were produced in R with ggplot2 and are supplied as vector PDFs together with 600-dpi PNG copies in the figures/ directory. Vector artwork has no intrinsic resolution; the raster copies exist only for pasting into a word-processor draft and should not be submitted in place of the PDFs. Figures use shape and greyscale contrast rather than colour so that they remain readable in black-and-white print and to readers with colour vision deficiency. Cells suppressed under the HCUP minimum-cell rule are absent from the figures as well as from the tables, so no suppressed count can be recovered from a plotted value.</w:t>
            </w:r>
          </w:p>
        </w:tc>
      </w:tr>
    </w:tbl>
    <w:bookmarkEnd w:id="71"/>
    <w:bookmarkEnd w:id="72"/>
    <w:bookmarkStart w:id="73" w:name="session-information"/>
    <w:p>
      <w:pPr>
        <w:pStyle w:val="Heading1"/>
      </w:pPr>
      <w:r>
        <w:t xml:space="preserve">9. Session information</w:t>
      </w:r>
    </w:p>
    <w:p>
      <w:pPr>
        <w:pStyle w:val="SourceCode"/>
      </w:pPr>
      <w:r>
        <w:rPr>
          <w:rStyle w:val="VerbatimChar"/>
        </w:rPr>
        <w:t xml:space="preserve">R version 4.6.1 (2026-06-24 ucrt) </w:t>
      </w:r>
      <w:r>
        <w:br/>
      </w:r>
      <w:r>
        <w:rPr>
          <w:rStyle w:val="VerbatimChar"/>
        </w:rPr>
        <w:t xml:space="preserve">Platform: x86_64-w64-mingw32</w:t>
      </w:r>
      <w:r>
        <w:br/>
      </w:r>
      <w:r>
        <w:rPr>
          <w:rStyle w:val="VerbatimChar"/>
        </w:rPr>
        <w:t xml:space="preserve">survey:   4.5</w:t>
      </w:r>
      <w:r>
        <w:br/>
      </w:r>
      <w:r>
        <w:rPr>
          <w:rStyle w:val="VerbatimChar"/>
        </w:rPr>
        <w:t xml:space="preserve">Run at:   2026-09-28 00:20:13 PKT</w:t>
      </w:r>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1" Target="media/rId21.png" /><Relationship Type="http://schemas.openxmlformats.org/officeDocument/2006/relationships/image" Id="rId48" Target="media/rId48.png" /><Relationship Type="http://schemas.openxmlformats.org/officeDocument/2006/relationships/image" Id="rId44" Target="media/rId44.png" /><Relationship Type="http://schemas.openxmlformats.org/officeDocument/2006/relationships/image" Id="rId40" Target="media/rId40.png" /><Relationship Type="http://schemas.openxmlformats.org/officeDocument/2006/relationships/image" Id="rId52" Target="media/rId5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58" Target="media/rId58.png" /><Relationship Type="http://schemas.openxmlformats.org/officeDocument/2006/relationships/image" Id="rId32" Target="media/rId32.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Thirty-day readmission after percutaneous left atrial appendage occlusion in dialysis-dependent kidney failure</dc:title>
  <dc:creator>Statistical analysis: Saad</dc:creator>
  <cp:keywords/>
  <dcterms:created xsi:type="dcterms:W3CDTF">2026-09-27T19:20:38Z</dcterms:created>
  <dcterms:modified xsi:type="dcterms:W3CDTF">2026-09-27T19:20:38Z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2026-09-28</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Nationwide Readmissions Database, 2016–2022 — statistical report</vt:lpwstr>
  </property>
  <property fmtid="{D5CDD505-2E9C-101B-9397-08002B2CF9AE}" pid="12" name="toc-title">
    <vt:lpwstr>Table of contents</vt:lpwstr>
  </property>
</Properties>
</file>