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30.png" ContentType="image/png"/>
  <Override PartName="/word/media/rId49.png" ContentType="image/png"/>
  <Override PartName="/word/media/rId88.png" ContentType="image/png"/>
  <Override PartName="/word/media/rId37.png" ContentType="image/png"/>
  <Override PartName="/word/media/rId63.png" ContentType="image/png"/>
  <Override PartName="/word/media/rId57.png" ContentType="image/png"/>
  <Override PartName="/word/media/rId46.png" ContentType="image/png"/>
  <Override PartName="/word/media/rId76.png" ContentType="image/png"/>
  <Override PartName="/word/media/rId53.png" ContentType="image/png"/>
  <Override PartName="/word/media/rId70.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Amphetamine-type stimulant use disorder and 30-day readmission after a heart failure hospitalization</w:t>
      </w:r>
    </w:p>
    <w:p>
      <w:pPr>
        <w:pStyle w:val="Subtitle"/>
      </w:pPr>
      <w:r>
        <w:t xml:space="preserve">Nationwide Readmissions Database, 2016-2022 – statistical report and standalone methods</w:t>
      </w:r>
    </w:p>
    <w:p>
      <w:pPr>
        <w:pStyle w:val="Author"/>
      </w:pPr>
      <w:r>
        <w:t xml:space="preserve">Statistical analysis: Muhammad Saad</w:t>
      </w:r>
    </w:p>
    <w:p>
      <w:pPr>
        <w:pStyle w:val="Date"/>
      </w:pPr>
      <w:r>
        <w:t xml:space="preserve">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c-howto"/>
    <w:p>
      <w:pPr>
        <w:pStyle w:val="Heading1"/>
      </w:pPr>
      <w:r>
        <w:t xml:space="preserve">1. How to use this document</w:t>
      </w:r>
    </w:p>
    <w:p>
      <w:pPr>
        <w:pStyle w:val="FirstParagraph"/>
      </w:pPr>
      <w:r>
        <w:t xml:space="preserve">This report is written to be</w:t>
      </w:r>
      <w:r>
        <w:t xml:space="preserve"> </w:t>
      </w:r>
      <w:r>
        <w:rPr>
          <w:b/>
          <w:bCs/>
        </w:rPr>
        <w:t xml:space="preserve">self-contained</w:t>
      </w:r>
      <w:r>
        <w:t xml:space="preserve">.</w:t>
      </w:r>
    </w:p>
    <w:p>
      <w:pPr>
        <w:pStyle w:val="Compact"/>
        <w:numPr>
          <w:ilvl w:val="0"/>
          <w:numId w:val="1001"/>
        </w:numPr>
      </w:pPr>
      <w:hyperlink w:anchor="sec-methods">
        <w:r>
          <w:rPr>
            <w:rStyle w:val="Hyperlink"/>
          </w:rPr>
          <w:t xml:space="preserve">Section 2</w:t>
        </w:r>
      </w:hyperlink>
      <w:r>
        <w:t xml:space="preserve"> </w:t>
      </w:r>
      <w:r>
        <w:t xml:space="preserve">is the</w:t>
      </w:r>
      <w:r>
        <w:t xml:space="preserve"> </w:t>
      </w:r>
      <w:r>
        <w:rPr>
          <w:b/>
          <w:bCs/>
        </w:rPr>
        <w:t xml:space="preserve">Methods section</w:t>
      </w:r>
      <w:r>
        <w:t xml:space="preserve">, written in manuscript prose. It can</w:t>
      </w:r>
      <w:r>
        <w:t xml:space="preserve"> </w:t>
      </w:r>
      <w:r>
        <w:t xml:space="preserve">be lifted into the paper with light editing for house style. Every analytic</w:t>
      </w:r>
      <w:r>
        <w:t xml:space="preserve"> </w:t>
      </w:r>
      <w:r>
        <w:t xml:space="preserve">choice is stated together with the reason for it, so that a reviewer’s</w:t>
      </w:r>
      <w:r>
        <w:t xml:space="preserve"> </w:t>
      </w:r>
      <w:r>
        <w:t xml:space="preserve">“why did you do it this way?”</w:t>
      </w:r>
      <w:r>
        <w:t xml:space="preserve"> </w:t>
      </w:r>
      <w:r>
        <w:t xml:space="preserve">is already answered in the text.</w:t>
      </w:r>
    </w:p>
    <w:p>
      <w:pPr>
        <w:pStyle w:val="Compact"/>
        <w:numPr>
          <w:ilvl w:val="0"/>
          <w:numId w:val="1001"/>
        </w:numPr>
      </w:pPr>
      <w:hyperlink w:anchor="sec-results">
        <w:r>
          <w:rPr>
            <w:rStyle w:val="Hyperlink"/>
          </w:rPr>
          <w:t xml:space="preserve">Section 3</w:t>
        </w:r>
      </w:hyperlink>
      <w:r>
        <w:t xml:space="preserve"> </w:t>
      </w:r>
      <w:r>
        <w:t xml:space="preserve">contains every table and figure, each with a caption and a</w:t>
      </w:r>
      <w:r>
        <w:t xml:space="preserve"> </w:t>
      </w:r>
      <w:r>
        <w:t xml:space="preserve">note that states exactly what the numbers are and what they are not.</w:t>
      </w:r>
    </w:p>
    <w:p>
      <w:pPr>
        <w:pStyle w:val="Compact"/>
        <w:numPr>
          <w:ilvl w:val="0"/>
          <w:numId w:val="1001"/>
        </w:numPr>
      </w:pPr>
      <w:hyperlink w:anchor="sec-limitations">
        <w:r>
          <w:rPr>
            <w:rStyle w:val="Hyperlink"/>
          </w:rPr>
          <w:t xml:space="preserve">Section 4</w:t>
        </w:r>
      </w:hyperlink>
      <w:r>
        <w:t xml:space="preserve"> </w:t>
      </w:r>
      <w:r>
        <w:t xml:space="preserve">is a</w:t>
      </w:r>
      <w:r>
        <w:t xml:space="preserve"> </w:t>
      </w:r>
      <w:r>
        <w:rPr>
          <w:b/>
          <w:bCs/>
        </w:rPr>
        <w:t xml:space="preserve">pre-written Limitations section</w:t>
      </w:r>
      <w:r>
        <w:t xml:space="preserve">.</w:t>
      </w:r>
    </w:p>
    <w:p>
      <w:pPr>
        <w:pStyle w:val="Compact"/>
        <w:numPr>
          <w:ilvl w:val="0"/>
          <w:numId w:val="1001"/>
        </w:numPr>
      </w:pPr>
      <w:hyperlink w:anchor="sec-reviewers">
        <w:r>
          <w:rPr>
            <w:rStyle w:val="Hyperlink"/>
          </w:rPr>
          <w:t xml:space="preserve">Section 5</w:t>
        </w:r>
      </w:hyperlink>
      <w:r>
        <w:t xml:space="preserve"> </w:t>
      </w:r>
      <w:r>
        <w:t xml:space="preserve">anticipates the statistical criticisms this design attracts</w:t>
      </w:r>
      <w:r>
        <w:t xml:space="preserve"> </w:t>
      </w:r>
      <w:r>
        <w:t xml:space="preserve">and gives the prepared answer to each.</w:t>
      </w:r>
    </w:p>
    <w:p>
      <w:pPr>
        <w:pStyle w:val="Compact"/>
        <w:numPr>
          <w:ilvl w:val="0"/>
          <w:numId w:val="1001"/>
        </w:numPr>
      </w:pPr>
      <w:hyperlink w:anchor="sec-verification">
        <w:r>
          <w:rPr>
            <w:rStyle w:val="Hyperlink"/>
          </w:rPr>
          <w:t xml:space="preserve">Section 7</w:t>
        </w:r>
      </w:hyperlink>
      <w:r>
        <w:t xml:space="preserve"> </w:t>
      </w:r>
      <w:r>
        <w:t xml:space="preserve">is the verification log: the checks that were run on this</w:t>
      </w:r>
      <w:r>
        <w:t xml:space="preserve"> </w:t>
      </w:r>
      <w:r>
        <w:t xml:space="preserve">analysis and their outcome.</w:t>
      </w:r>
    </w:p>
    <w:p>
      <w:pPr>
        <w:pStyle w:val="FirstParagraph"/>
      </w:pPr>
      <w:r>
        <w:t xml:space="preserve">Numbers in the prose below are generated from the data at render time, not</w:t>
      </w:r>
      <w:r>
        <w:t xml:space="preserve"> </w:t>
      </w:r>
      <w:r>
        <w:t xml:space="preserve">typed. If a number appears in the text it is the same number as in the</w:t>
      </w:r>
      <w:r>
        <w:t xml:space="preserve"> </w:t>
      </w:r>
      <w:r>
        <w:t xml:space="preserve">corresponding table by construction.</w:t>
      </w:r>
    </w:p>
    <w:p>
      <w:pPr>
        <w:pStyle w:val="BodyText"/>
      </w:pPr>
      <w:r>
        <w:rPr>
          <w:b/>
          <w:bCs/>
        </w:rPr>
        <w:t xml:space="preserve">Two conventions that matter for the write-up.</w:t>
      </w:r>
      <w:r>
        <w:t xml:space="preserve"> </w:t>
      </w:r>
      <w:r>
        <w:t xml:space="preserve">First, the exposure is</w:t>
      </w:r>
      <w:r>
        <w:t xml:space="preserve"> </w:t>
      </w:r>
      <w:r>
        <w:t xml:space="preserve">called</w:t>
      </w:r>
      <w:r>
        <w:t xml:space="preserve"> </w:t>
      </w:r>
      <w:r>
        <w:rPr>
          <w:b/>
          <w:bCs/>
        </w:rPr>
        <w:t xml:space="preserve">amphetamine-type stimulant use disorder</w:t>
      </w:r>
      <w:r>
        <w:t xml:space="preserve"> </w:t>
      </w:r>
      <w:r>
        <w:t xml:space="preserve">throughout and must be</w:t>
      </w:r>
      <w:r>
        <w:t xml:space="preserve"> </w:t>
      </w:r>
      <w:r>
        <w:t xml:space="preserve">called that in the manuscript; see</w:t>
      </w:r>
      <w:r>
        <w:t xml:space="preserve"> </w:t>
      </w:r>
      <w:hyperlink w:anchor="sec-exposure">
        <w:r>
          <w:rPr>
            <w:rStyle w:val="Hyperlink"/>
          </w:rPr>
          <w:t xml:space="preserve">Section 2.4</w:t>
        </w:r>
      </w:hyperlink>
      <w:r>
        <w:t xml:space="preserve"> </w:t>
      </w:r>
      <w:r>
        <w:t xml:space="preserve">for why</w:t>
      </w:r>
      <w:r>
        <w:t xml:space="preserve"> </w:t>
      </w:r>
      <w:r>
        <w:t xml:space="preserve">“methamphetamine”</w:t>
      </w:r>
      <w:r>
        <w:t xml:space="preserve"> </w:t>
      </w:r>
      <w:r>
        <w:t xml:space="preserve">is</w:t>
      </w:r>
      <w:r>
        <w:t xml:space="preserve"> </w:t>
      </w:r>
      <w:r>
        <w:t xml:space="preserve">wrong. Second, absolute effects (risk differences) are the headline result and</w:t>
      </w:r>
      <w:r>
        <w:t xml:space="preserve"> </w:t>
      </w:r>
      <w:r>
        <w:t xml:space="preserve">odds ratios are secondary, because 30-day readmission is common and an odds</w:t>
      </w:r>
      <w:r>
        <w:t xml:space="preserve"> </w:t>
      </w:r>
      <w:r>
        <w:t xml:space="preserve">ratio overstates a risk ratio when the outcome is common.</w:t>
      </w:r>
    </w:p>
    <w:bookmarkEnd w:id="9"/>
    <w:bookmarkStart w:id="29" w:name="sec-methods"/>
    <w:p>
      <w:pPr>
        <w:pStyle w:val="Heading1"/>
      </w:pPr>
      <w:r>
        <w:t xml:space="preserve">2. Methods</w:t>
      </w:r>
    </w:p>
    <w:bookmarkStart w:id="10" w:name="sec-data"/>
    <w:p>
      <w:pPr>
        <w:pStyle w:val="Heading2"/>
      </w:pPr>
      <w:r>
        <w:t xml:space="preserve">2.1 Data source</w:t>
      </w:r>
    </w:p>
    <w:p>
      <w:pPr>
        <w:pStyle w:val="FirstParagraph"/>
      </w:pPr>
      <w:r>
        <w:t xml:space="preserve">Data came from the Healthcare Cost and Utilization Project (HCUP) Nationwide</w:t>
      </w:r>
      <w:r>
        <w:t xml:space="preserve"> </w:t>
      </w:r>
      <w:r>
        <w:t xml:space="preserve">Readmissions Database (NRD) for calendar years 2016 through 2022, sponsored by</w:t>
      </w:r>
      <w:r>
        <w:t xml:space="preserve"> </w:t>
      </w:r>
      <w:r>
        <w:t xml:space="preserve">the Agency for Healthcare Research and Quality. The NRD is constructed from</w:t>
      </w:r>
      <w:r>
        <w:t xml:space="preserve"> </w:t>
      </w:r>
      <w:r>
        <w:t xml:space="preserve">HCUP State Inpatient Databases containing verified patient linkage numbers and</w:t>
      </w:r>
      <w:r>
        <w:t xml:space="preserve"> </w:t>
      </w:r>
      <w:r>
        <w:t xml:space="preserve">is designed to support national estimates of readmission for all payers and</w:t>
      </w:r>
      <w:r>
        <w:t xml:space="preserve"> </w:t>
      </w:r>
      <w:r>
        <w:t xml:space="preserve">for the uninsured. It is the largest all-payer readmission database in the</w:t>
      </w:r>
      <w:r>
        <w:t xml:space="preserve"> </w:t>
      </w:r>
      <w:r>
        <w:t xml:space="preserve">United States.</w:t>
      </w:r>
    </w:p>
    <w:p>
      <w:pPr>
        <w:pStyle w:val="BodyText"/>
      </w:pPr>
      <w:r>
        <w:t xml:space="preserve">Three features of the NRD determine much of the design that follows.</w:t>
      </w:r>
    </w:p>
    <w:p>
      <w:pPr>
        <w:pStyle w:val="Compact"/>
        <w:numPr>
          <w:ilvl w:val="0"/>
          <w:numId w:val="1002"/>
        </w:numPr>
      </w:pPr>
      <w:r>
        <w:rPr>
          <w:b/>
          <w:bCs/>
        </w:rPr>
        <w:t xml:space="preserve">Linkage is within calendar year only.</w:t>
      </w:r>
      <w:r>
        <w:t xml:space="preserve"> </w:t>
      </w:r>
      <w:r>
        <w:t xml:space="preserve">The verified patient linkage</w:t>
      </w:r>
      <w:r>
        <w:t xml:space="preserve"> </w:t>
      </w:r>
      <w:r>
        <w:t xml:space="preserve">number (</w:t>
      </w:r>
      <w:r>
        <w:rPr>
          <w:rStyle w:val="VerbatimChar"/>
        </w:rPr>
        <w:t xml:space="preserve">NRD_VISITLINK</w:t>
      </w:r>
      <w:r>
        <w:t xml:space="preserve">) is re-issued each year, so a patient cannot be</w:t>
      </w:r>
      <w:r>
        <w:t xml:space="preserve"> </w:t>
      </w:r>
      <w:r>
        <w:t xml:space="preserve">followed from December of one year into January of the next. This is why</w:t>
      </w:r>
      <w:r>
        <w:t xml:space="preserve"> </w:t>
      </w:r>
      <w:r>
        <w:t xml:space="preserve">December discharges are excluded from the index cohort (</w:t>
      </w:r>
      <w:hyperlink w:anchor="sec-cohort">
        <w:r>
          <w:rPr>
            <w:rStyle w:val="Hyperlink"/>
          </w:rPr>
          <w:t xml:space="preserve">Section 2.3</w:t>
        </w:r>
      </w:hyperlink>
      <w:r>
        <w:t xml:space="preserve">).</w:t>
      </w:r>
    </w:p>
    <w:p>
      <w:pPr>
        <w:pStyle w:val="Compact"/>
        <w:numPr>
          <w:ilvl w:val="0"/>
          <w:numId w:val="1002"/>
        </w:numPr>
      </w:pPr>
      <w:r>
        <w:rPr>
          <w:b/>
          <w:bCs/>
        </w:rPr>
        <w:t xml:space="preserve">The unit of observation is the discharge, not the patient.</w:t>
      </w:r>
      <w:r>
        <w:t xml:space="preserve"> </w:t>
      </w:r>
      <w:r>
        <w:t xml:space="preserve">A patient</w:t>
      </w:r>
      <w:r>
        <w:t xml:space="preserve"> </w:t>
      </w:r>
      <w:r>
        <w:t xml:space="preserve">may contribute more than one index admission within a year. This is</w:t>
      </w:r>
      <w:r>
        <w:t xml:space="preserve"> </w:t>
      </w:r>
      <w:r>
        <w:t xml:space="preserve">addressed by sensitivity analysis S1 (</w:t>
      </w:r>
      <w:hyperlink w:anchor="sec-sensitivity">
        <w:r>
          <w:rPr>
            <w:rStyle w:val="Hyperlink"/>
          </w:rPr>
          <w:t xml:space="preserve">Section 3.8</w:t>
        </w:r>
      </w:hyperlink>
      <w:r>
        <w:t xml:space="preserve">).</w:t>
      </w:r>
    </w:p>
    <w:p>
      <w:pPr>
        <w:pStyle w:val="Compact"/>
        <w:numPr>
          <w:ilvl w:val="0"/>
          <w:numId w:val="1002"/>
        </w:numPr>
      </w:pPr>
      <w:r>
        <w:rPr>
          <w:b/>
          <w:bCs/>
        </w:rPr>
        <w:t xml:space="preserve">The sampling design is a stratified cluster sample of hospitals.</w:t>
      </w:r>
      <w:r>
        <w:t xml:space="preserve"> </w:t>
      </w:r>
      <w:r>
        <w:t xml:space="preserve">Discharge weights (</w:t>
      </w:r>
      <w:r>
        <w:rPr>
          <w:rStyle w:val="VerbatimChar"/>
        </w:rPr>
        <w:t xml:space="preserve">DISCWT</w:t>
      </w:r>
      <w:r>
        <w:t xml:space="preserve">), hospital clusters (</w:t>
      </w:r>
      <w:r>
        <w:rPr>
          <w:rStyle w:val="VerbatimChar"/>
        </w:rPr>
        <w:t xml:space="preserve">HOSP_NRD</w:t>
      </w:r>
      <w:r>
        <w:t xml:space="preserve">) and sampling</w:t>
      </w:r>
      <w:r>
        <w:t xml:space="preserve"> </w:t>
      </w:r>
      <w:r>
        <w:t xml:space="preserve">strata (</w:t>
      </w:r>
      <w:r>
        <w:rPr>
          <w:rStyle w:val="VerbatimChar"/>
        </w:rPr>
        <w:t xml:space="preserve">NRD_STRATUM</w:t>
      </w:r>
      <w:r>
        <w:t xml:space="preserve">) must be used for every estimate, including</w:t>
      </w:r>
      <w:r>
        <w:t xml:space="preserve"> </w:t>
      </w:r>
      <w:r>
        <w:t xml:space="preserve">descriptive ones.</w:t>
      </w:r>
    </w:p>
    <w:p>
      <w:pPr>
        <w:pStyle w:val="FirstParagraph"/>
      </w:pPr>
      <w:r>
        <w:t xml:space="preserve">The NRD contains</w:t>
      </w:r>
      <w:r>
        <w:t xml:space="preserve"> </w:t>
      </w:r>
      <w:r>
        <w:rPr>
          <w:b/>
          <w:bCs/>
        </w:rPr>
        <w:t xml:space="preserve">no geographic identifiers below the national level and no</w:t>
      </w:r>
      <w:r>
        <w:rPr>
          <w:b/>
          <w:bCs/>
        </w:rPr>
        <w:t xml:space="preserve"> </w:t>
      </w:r>
      <w:r>
        <w:rPr>
          <w:b/>
          <w:bCs/>
        </w:rPr>
        <w:t xml:space="preserve">race or ethnicity variable</w:t>
      </w:r>
      <w:r>
        <w:t xml:space="preserve">. Neither can be adjusted for, and both are stated</w:t>
      </w:r>
      <w:r>
        <w:t xml:space="preserve"> </w:t>
      </w:r>
      <w:r>
        <w:t xml:space="preserve">as limitations (</w:t>
      </w:r>
      <w:hyperlink w:anchor="sec-limitations">
        <w:r>
          <w:rPr>
            <w:rStyle w:val="Hyperlink"/>
          </w:rPr>
          <w:t xml:space="preserve">Section 4</w:t>
        </w:r>
      </w:hyperlink>
      <w:r>
        <w:t xml:space="preserve">) rather than left for a reviewer to discover.</w:t>
      </w:r>
      <w:r>
        <w:t xml:space="preserve"> </w:t>
      </w:r>
      <w:r>
        <w:t xml:space="preserve">Because the study window is entirely within the ICD-10-CM/PCS era, no</w:t>
      </w:r>
      <w:r>
        <w:t xml:space="preserve"> </w:t>
      </w:r>
      <w:r>
        <w:t xml:space="preserve">ICD-9-to-ICD-10 crosswalk was required and no transition artefact is present.</w:t>
      </w:r>
    </w:p>
    <w:bookmarkEnd w:id="10"/>
    <w:bookmarkStart w:id="11" w:name="sec-design"/>
    <w:p>
      <w:pPr>
        <w:pStyle w:val="Heading2"/>
      </w:pPr>
      <w:r>
        <w:t xml:space="preserve">2.2 Study design and survey structure</w:t>
      </w:r>
    </w:p>
    <w:p>
      <w:pPr>
        <w:pStyle w:val="FirstParagraph"/>
      </w:pPr>
      <w:r>
        <w:t xml:space="preserve">This is a retrospective cohort study of index hospitalizations, using the</w:t>
      </w:r>
      <w:r>
        <w:t xml:space="preserve"> </w:t>
      </w:r>
      <w:r>
        <w:t xml:space="preserve">complex survey design throughout.</w:t>
      </w:r>
    </w:p>
    <w:p>
      <w:pPr>
        <w:pStyle w:val="BodyText"/>
      </w:pPr>
      <w:r>
        <w:t xml:space="preserve">The design object was constructed</w:t>
      </w:r>
      <w:r>
        <w:t xml:space="preserve"> </w:t>
      </w:r>
      <w:r>
        <w:rPr>
          <w:b/>
          <w:bCs/>
        </w:rPr>
        <w:t xml:space="preserve">once</w:t>
      </w:r>
      <w:r>
        <w:t xml:space="preserve">, on the complete cohort, with</w:t>
      </w:r>
      <w:r>
        <w:t xml:space="preserve"> </w:t>
      </w:r>
      <w:r>
        <w:rPr>
          <w:rStyle w:val="VerbatimChar"/>
        </w:rPr>
        <w:t xml:space="preserve">survey::svydesign()</w:t>
      </w:r>
      <w:r>
        <w:t xml:space="preserve"> </w:t>
      </w:r>
      <w:r>
        <w:t xml:space="preserve">using</w:t>
      </w:r>
      <w:r>
        <w:t xml:space="preserve"> </w:t>
      </w:r>
      <w:r>
        <w:rPr>
          <w:rStyle w:val="VerbatimChar"/>
        </w:rPr>
        <w:t xml:space="preserve">HOSP_YR</w:t>
      </w:r>
      <w:r>
        <w:t xml:space="preserve"> </w:t>
      </w:r>
      <w:r>
        <w:t xml:space="preserve">as the cluster,</w:t>
      </w:r>
      <w:r>
        <w:t xml:space="preserve"> </w:t>
      </w:r>
      <w:r>
        <w:rPr>
          <w:rStyle w:val="VerbatimChar"/>
        </w:rPr>
        <w:t xml:space="preserve">STRATUM_YR</w:t>
      </w:r>
      <w:r>
        <w:t xml:space="preserve"> </w:t>
      </w:r>
      <w:r>
        <w:t xml:space="preserve">as the</w:t>
      </w:r>
      <w:r>
        <w:t xml:space="preserve"> </w:t>
      </w:r>
      <w:r>
        <w:t xml:space="preserve">stratum,</w:t>
      </w:r>
      <w:r>
        <w:t xml:space="preserve"> </w:t>
      </w:r>
      <w:r>
        <w:rPr>
          <w:rStyle w:val="VerbatimChar"/>
        </w:rPr>
        <w:t xml:space="preserve">DISCWT</w:t>
      </w:r>
      <w:r>
        <w:t xml:space="preserve"> </w:t>
      </w:r>
      <w:r>
        <w:t xml:space="preserve">as the weight and</w:t>
      </w:r>
      <w:r>
        <w:t xml:space="preserve"> </w:t>
      </w:r>
      <w:r>
        <w:rPr>
          <w:rStyle w:val="VerbatimChar"/>
        </w:rPr>
        <w:t xml:space="preserve">nest = TRUE</w:t>
      </w:r>
      <w:r>
        <w:t xml:space="preserve">. Every subsequent analysis</w:t>
      </w:r>
      <w:r>
        <w:t xml:space="preserve"> </w:t>
      </w:r>
      <w:r>
        <w:t xml:space="preserve">is a</w:t>
      </w:r>
      <w:r>
        <w:t xml:space="preserve"> </w:t>
      </w:r>
      <w:r>
        <w:rPr>
          <w:rStyle w:val="VerbatimChar"/>
        </w:rPr>
        <w:t xml:space="preserve">subset()</w:t>
      </w:r>
      <w:r>
        <w:t xml:space="preserve"> </w:t>
      </w:r>
      <w:r>
        <w:t xml:space="preserve">of that single design object.</w:t>
      </w:r>
    </w:p>
    <w:p>
      <w:pPr>
        <w:pStyle w:val="BodyText"/>
      </w:pPr>
      <w:r>
        <w:rPr>
          <w:rStyle w:val="VerbatimChar"/>
        </w:rPr>
        <w:t xml:space="preserve">HOSP_NRD</w:t>
      </w:r>
      <w:r>
        <w:t xml:space="preserve"> </w:t>
      </w:r>
      <w:r>
        <w:t xml:space="preserve">and</w:t>
      </w:r>
      <w:r>
        <w:t xml:space="preserve"> </w:t>
      </w:r>
      <w:r>
        <w:rPr>
          <w:rStyle w:val="VerbatimChar"/>
        </w:rPr>
        <w:t xml:space="preserve">NRD_STRATUM</w:t>
      </w:r>
      <w:r>
        <w:t xml:space="preserve"> </w:t>
      </w:r>
      <w:r>
        <w:t xml:space="preserve">are</w:t>
      </w:r>
      <w:r>
        <w:t xml:space="preserve"> </w:t>
      </w:r>
      <w:r>
        <w:rPr>
          <w:b/>
          <w:bCs/>
        </w:rPr>
        <w:t xml:space="preserve">re-used across data years</w:t>
      </w:r>
      <w:r>
        <w:t xml:space="preserve"> </w:t>
      </w:r>
      <w:r>
        <w:t xml:space="preserve">and do not</w:t>
      </w:r>
      <w:r>
        <w:t xml:space="preserve"> </w:t>
      </w:r>
      <w:r>
        <w:t xml:space="preserve">identify the same hospital or stratum in different years. Pooling years</w:t>
      </w:r>
      <w:r>
        <w:t xml:space="preserve"> </w:t>
      </w:r>
      <w:r>
        <w:t xml:space="preserve">without making these identifiers year-unique collapses unrelated hospitals</w:t>
      </w:r>
      <w:r>
        <w:t xml:space="preserve"> </w:t>
      </w:r>
      <w:r>
        <w:t xml:space="preserve">into a single cluster and produces standard errors that are too small.</w:t>
      </w:r>
      <w:r>
        <w:t xml:space="preserve"> </w:t>
      </w:r>
      <w:r>
        <w:rPr>
          <w:rStyle w:val="VerbatimChar"/>
        </w:rPr>
        <w:t xml:space="preserve">STRATUM_YR</w:t>
      </w:r>
      <w:r>
        <w:t xml:space="preserve"> </w:t>
      </w:r>
      <w:r>
        <w:t xml:space="preserve">and</w:t>
      </w:r>
      <w:r>
        <w:t xml:space="preserve"> </w:t>
      </w:r>
      <w:r>
        <w:rPr>
          <w:rStyle w:val="VerbatimChar"/>
        </w:rPr>
        <w:t xml:space="preserve">HOSP_YR</w:t>
      </w:r>
      <w:r>
        <w:t xml:space="preserve"> </w:t>
      </w:r>
      <w:r>
        <w:t xml:space="preserve">are therefore formed by concatenating the discharge</w:t>
      </w:r>
      <w:r>
        <w:t xml:space="preserve"> </w:t>
      </w:r>
      <w:r>
        <w:t xml:space="preserve">year onto each identifier before the design is built. The presence of both is</w:t>
      </w:r>
      <w:r>
        <w:t xml:space="preserve"> </w:t>
      </w:r>
      <w:r>
        <w:t xml:space="preserve">asserted at run time; the analysis stops rather than proceeding without them.</w:t>
      </w:r>
    </w:p>
    <w:p>
      <w:pPr>
        <w:pStyle w:val="BodyText"/>
      </w:pPr>
      <w:r>
        <w:t xml:space="preserve">Filtering the data frame and then rebuilding a design on the filtered rows is</w:t>
      </w:r>
      <w:r>
        <w:t xml:space="preserve"> </w:t>
      </w:r>
      <w:r>
        <w:rPr>
          <w:b/>
          <w:bCs/>
        </w:rPr>
        <w:t xml:space="preserve">not</w:t>
      </w:r>
      <w:r>
        <w:t xml:space="preserve"> </w:t>
      </w:r>
      <w:r>
        <w:t xml:space="preserve">equivalent to subsetting the design: it discards strata that retain no</w:t>
      </w:r>
      <w:r>
        <w:t xml:space="preserve"> </w:t>
      </w:r>
      <w:r>
        <w:t xml:space="preserve">observations and produces variance estimates that are wrong in a way no</w:t>
      </w:r>
      <w:r>
        <w:t xml:space="preserve"> </w:t>
      </w:r>
      <w:r>
        <w:t xml:space="preserve">diagnostic reports. Every restriction in this analysis – the analytic cohort,</w:t>
      </w:r>
      <w:r>
        <w:t xml:space="preserve"> </w:t>
      </w:r>
      <w:r>
        <w:t xml:space="preserve">each subgroup, each sensitivity analysis – is a</w:t>
      </w:r>
      <w:r>
        <w:t xml:space="preserve"> </w:t>
      </w:r>
      <w:r>
        <w:rPr>
          <w:rStyle w:val="VerbatimChar"/>
        </w:rPr>
        <w:t xml:space="preserve">subset()</w:t>
      </w:r>
      <w:r>
        <w:t xml:space="preserve"> </w:t>
      </w:r>
      <w:r>
        <w:t xml:space="preserve">of the original</w:t>
      </w:r>
      <w:r>
        <w:t xml:space="preserve"> </w:t>
      </w:r>
      <w:r>
        <w:t xml:space="preserve">design.</w:t>
      </w:r>
    </w:p>
    <w:p>
      <w:pPr>
        <w:pStyle w:val="BodyText"/>
      </w:pPr>
      <w:r>
        <w:t xml:space="preserve">Strata containing a single primary sampling unit were centred at the grand</w:t>
      </w:r>
      <w:r>
        <w:t xml:space="preserve"> </w:t>
      </w:r>
      <w:r>
        <w:t xml:space="preserve">mean (</w:t>
      </w:r>
      <w:r>
        <w:rPr>
          <w:rStyle w:val="VerbatimChar"/>
        </w:rPr>
        <w:t xml:space="preserve">options(survey.lonely.psu = "adjust")</w:t>
      </w:r>
      <w:r>
        <w:t xml:space="preserve">) rather than dropped, which is</w:t>
      </w:r>
      <w:r>
        <w:t xml:space="preserve"> </w:t>
      </w:r>
      <w:r>
        <w:t xml:space="preserve">the conservative option; the number of such strata is reported in</w:t>
      </w:r>
      <w:r>
        <w:t xml:space="preserve"> </w:t>
      </w:r>
      <w:hyperlink w:anchor="sec-diagnostics">
        <w:r>
          <w:rPr>
            <w:rStyle w:val="Hyperlink"/>
          </w:rPr>
          <w:t xml:space="preserve">Section 3.10</w:t>
        </w:r>
      </w:hyperlink>
      <w:r>
        <w:t xml:space="preserve">. Confidence intervals constructed by hand use</w:t>
      </w:r>
      <w:r>
        <w:t xml:space="preserve"> </w:t>
      </w:r>
      <w:r>
        <w:rPr>
          <w:i/>
          <w:iCs/>
        </w:rPr>
        <w:t xml:space="preserve">t</w:t>
      </w:r>
      <w:r>
        <w:t xml:space="preserve"> </w:t>
      </w:r>
      <w:r>
        <w:t xml:space="preserve">critical</w:t>
      </w:r>
      <w:r>
        <w:t xml:space="preserve"> </w:t>
      </w:r>
      <w:r>
        <w:t xml:space="preserve">values on the design degrees of freedom rather than 1.96.</w:t>
      </w:r>
    </w:p>
    <w:p>
      <w:pPr>
        <w:pStyle w:val="TableCaption"/>
      </w:pPr>
      <w:r>
        <w:t xml:space="preserve">Table S1. Survey design properties of the analytic cohort.</w:t>
      </w:r>
    </w:p>
    <w:tbl>
      <w:tblPr>
        <w:tblStyle w:val="Table"/>
        <w:tblW w:type="pct" w:w="5000"/>
        <w:tblLayout w:type="fixed"/>
        <w:tblLook w:firstRow="1" w:lastRow="0" w:firstColumn="0" w:lastColumn="0" w:noHBand="0" w:noVBand="0" w:val="0020"/>
        <w:tblCaption w:val="Table S1. Survey design properties of the analytic cohort."/>
      </w:tblPr>
      <w:tblGrid>
        <w:gridCol w:w="5967"/>
        <w:gridCol w:w="1952"/>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Unweighted index admissions</w:t>
            </w:r>
          </w:p>
        </w:tc>
        <w:tc>
          <w:tcPr/>
          <w:p>
            <w:pPr>
              <w:pStyle w:val="Compact"/>
              <w:jc w:val="left"/>
            </w:pPr>
            <w:r>
              <w:t xml:space="preserve">3,773,470</w:t>
            </w:r>
          </w:p>
        </w:tc>
      </w:tr>
      <w:tr>
        <w:tc>
          <w:tcPr/>
          <w:p>
            <w:pPr>
              <w:pStyle w:val="Compact"/>
              <w:jc w:val="left"/>
            </w:pPr>
            <w:r>
              <w:t xml:space="preserve">Weighted national index admissions</w:t>
            </w:r>
          </w:p>
        </w:tc>
        <w:tc>
          <w:tcPr/>
          <w:p>
            <w:pPr>
              <w:pStyle w:val="Compact"/>
              <w:jc w:val="left"/>
            </w:pPr>
            <w:r>
              <w:t xml:space="preserve">6,906,198</w:t>
            </w:r>
          </w:p>
        </w:tc>
      </w:tr>
      <w:tr>
        <w:tc>
          <w:tcPr/>
          <w:p>
            <w:pPr>
              <w:pStyle w:val="Compact"/>
              <w:jc w:val="left"/>
            </w:pPr>
            <w:r>
              <w:t xml:space="preserve">Strata (year x NRD_STRATUM)</w:t>
            </w:r>
          </w:p>
        </w:tc>
        <w:tc>
          <w:tcPr/>
          <w:p>
            <w:pPr>
              <w:pStyle w:val="Compact"/>
              <w:jc w:val="left"/>
            </w:pPr>
            <w:r>
              <w:t xml:space="preserve">670</w:t>
            </w:r>
          </w:p>
        </w:tc>
      </w:tr>
      <w:tr>
        <w:tc>
          <w:tcPr/>
          <w:p>
            <w:pPr>
              <w:pStyle w:val="Compact"/>
              <w:jc w:val="left"/>
            </w:pPr>
            <w:r>
              <w:t xml:space="preserve">Primary sampling units (year x HOSP_NRD)</w:t>
            </w:r>
          </w:p>
        </w:tc>
        <w:tc>
          <w:tcPr/>
          <w:p>
            <w:pPr>
              <w:pStyle w:val="Compact"/>
              <w:jc w:val="left"/>
            </w:pPr>
            <w:r>
              <w:t xml:space="preserve">16,606</w:t>
            </w:r>
          </w:p>
        </w:tc>
      </w:tr>
      <w:tr>
        <w:tc>
          <w:tcPr/>
          <w:p>
            <w:pPr>
              <w:pStyle w:val="Compact"/>
              <w:jc w:val="left"/>
            </w:pPr>
            <w:r>
              <w:t xml:space="preserve">Strata containing a single PSU</w:t>
            </w:r>
          </w:p>
        </w:tc>
        <w:tc>
          <w:tcPr/>
          <w:p>
            <w:pPr>
              <w:pStyle w:val="Compact"/>
              <w:jc w:val="left"/>
            </w:pPr>
            <w:r>
              <w:t xml:space="preserve">0</w:t>
            </w:r>
          </w:p>
        </w:tc>
      </w:tr>
      <w:tr>
        <w:tc>
          <w:tcPr/>
          <w:p>
            <w:pPr>
              <w:pStyle w:val="Compact"/>
              <w:jc w:val="left"/>
            </w:pPr>
            <w:r>
              <w:t xml:space="preserve">Design degrees of freedom</w:t>
            </w:r>
          </w:p>
        </w:tc>
        <w:tc>
          <w:tcPr/>
          <w:p>
            <w:pPr>
              <w:pStyle w:val="Compact"/>
              <w:jc w:val="left"/>
            </w:pPr>
            <w:r>
              <w:t xml:space="preserve">15,936</w:t>
            </w:r>
          </w:p>
        </w:tc>
      </w:tr>
      <w:tr>
        <w:tc>
          <w:tcPr/>
          <w:p>
            <w:pPr>
              <w:pStyle w:val="Compact"/>
              <w:jc w:val="left"/>
            </w:pPr>
            <w:r>
              <w:t xml:space="preserve">Critical value used for manually constructed intervals</w:t>
            </w:r>
          </w:p>
        </w:tc>
        <w:tc>
          <w:tcPr/>
          <w:p>
            <w:pPr>
              <w:pStyle w:val="Compact"/>
              <w:jc w:val="left"/>
            </w:pPr>
            <w:r>
              <w:t xml:space="preserve">t(15,936) = 1.960</w:t>
            </w:r>
          </w:p>
        </w:tc>
      </w:tr>
    </w:tbl>
    <w:bookmarkEnd w:id="11"/>
    <w:bookmarkStart w:id="12" w:name="sec-cohort"/>
    <w:p>
      <w:pPr>
        <w:pStyle w:val="Heading2"/>
      </w:pPr>
      <w:r>
        <w:t xml:space="preserve">2.3 Cohort construction</w:t>
      </w:r>
    </w:p>
    <w:p>
      <w:pPr>
        <w:pStyle w:val="FirstParagraph"/>
      </w:pPr>
      <w:r>
        <w:t xml:space="preserve">The index cohort comprises adult hospitalizations with a</w:t>
      </w:r>
      <w:r>
        <w:t xml:space="preserve"> </w:t>
      </w:r>
      <w:r>
        <w:rPr>
          <w:b/>
          <w:bCs/>
        </w:rPr>
        <w:t xml:space="preserve">principal</w:t>
      </w:r>
      <w:r>
        <w:rPr>
          <w:b/>
          <w:bCs/>
        </w:rPr>
        <w:t xml:space="preserve"> </w:t>
      </w:r>
      <w:r>
        <w:rPr>
          <w:b/>
          <w:bCs/>
        </w:rPr>
        <w:t xml:space="preserve">diagnosis</w:t>
      </w:r>
      <w:r>
        <w:t xml:space="preserve"> </w:t>
      </w:r>
      <w:r>
        <w:t xml:space="preserve">of heart failure: ICD-10-CM I50.x, or hypertensive heart disease</w:t>
      </w:r>
      <w:r>
        <w:t xml:space="preserve"> </w:t>
      </w:r>
      <w:r>
        <w:t xml:space="preserve">with heart failure (I11.0) or hypertensive heart and chronic kidney disease</w:t>
      </w:r>
      <w:r>
        <w:t xml:space="preserve"> </w:t>
      </w:r>
      <w:r>
        <w:t xml:space="preserve">with heart failure (I13.0, I13.2); 26 codes, listed in</w:t>
      </w:r>
      <w:r>
        <w:t xml:space="preserve"> </w:t>
      </w:r>
      <w:hyperlink w:anchor="sec-codelists">
        <w:r>
          <w:rPr>
            <w:rStyle w:val="Hyperlink"/>
          </w:rPr>
          <w:t xml:space="preserve">Section 6</w:t>
        </w:r>
      </w:hyperlink>
      <w:r>
        <w:t xml:space="preserve">. A</w:t>
      </w:r>
      <w:r>
        <w:t xml:space="preserve"> </w:t>
      </w:r>
      <w:r>
        <w:t xml:space="preserve">principal-diagnosis definition was chosen over an any-listed definition</w:t>
      </w:r>
      <w:r>
        <w:t xml:space="preserve"> </w:t>
      </w:r>
      <w:r>
        <w:t xml:space="preserve">because it identifies admissions</w:t>
      </w:r>
      <w:r>
        <w:t xml:space="preserve"> </w:t>
      </w:r>
      <w:r>
        <w:rPr>
          <w:i/>
          <w:iCs/>
        </w:rPr>
        <w:t xml:space="preserve">for</w:t>
      </w:r>
      <w:r>
        <w:t xml:space="preserve"> </w:t>
      </w:r>
      <w:r>
        <w:t xml:space="preserve">heart failure rather than admissions</w:t>
      </w:r>
      <w:r>
        <w:t xml:space="preserve"> </w:t>
      </w:r>
      <w:r>
        <w:rPr>
          <w:i/>
          <w:iCs/>
        </w:rPr>
        <w:t xml:space="preserve">with</w:t>
      </w:r>
      <w:r>
        <w:t xml:space="preserve"> </w:t>
      </w:r>
      <w:r>
        <w:t xml:space="preserve">heart failure, which is the population in which 30-day readmission is</w:t>
      </w:r>
      <w:r>
        <w:t xml:space="preserve"> </w:t>
      </w:r>
      <w:r>
        <w:t xml:space="preserve">a policy-relevant endpoint. The hypertensive codes are required, not optional:</w:t>
      </w:r>
      <w:r>
        <w:t xml:space="preserve"> </w:t>
      </w:r>
      <w:r>
        <w:t xml:space="preserve">from 1 October 2016 the ICD-10-CM guidelines presume a causal link between</w:t>
      </w:r>
      <w:r>
        <w:t xml:space="preserve"> </w:t>
      </w:r>
      <w:r>
        <w:t xml:space="preserve">hypertension and heart failure and sequence I11.0/I13.x first, with I50 as a</w:t>
      </w:r>
      <w:r>
        <w:t xml:space="preserve"> </w:t>
      </w:r>
      <w:r>
        <w:t xml:space="preserve">secondary code. An I50-only principal definition therefore loses most heart</w:t>
      </w:r>
      <w:r>
        <w:t xml:space="preserve"> </w:t>
      </w:r>
      <w:r>
        <w:t xml:space="preserve">failure admissions from late 2016 onward, non-randomly. Heart failure</w:t>
      </w:r>
      <w:r>
        <w:t xml:space="preserve"> </w:t>
      </w:r>
      <w:r>
        <w:t xml:space="preserve">phenotype is taken from any listed I50 subtype code for the same reason.</w:t>
      </w:r>
    </w:p>
    <w:p>
      <w:pPr>
        <w:pStyle w:val="BodyText"/>
      </w:pPr>
      <w:r>
        <w:t xml:space="preserve">Exclusions were applied in the following order:</w:t>
      </w:r>
    </w:p>
    <w:p>
      <w:pPr>
        <w:pStyle w:val="Compact"/>
        <w:numPr>
          <w:ilvl w:val="0"/>
          <w:numId w:val="1003"/>
        </w:numPr>
      </w:pPr>
      <w:r>
        <w:t xml:space="preserve">age under 18 years;</w:t>
      </w:r>
    </w:p>
    <w:p>
      <w:pPr>
        <w:pStyle w:val="Compact"/>
        <w:numPr>
          <w:ilvl w:val="0"/>
          <w:numId w:val="1003"/>
        </w:numPr>
      </w:pPr>
      <w:r>
        <w:t xml:space="preserve">any non-stimulant substance use disorder without a stimulant code</w:t>
      </w:r>
      <w:r>
        <w:t xml:space="preserve"> </w:t>
      </w:r>
      <w:r>
        <w:t xml:space="preserve">(</w:t>
      </w:r>
      <w:hyperlink w:anchor="sec-exposure">
        <w:r>
          <w:rPr>
            <w:rStyle w:val="Hyperlink"/>
          </w:rPr>
          <w:t xml:space="preserve">Section 2.4</w:t>
        </w:r>
      </w:hyperlink>
      <w:r>
        <w:t xml:space="preserve">), so that the comparator arm is clean;</w:t>
      </w:r>
    </w:p>
    <w:p>
      <w:pPr>
        <w:pStyle w:val="Compact"/>
        <w:numPr>
          <w:ilvl w:val="0"/>
          <w:numId w:val="1003"/>
        </w:numPr>
      </w:pPr>
      <w:r>
        <w:t xml:space="preserve">short-term transfers out, because the discharge is not the end of the</w:t>
      </w:r>
      <w:r>
        <w:t xml:space="preserve"> </w:t>
      </w:r>
      <w:r>
        <w:t xml:space="preserve">episode of care and a</w:t>
      </w:r>
      <w:r>
        <w:t xml:space="preserve"> </w:t>
      </w:r>
      <w:r>
        <w:t xml:space="preserve">“readmission”</w:t>
      </w:r>
      <w:r>
        <w:t xml:space="preserve"> </w:t>
      </w:r>
      <w:r>
        <w:t xml:space="preserve">would be an artefact of the transfer;</w:t>
      </w:r>
    </w:p>
    <w:p>
      <w:pPr>
        <w:pStyle w:val="Compact"/>
        <w:numPr>
          <w:ilvl w:val="0"/>
          <w:numId w:val="1003"/>
        </w:numPr>
      </w:pPr>
      <w:r>
        <w:t xml:space="preserve">in-hospital deaths, which cannot be readmitted;</w:t>
      </w:r>
    </w:p>
    <w:p>
      <w:pPr>
        <w:pStyle w:val="Compact"/>
        <w:numPr>
          <w:ilvl w:val="0"/>
          <w:numId w:val="1003"/>
        </w:numPr>
      </w:pPr>
      <w:r>
        <w:t xml:space="preserve">December discharges, which have less than 30 days of follow-up available</w:t>
      </w:r>
      <w:r>
        <w:t xml:space="preserve"> </w:t>
      </w:r>
      <w:r>
        <w:t xml:space="preserve">within the linkage year.</w:t>
      </w:r>
    </w:p>
    <w:p>
      <w:pPr>
        <w:pStyle w:val="FirstParagraph"/>
      </w:pPr>
      <w:r>
        <w:t xml:space="preserve">Records excluded at steps 3 to 5 are retained in the cohort file and flagged,</w:t>
      </w:r>
      <w:r>
        <w:t xml:space="preserve"> </w:t>
      </w:r>
      <w:r>
        <w:t xml:space="preserve">not deleted, so that in-hospital mortality can be described on the correct</w:t>
      </w:r>
      <w:r>
        <w:t xml:space="preserve"> </w:t>
      </w:r>
      <w:r>
        <w:t xml:space="preserve">denominator before the survivor restriction is applied.</w:t>
      </w:r>
    </w:p>
    <w:p>
      <w:pPr>
        <w:pStyle w:val="TableCaption"/>
      </w:pPr>
      <w:r>
        <w:t xml:space="preserve">Table 0. Cohort construction. Counts are unweighted discharge records; exclusions were applied in the order shown.</w:t>
      </w:r>
    </w:p>
    <w:tbl>
      <w:tblPr>
        <w:tblStyle w:val="Table"/>
        <w:tblW w:type="pct" w:w="5000"/>
        <w:tblLayout w:type="fixed"/>
        <w:tblLook w:firstRow="1" w:lastRow="0" w:firstColumn="0" w:lastColumn="0" w:noHBand="0" w:noVBand="0" w:val="0020"/>
        <w:tblCaption w:val="Table 0. Cohort construction. Counts are unweighted discharge records; exclusions were applied in the order shown."/>
      </w:tblPr>
      <w:tblGrid>
        <w:gridCol w:w="416"/>
        <w:gridCol w:w="6502"/>
        <w:gridCol w:w="1000"/>
      </w:tblGrid>
      <w:tr>
        <w:trPr>
          <w:tblHeader w:val="on"/>
        </w:trPr>
        <w:tc>
          <w:tcPr/>
          <w:p>
            <w:pPr>
              <w:pStyle w:val="Compact"/>
              <w:jc w:val="right"/>
            </w:pPr>
            <w:r>
              <w:t xml:space="preserve">step</w:t>
            </w:r>
          </w:p>
        </w:tc>
        <w:tc>
          <w:tcPr/>
          <w:p>
            <w:pPr>
              <w:pStyle w:val="Compact"/>
              <w:jc w:val="left"/>
            </w:pPr>
            <w:r>
              <w:t xml:space="preserve">description</w:t>
            </w:r>
          </w:p>
        </w:tc>
        <w:tc>
          <w:tcPr/>
          <w:p>
            <w:pPr>
              <w:pStyle w:val="Compact"/>
              <w:jc w:val="right"/>
            </w:pPr>
            <w:r>
              <w:t xml:space="preserve">n_remaining</w:t>
            </w:r>
          </w:p>
        </w:tc>
      </w:tr>
      <w:tr>
        <w:tc>
          <w:tcPr/>
          <w:p>
            <w:pPr>
              <w:pStyle w:val="Compact"/>
              <w:jc w:val="right"/>
            </w:pPr>
            <w:r>
              <w:t xml:space="preserve">0</w:t>
            </w:r>
          </w:p>
        </w:tc>
        <w:tc>
          <w:tcPr/>
          <w:p>
            <w:pPr>
              <w:pStyle w:val="Compact"/>
              <w:jc w:val="left"/>
            </w:pPr>
            <w:r>
              <w:t xml:space="preserve">All NRD discharges, 2016-2022</w:t>
            </w:r>
          </w:p>
        </w:tc>
        <w:tc>
          <w:tcPr/>
          <w:p>
            <w:pPr>
              <w:pStyle w:val="Compact"/>
              <w:jc w:val="right"/>
            </w:pPr>
            <w:r>
              <w:t xml:space="preserve">121011259</w:t>
            </w:r>
          </w:p>
        </w:tc>
      </w:tr>
      <w:tr>
        <w:tc>
          <w:tcPr/>
          <w:p>
            <w:pPr>
              <w:pStyle w:val="Compact"/>
              <w:jc w:val="right"/>
            </w:pPr>
            <w:r>
              <w:t xml:space="preserve">1</w:t>
            </w:r>
          </w:p>
        </w:tc>
        <w:tc>
          <w:tcPr/>
          <w:p>
            <w:pPr>
              <w:pStyle w:val="Compact"/>
              <w:jc w:val="left"/>
            </w:pPr>
            <w:r>
              <w:t xml:space="preserve">Principal diagnosis of heart failure (I50.x, I11.0, I13.0 or I13.2; 26 codes)</w:t>
            </w:r>
          </w:p>
        </w:tc>
        <w:tc>
          <w:tcPr/>
          <w:p>
            <w:pPr>
              <w:pStyle w:val="Compact"/>
              <w:jc w:val="right"/>
            </w:pPr>
            <w:r>
              <w:t xml:space="preserve">4631390</w:t>
            </w:r>
          </w:p>
        </w:tc>
      </w:tr>
      <w:tr>
        <w:tc>
          <w:tcPr/>
          <w:p>
            <w:pPr>
              <w:pStyle w:val="Compact"/>
              <w:jc w:val="right"/>
            </w:pPr>
            <w:r>
              <w:t xml:space="preserve">2</w:t>
            </w:r>
          </w:p>
        </w:tc>
        <w:tc>
          <w:tcPr/>
          <w:p>
            <w:pPr>
              <w:pStyle w:val="Compact"/>
              <w:jc w:val="left"/>
            </w:pPr>
            <w:r>
              <w:t xml:space="preserve">Age &gt;= 18 years</w:t>
            </w:r>
          </w:p>
        </w:tc>
        <w:tc>
          <w:tcPr/>
          <w:p>
            <w:pPr>
              <w:pStyle w:val="Compact"/>
              <w:jc w:val="right"/>
            </w:pPr>
            <w:r>
              <w:t xml:space="preserve">4628427</w:t>
            </w:r>
          </w:p>
        </w:tc>
      </w:tr>
      <w:tr>
        <w:tc>
          <w:tcPr/>
          <w:p>
            <w:pPr>
              <w:pStyle w:val="Compact"/>
              <w:jc w:val="right"/>
            </w:pPr>
            <w:r>
              <w:t xml:space="preserve">3</w:t>
            </w:r>
          </w:p>
        </w:tc>
        <w:tc>
          <w:tcPr/>
          <w:p>
            <w:pPr>
              <w:pStyle w:val="Compact"/>
              <w:jc w:val="left"/>
            </w:pPr>
            <w:r>
              <w:t xml:space="preserve">Survived the index admission (DIED = 0)</w:t>
            </w:r>
          </w:p>
        </w:tc>
        <w:tc>
          <w:tcPr/>
          <w:p>
            <w:pPr>
              <w:pStyle w:val="Compact"/>
              <w:jc w:val="right"/>
            </w:pPr>
            <w:r>
              <w:t xml:space="preserve">4487691</w:t>
            </w:r>
          </w:p>
        </w:tc>
      </w:tr>
      <w:tr>
        <w:tc>
          <w:tcPr/>
          <w:p>
            <w:pPr>
              <w:pStyle w:val="Compact"/>
              <w:jc w:val="right"/>
            </w:pPr>
            <w:r>
              <w:t xml:space="preserve">4</w:t>
            </w:r>
          </w:p>
        </w:tc>
        <w:tc>
          <w:tcPr/>
          <w:p>
            <w:pPr>
              <w:pStyle w:val="Compact"/>
              <w:jc w:val="left"/>
            </w:pPr>
            <w:r>
              <w:t xml:space="preserve">Not transferred to another short-term hospital</w:t>
            </w:r>
          </w:p>
        </w:tc>
        <w:tc>
          <w:tcPr/>
          <w:p>
            <w:pPr>
              <w:pStyle w:val="Compact"/>
              <w:jc w:val="right"/>
            </w:pPr>
            <w:r>
              <w:t xml:space="preserve">4442219</w:t>
            </w:r>
          </w:p>
        </w:tc>
      </w:tr>
      <w:tr>
        <w:tc>
          <w:tcPr/>
          <w:p>
            <w:pPr>
              <w:pStyle w:val="Compact"/>
              <w:jc w:val="right"/>
            </w:pPr>
            <w:r>
              <w:t xml:space="preserve">5</w:t>
            </w:r>
          </w:p>
        </w:tc>
        <w:tc>
          <w:tcPr/>
          <w:p>
            <w:pPr>
              <w:pStyle w:val="Compact"/>
              <w:jc w:val="left"/>
            </w:pPr>
            <w:r>
              <w:t xml:space="preserve">Discharged in months 1-11 (complete 30-day follow-up window)</w:t>
            </w:r>
          </w:p>
        </w:tc>
        <w:tc>
          <w:tcPr/>
          <w:p>
            <w:pPr>
              <w:pStyle w:val="Compact"/>
              <w:jc w:val="right"/>
            </w:pPr>
            <w:r>
              <w:t xml:space="preserve">4041775</w:t>
            </w:r>
          </w:p>
        </w:tc>
      </w:tr>
      <w:tr>
        <w:tc>
          <w:tcPr/>
          <w:p>
            <w:pPr>
              <w:pStyle w:val="Compact"/>
              <w:jc w:val="right"/>
            </w:pPr>
            <w:r>
              <w:t xml:space="preserve">6</w:t>
            </w:r>
          </w:p>
        </w:tc>
        <w:tc>
          <w:tcPr/>
          <w:p>
            <w:pPr>
              <w:pStyle w:val="Compact"/>
              <w:jc w:val="left"/>
            </w:pPr>
            <w:r>
              <w:t xml:space="preserve">Linkable (NRD_VISITLINK, NRD_DAYSTOEVENT and LOS all recorded)</w:t>
            </w:r>
          </w:p>
        </w:tc>
        <w:tc>
          <w:tcPr/>
          <w:p>
            <w:pPr>
              <w:pStyle w:val="Compact"/>
              <w:jc w:val="right"/>
            </w:pPr>
            <w:r>
              <w:t xml:space="preserve">4041685</w:t>
            </w:r>
          </w:p>
        </w:tc>
      </w:tr>
      <w:tr>
        <w:tc>
          <w:tcPr/>
          <w:p>
            <w:pPr>
              <w:pStyle w:val="Compact"/>
              <w:jc w:val="right"/>
            </w:pPr>
            <w:r>
              <w:t xml:space="preserve">7</w:t>
            </w:r>
          </w:p>
        </w:tc>
        <w:tc>
          <w:tcPr/>
          <w:p>
            <w:pPr>
              <w:pStyle w:val="Compact"/>
              <w:jc w:val="left"/>
            </w:pPr>
            <w:r>
              <w:t xml:space="preserve">Excluding non-stimulant substance use disorder without an F15 code</w:t>
            </w:r>
          </w:p>
        </w:tc>
        <w:tc>
          <w:tcPr/>
          <w:p>
            <w:pPr>
              <w:pStyle w:val="Compact"/>
              <w:jc w:val="right"/>
            </w:pPr>
            <w:r>
              <w:t xml:space="preserve">3782451</w:t>
            </w:r>
          </w:p>
        </w:tc>
      </w:tr>
      <w:tr>
        <w:tc>
          <w:tcPr/>
          <w:p>
            <w:pPr>
              <w:pStyle w:val="Compact"/>
              <w:jc w:val="right"/>
            </w:pPr>
            <w:r>
              <w:t xml:space="preserve">8</w:t>
            </w:r>
          </w:p>
        </w:tc>
        <w:tc>
          <w:tcPr/>
          <w:p>
            <w:pPr>
              <w:pStyle w:val="Compact"/>
              <w:jc w:val="left"/>
            </w:pPr>
            <w:r>
              <w:t xml:space="preserve">Excluding stimulant use disorder coded as in remission</w:t>
            </w:r>
          </w:p>
        </w:tc>
        <w:tc>
          <w:tcPr/>
          <w:p>
            <w:pPr>
              <w:pStyle w:val="Compact"/>
              <w:jc w:val="right"/>
            </w:pPr>
            <w:r>
              <w:t xml:space="preserve">3776325</w:t>
            </w:r>
          </w:p>
        </w:tc>
      </w:tr>
      <w:tr>
        <w:tc>
          <w:tcPr/>
          <w:p>
            <w:pPr>
              <w:pStyle w:val="Compact"/>
              <w:jc w:val="right"/>
            </w:pPr>
            <w:r>
              <w:t xml:space="preserve">9</w:t>
            </w:r>
          </w:p>
        </w:tc>
        <w:tc>
          <w:tcPr/>
          <w:p>
            <w:pPr>
              <w:pStyle w:val="Compact"/>
              <w:jc w:val="left"/>
            </w:pPr>
            <w:r>
              <w:t xml:space="preserve">Complete on every primary-model covariate</w:t>
            </w:r>
          </w:p>
        </w:tc>
        <w:tc>
          <w:tcPr/>
          <w:p>
            <w:pPr>
              <w:pStyle w:val="Compact"/>
              <w:jc w:val="right"/>
            </w:pPr>
            <w:r>
              <w:t xml:space="preserve">3773470</w:t>
            </w:r>
          </w:p>
        </w:tc>
      </w:tr>
    </w:tbl>
    <w:p>
      <w:pPr>
        <w:pStyle w:val="BodyText"/>
      </w:pPr>
      <w:r>
        <w:t xml:space="preserve">The analytic cohort contains</w:t>
      </w:r>
      <w:r>
        <w:t xml:space="preserve"> </w:t>
      </w:r>
      <w:r>
        <w:rPr>
          <w:b/>
          <w:bCs/>
        </w:rPr>
        <w:t xml:space="preserve">3,773,470</w:t>
      </w:r>
      <w:r>
        <w:t xml:space="preserve"> </w:t>
      </w:r>
      <w:r>
        <w:t xml:space="preserve">index</w:t>
      </w:r>
      <w:r>
        <w:t xml:space="preserve"> </w:t>
      </w:r>
      <w:r>
        <w:t xml:space="preserve">admissions (87,979 exposed,</w:t>
      </w:r>
      <w:r>
        <w:t xml:space="preserve"> </w:t>
      </w:r>
      <w:r>
        <w:t xml:space="preserve">3,685,491 unexposed), representing</w:t>
      </w:r>
      <w:r>
        <w:t xml:space="preserve"> </w:t>
      </w:r>
      <w:r>
        <w:rPr>
          <w:b/>
          <w:bCs/>
        </w:rPr>
        <w:t xml:space="preserve">6,906,198</w:t>
      </w:r>
      <w:r>
        <w:t xml:space="preserve"> </w:t>
      </w:r>
      <w:r>
        <w:t xml:space="preserve">weighted national</w:t>
      </w:r>
      <w:r>
        <w:t xml:space="preserve"> </w:t>
      </w:r>
      <w:r>
        <w:t xml:space="preserve">hospitalizations, of which 868,724 were</w:t>
      </w:r>
      <w:r>
        <w:t xml:space="preserve"> </w:t>
      </w:r>
      <w:r>
        <w:t xml:space="preserve">followed by a 30-day readmission.</w:t>
      </w:r>
    </w:p>
    <w:bookmarkEnd w:id="12"/>
    <w:bookmarkStart w:id="13" w:name="sec-exposure"/>
    <w:p>
      <w:pPr>
        <w:pStyle w:val="Heading2"/>
      </w:pPr>
      <w:r>
        <w:t xml:space="preserve">2.4 Exposure</w:t>
      </w:r>
    </w:p>
    <w:p>
      <w:pPr>
        <w:pStyle w:val="FirstParagraph"/>
      </w:pPr>
      <w:r>
        <w:t xml:space="preserve">The exposure is</w:t>
      </w:r>
      <w:r>
        <w:t xml:space="preserve"> </w:t>
      </w:r>
      <w:r>
        <w:rPr>
          <w:b/>
          <w:bCs/>
        </w:rPr>
        <w:t xml:space="preserve">amphetamine-type stimulant use disorder</w:t>
      </w:r>
      <w:r>
        <w:t xml:space="preserve">, defined by any</w:t>
      </w:r>
      <w:r>
        <w:t xml:space="preserve"> </w:t>
      </w:r>
      <w:r>
        <w:t xml:space="preserve">listed ICD-10-CM code in the F15 block (45 codes) on the index admission.</w:t>
      </w:r>
    </w:p>
    <w:p>
      <w:pPr>
        <w:pStyle w:val="BodyText"/>
      </w:pPr>
      <w:r>
        <w:rPr>
          <w:b/>
          <w:bCs/>
        </w:rPr>
        <w:t xml:space="preserve">This exposure must not be described as</w:t>
      </w:r>
      <w:r>
        <w:rPr>
          <w:b/>
          <w:bCs/>
        </w:rPr>
        <w:t xml:space="preserve"> </w:t>
      </w:r>
      <w:r>
        <w:rPr>
          <w:b/>
          <w:bCs/>
        </w:rPr>
        <w:t xml:space="preserve">“methamphetamine”</w:t>
      </w:r>
      <w:r>
        <w:rPr>
          <w:b/>
          <w:bCs/>
        </w:rPr>
        <w:t xml:space="preserve">.</w:t>
      </w:r>
      <w:r>
        <w:t xml:space="preserve"> </w:t>
      </w:r>
      <w:r>
        <w:t xml:space="preserve">In ICD-10-CM,</w:t>
      </w:r>
      <w:r>
        <w:t xml:space="preserve"> </w:t>
      </w:r>
      <w:r>
        <w:t xml:space="preserve">F15 is</w:t>
      </w:r>
      <w:r>
        <w:t xml:space="preserve"> </w:t>
      </w:r>
      <w:r>
        <w:rPr>
          <w:i/>
          <w:iCs/>
        </w:rPr>
        <w:t xml:space="preserve">Other stimulant related disorders</w:t>
      </w:r>
      <w:r>
        <w:t xml:space="preserve">. It covers amphetamine-type</w:t>
      </w:r>
      <w:r>
        <w:t xml:space="preserve"> </w:t>
      </w:r>
      <w:r>
        <w:t xml:space="preserve">stimulants including methamphetamine, but it also includes caffeine, and it</w:t>
      </w:r>
      <w:r>
        <w:t xml:space="preserve"> </w:t>
      </w:r>
      <w:r>
        <w:rPr>
          <w:b/>
          <w:bCs/>
        </w:rPr>
        <w:t xml:space="preserve">excludes cocaine</w:t>
      </w:r>
      <w:r>
        <w:t xml:space="preserve">, which is coded separately in F14. Administrative data</w:t>
      </w:r>
      <w:r>
        <w:t xml:space="preserve"> </w:t>
      </w:r>
      <w:r>
        <w:t xml:space="preserve">cannot separate methamphetamine from other agents within F15. Calling the</w:t>
      </w:r>
      <w:r>
        <w:t xml:space="preserve"> </w:t>
      </w:r>
      <w:r>
        <w:t xml:space="preserve">exposure</w:t>
      </w:r>
      <w:r>
        <w:t xml:space="preserve"> </w:t>
      </w:r>
      <w:r>
        <w:t xml:space="preserve">“methamphetamine-associated”</w:t>
      </w:r>
      <w:r>
        <w:t xml:space="preserve"> </w:t>
      </w:r>
      <w:r>
        <w:t xml:space="preserve">would be a coding error visible to any</w:t>
      </w:r>
      <w:r>
        <w:t xml:space="preserve"> </w:t>
      </w:r>
      <w:r>
        <w:t xml:space="preserve">reviewer who opens the code book, and would misstate what was measured. The</w:t>
      </w:r>
      <w:r>
        <w:t xml:space="preserve"> </w:t>
      </w:r>
      <w:r>
        <w:t xml:space="preserve">correct phrase, used throughout, is</w:t>
      </w:r>
      <w:r>
        <w:t xml:space="preserve"> </w:t>
      </w:r>
      <w:r>
        <w:rPr>
          <w:i/>
          <w:iCs/>
        </w:rPr>
        <w:t xml:space="preserve">amphetamine-type stimulant use disorder</w:t>
      </w:r>
      <w:r>
        <w:t xml:space="preserve">.</w:t>
      </w:r>
    </w:p>
    <w:p>
      <w:pPr>
        <w:pStyle w:val="BodyText"/>
      </w:pPr>
      <w:r>
        <w:t xml:space="preserve">Two refinements were pre-specified:</w:t>
      </w:r>
    </w:p>
    <w:p>
      <w:pPr>
        <w:pStyle w:val="Compact"/>
        <w:numPr>
          <w:ilvl w:val="0"/>
          <w:numId w:val="1004"/>
        </w:numPr>
      </w:pPr>
      <w:r>
        <w:rPr>
          <w:b/>
          <w:bCs/>
        </w:rPr>
        <w:t xml:space="preserve">Remission codes (F15.11, F15.21, F15.91) are excluded from the exposed</w:t>
      </w:r>
      <w:r>
        <w:rPr>
          <w:b/>
          <w:bCs/>
        </w:rPr>
        <w:t xml:space="preserve"> </w:t>
      </w:r>
      <w:r>
        <w:rPr>
          <w:b/>
          <w:bCs/>
        </w:rPr>
        <w:t xml:space="preserve">arm.</w:t>
      </w:r>
      <w:r>
        <w:t xml:space="preserve"> </w:t>
      </w:r>
      <w:r>
        <w:t xml:space="preserve">Remission is a clinically distinct state and including it would</w:t>
      </w:r>
      <w:r>
        <w:t xml:space="preserve"> </w:t>
      </w:r>
      <w:r>
        <w:t xml:space="preserve">dilute the estimate toward the null. Those records are retained as a</w:t>
      </w:r>
      <w:r>
        <w:t xml:space="preserve"> </w:t>
      </w:r>
      <w:r>
        <w:t xml:space="preserve">separate stratum and compared with the unexposed arm in sensitivity analysis</w:t>
      </w:r>
      <w:r>
        <w:t xml:space="preserve"> </w:t>
      </w:r>
      <w:r>
        <w:t xml:space="preserve">S5b.</w:t>
      </w:r>
    </w:p>
    <w:p>
      <w:pPr>
        <w:pStyle w:val="Compact"/>
        <w:numPr>
          <w:ilvl w:val="0"/>
          <w:numId w:val="1004"/>
        </w:numPr>
      </w:pPr>
      <w:r>
        <w:rPr>
          <w:b/>
          <w:bCs/>
        </w:rPr>
        <w:t xml:space="preserve">The comparator excludes any other substance use disorder</w:t>
      </w:r>
      <w:r>
        <w:t xml:space="preserve"> </w:t>
      </w:r>
      <w:r>
        <w:t xml:space="preserve">(F10.1x/F10.2x</w:t>
      </w:r>
      <w:r>
        <w:t xml:space="preserve"> </w:t>
      </w:r>
      <w:r>
        <w:t xml:space="preserve">alcohol abuse and dependence, F11 through F14, F16, F18, F19). A comparator</w:t>
      </w:r>
      <w:r>
        <w:t xml:space="preserve"> </w:t>
      </w:r>
      <w:r>
        <w:t xml:space="preserve">containing patients with opioid or cocaine use disorder would not be a</w:t>
      </w:r>
      <w:r>
        <w:t xml:space="preserve"> </w:t>
      </w:r>
      <w:r>
        <w:t xml:space="preserve">“no</w:t>
      </w:r>
      <w:r>
        <w:t xml:space="preserve"> </w:t>
      </w:r>
      <w:r>
        <w:t xml:space="preserve">substance use disorder”</w:t>
      </w:r>
      <w:r>
        <w:t xml:space="preserve"> </w:t>
      </w:r>
      <w:r>
        <w:t xml:space="preserve">group, and the contrast would be uninterpretable.</w:t>
      </w:r>
    </w:p>
    <w:p>
      <w:pPr>
        <w:pStyle w:val="FirstParagraph"/>
      </w:pPr>
      <w:r>
        <w:t xml:space="preserve">Assignment is three-way and order-dependent: a stimulant code is tested first,</w:t>
      </w:r>
      <w:r>
        <w:t xml:space="preserve"> </w:t>
      </w:r>
      <w:r>
        <w:t xml:space="preserve">so a patient with polysubstance coding that includes F15 is classified as</w:t>
      </w:r>
      <w:r>
        <w:t xml:space="preserve"> </w:t>
      </w:r>
      <w:r>
        <w:t xml:space="preserve">exposed. The question is about stimulant exposure, not stimulant-</w:t>
      </w:r>
      <w:r>
        <w:rPr>
          <w:i/>
          <w:iCs/>
        </w:rPr>
        <w:t xml:space="preserve">only</w:t>
      </w:r>
      <w:r>
        <w:t xml:space="preserve"> </w:t>
      </w:r>
      <w:r>
        <w:t xml:space="preserve">exposure.</w:t>
      </w:r>
    </w:p>
    <w:bookmarkEnd w:id="13"/>
    <w:bookmarkStart w:id="14" w:name="sec-outcome"/>
    <w:p>
      <w:pPr>
        <w:pStyle w:val="Heading2"/>
      </w:pPr>
      <w:r>
        <w:t xml:space="preserve">2.5 Outcome</w:t>
      </w:r>
    </w:p>
    <w:p>
      <w:pPr>
        <w:pStyle w:val="FirstParagraph"/>
      </w:pPr>
      <w:r>
        <w:t xml:space="preserve">The primary outcome is</w:t>
      </w:r>
      <w:r>
        <w:t xml:space="preserve"> </w:t>
      </w:r>
      <w:r>
        <w:rPr>
          <w:b/>
          <w:bCs/>
        </w:rPr>
        <w:t xml:space="preserve">30-day all-cause readmission</w:t>
      </w:r>
      <w:r>
        <w:t xml:space="preserve">, defined as the first</w:t>
      </w:r>
      <w:r>
        <w:t xml:space="preserve"> </w:t>
      </w:r>
      <w:r>
        <w:t xml:space="preserve">non-elective inpatient admission occurring 1 to 30 days after discharge from</w:t>
      </w:r>
      <w:r>
        <w:t xml:space="preserve"> </w:t>
      </w:r>
      <w:r>
        <w:t xml:space="preserve">the index admission, linked within the calendar year.</w:t>
      </w:r>
    </w:p>
    <w:p>
      <w:pPr>
        <w:pStyle w:val="BodyText"/>
      </w:pPr>
      <w:r>
        <w:t xml:space="preserve">All-cause readmission was chosen, rather than heart-failure-specific</w:t>
      </w:r>
      <w:r>
        <w:t xml:space="preserve"> </w:t>
      </w:r>
      <w:r>
        <w:t xml:space="preserve">readmission, because it is the endpoint used by the Hospital Readmissions</w:t>
      </w:r>
      <w:r>
        <w:t xml:space="preserve"> </w:t>
      </w:r>
      <w:r>
        <w:t xml:space="preserve">Reduction Program and reported in the heart failure literature, and because</w:t>
      </w:r>
      <w:r>
        <w:t xml:space="preserve"> </w:t>
      </w:r>
      <w:r>
        <w:t xml:space="preserve">cause-specific readmission requires an assumption about the coding of the</w:t>
      </w:r>
      <w:r>
        <w:t xml:space="preserve"> </w:t>
      </w:r>
      <w:r>
        <w:t xml:space="preserve">readmission that all-cause readmission does not. Cause of readmission is</w:t>
      </w:r>
      <w:r>
        <w:t xml:space="preserve"> </w:t>
      </w:r>
      <w:r>
        <w:t xml:space="preserve">reported descriptively (</w:t>
      </w:r>
      <w:hyperlink w:anchor="sec-causes">
        <w:r>
          <w:rPr>
            <w:rStyle w:val="Hyperlink"/>
          </w:rPr>
          <w:t xml:space="preserve">Section 3.6</w:t>
        </w:r>
      </w:hyperlink>
      <w:r>
        <w:t xml:space="preserve">) rather than used as the primary endpoint.</w:t>
      </w:r>
      <w:r>
        <w:t xml:space="preserve"> </w:t>
      </w:r>
      <w:r>
        <w:t xml:space="preserve">The trauma exclusion applied in some of this group’s earlier NRD studies was</w:t>
      </w:r>
      <w:r>
        <w:t xml:space="preserve"> </w:t>
      </w:r>
      <w:r>
        <w:t xml:space="preserve">deliberately</w:t>
      </w:r>
      <w:r>
        <w:t xml:space="preserve"> </w:t>
      </w:r>
      <w:r>
        <w:rPr>
          <w:b/>
          <w:bCs/>
        </w:rPr>
        <w:t xml:space="preserve">not</w:t>
      </w:r>
      <w:r>
        <w:t xml:space="preserve"> </w:t>
      </w:r>
      <w:r>
        <w:t xml:space="preserve">carried over.</w:t>
      </w:r>
    </w:p>
    <w:p>
      <w:pPr>
        <w:pStyle w:val="BodyText"/>
      </w:pPr>
      <w:r>
        <w:t xml:space="preserve">Where more than one candidate readmission fell on the same day, the record</w:t>
      </w:r>
      <w:r>
        <w:t xml:space="preserve"> </w:t>
      </w:r>
      <w:r>
        <w:t xml:space="preserve">with the smallest</w:t>
      </w:r>
      <w:r>
        <w:t xml:space="preserve"> </w:t>
      </w:r>
      <w:r>
        <w:rPr>
          <w:rStyle w:val="VerbatimChar"/>
        </w:rPr>
        <w:t xml:space="preserve">KEY_NRD</w:t>
      </w:r>
      <w:r>
        <w:t xml:space="preserve"> </w:t>
      </w:r>
      <w:r>
        <w:t xml:space="preserve">was selected, which makes the choice deterministic</w:t>
      </w:r>
      <w:r>
        <w:t xml:space="preserve"> </w:t>
      </w:r>
      <w:r>
        <w:t xml:space="preserve">and reproducible; the number of ties broken is reported by the cohort build.</w:t>
      </w:r>
    </w:p>
    <w:p>
      <w:pPr>
        <w:pStyle w:val="BodyText"/>
      </w:pPr>
      <w:r>
        <w:t xml:space="preserve">Secondary outcomes form a</w:t>
      </w:r>
      <w:r>
        <w:t xml:space="preserve"> </w:t>
      </w:r>
      <w:r>
        <w:rPr>
          <w:b/>
          <w:bCs/>
        </w:rPr>
        <w:t xml:space="preserve">single Benjamini-Hochberg family</w:t>
      </w:r>
      <w:r>
        <w:t xml:space="preserve"> </w:t>
      </w:r>
      <w:r>
        <w:t xml:space="preserve">and are listed</w:t>
      </w:r>
      <w:r>
        <w:t xml:space="preserve"> </w:t>
      </w:r>
      <w:r>
        <w:t xml:space="preserve">in</w:t>
      </w:r>
      <w:r>
        <w:t xml:space="preserve"> </w:t>
      </w:r>
      <w:hyperlink w:anchor="sec-secondary">
        <w:r>
          <w:rPr>
            <w:rStyle w:val="Hyperlink"/>
          </w:rPr>
          <w:t xml:space="preserve">Section 3.5</w:t>
        </w:r>
      </w:hyperlink>
      <w:r>
        <w:t xml:space="preserve">. The primary outcome is not a member of that family: it is</w:t>
      </w:r>
      <w:r>
        <w:t xml:space="preserve"> </w:t>
      </w:r>
      <w:r>
        <w:t xml:space="preserve">tested once, without multiplicity adjustment, and is the only confirmatory</w:t>
      </w:r>
      <w:r>
        <w:t xml:space="preserve"> </w:t>
      </w:r>
      <w:r>
        <w:t xml:space="preserve">test in the paper.</w:t>
      </w:r>
    </w:p>
    <w:bookmarkEnd w:id="14"/>
    <w:bookmarkStart w:id="15" w:name="sec-covariates"/>
    <w:p>
      <w:pPr>
        <w:pStyle w:val="Heading2"/>
      </w:pPr>
      <w:r>
        <w:t xml:space="preserve">2.6 Covariates</w:t>
      </w:r>
    </w:p>
    <w:p>
      <w:pPr>
        <w:pStyle w:val="FirstParagraph"/>
      </w:pPr>
      <w:r>
        <w:t xml:space="preserve">Covariates were selected</w:t>
      </w:r>
      <w:r>
        <w:t xml:space="preserve"> </w:t>
      </w:r>
      <w:r>
        <w:rPr>
          <w:i/>
          <w:iCs/>
        </w:rPr>
        <w:t xml:space="preserve">a priori</w:t>
      </w:r>
      <w:r>
        <w:t xml:space="preserve"> </w:t>
      </w:r>
      <w:r>
        <w:t xml:space="preserve">on clinical grounds, not by stepwise</w:t>
      </w:r>
      <w:r>
        <w:t xml:space="preserve"> </w:t>
      </w:r>
      <w:r>
        <w:t xml:space="preserve">selection or by a p-value screen. They fall into four blocks, entered</w:t>
      </w:r>
      <w:r>
        <w:t xml:space="preserve"> </w:t>
      </w:r>
      <w:r>
        <w:t xml:space="preserve">sequentially in</w:t>
      </w:r>
      <w:r>
        <w:t xml:space="preserve"> </w:t>
      </w:r>
      <w:hyperlink w:anchor="sec-sequential">
        <w:r>
          <w:rPr>
            <w:rStyle w:val="Hyperlink"/>
          </w:rPr>
          <w:t xml:space="preserve">Section 3.4</w:t>
        </w:r>
      </w:hyperlink>
      <w:r>
        <w:t xml:space="preserve">:</w:t>
      </w:r>
    </w:p>
    <w:p>
      <w:pPr>
        <w:pStyle w:val="Compact"/>
        <w:numPr>
          <w:ilvl w:val="0"/>
          <w:numId w:val="1005"/>
        </w:numPr>
      </w:pPr>
      <w:r>
        <w:rPr>
          <w:b/>
          <w:bCs/>
        </w:rPr>
        <w:t xml:space="preserve">Demographic and administrative</w:t>
      </w:r>
      <w:r>
        <w:t xml:space="preserve">: age, sex, primary payer, ZIP-code income</w:t>
      </w:r>
      <w:r>
        <w:t xml:space="preserve"> </w:t>
      </w:r>
      <w:r>
        <w:t xml:space="preserve">quartile, patient residence (NCHS urban-rural category), weekend admission,</w:t>
      </w:r>
      <w:r>
        <w:t xml:space="preserve"> </w:t>
      </w:r>
      <w:r>
        <w:t xml:space="preserve">admission type, discharge year.</w:t>
      </w:r>
    </w:p>
    <w:p>
      <w:pPr>
        <w:pStyle w:val="Compact"/>
        <w:numPr>
          <w:ilvl w:val="0"/>
          <w:numId w:val="1005"/>
        </w:numPr>
      </w:pPr>
      <w:r>
        <w:rPr>
          <w:b/>
          <w:bCs/>
        </w:rPr>
        <w:t xml:space="preserve">Hospital</w:t>
      </w:r>
      <w:r>
        <w:t xml:space="preserve">: bed size, urban-rural teaching status, ownership.</w:t>
      </w:r>
    </w:p>
    <w:p>
      <w:pPr>
        <w:pStyle w:val="Compact"/>
        <w:numPr>
          <w:ilvl w:val="0"/>
          <w:numId w:val="1005"/>
        </w:numPr>
      </w:pPr>
      <w:r>
        <w:rPr>
          <w:b/>
          <w:bCs/>
        </w:rPr>
        <w:t xml:space="preserve">Comorbidity</w:t>
      </w:r>
      <w:r>
        <w:t xml:space="preserve">: the 31 Elixhauser comorbidity flags and the Elixhauser</w:t>
      </w:r>
      <w:r>
        <w:t xml:space="preserve"> </w:t>
      </w:r>
      <w:r>
        <w:t xml:space="preserve">count.</w:t>
      </w:r>
      <w:r>
        <w:t xml:space="preserve"> </w:t>
      </w:r>
      <w:r>
        <w:rPr>
          <w:b/>
          <w:bCs/>
        </w:rPr>
        <w:t xml:space="preserve">The alcohol-abuse and drug-abuse Elixhauser flags were excluded by</w:t>
      </w:r>
      <w:r>
        <w:rPr>
          <w:b/>
          <w:bCs/>
        </w:rPr>
        <w:t xml:space="preserve"> </w:t>
      </w:r>
      <w:r>
        <w:rPr>
          <w:b/>
          <w:bCs/>
        </w:rPr>
        <w:t xml:space="preserve">pre-specification</w:t>
      </w:r>
      <w:r>
        <w:t xml:space="preserve">, because they are partly definitional of the exposure and</w:t>
      </w:r>
      <w:r>
        <w:t xml:space="preserve"> </w:t>
      </w:r>
      <w:r>
        <w:t xml:space="preserve">including them would adjust away the exposure itself.</w:t>
      </w:r>
    </w:p>
    <w:p>
      <w:pPr>
        <w:pStyle w:val="Compact"/>
        <w:numPr>
          <w:ilvl w:val="0"/>
          <w:numId w:val="1005"/>
        </w:numPr>
      </w:pPr>
      <w:r>
        <w:rPr>
          <w:b/>
          <w:bCs/>
        </w:rPr>
        <w:t xml:space="preserve">Clinical</w:t>
      </w:r>
      <w:r>
        <w:t xml:space="preserve">: heart failure phenotype, cardiogenic shock, cardiomyopathy,</w:t>
      </w:r>
      <w:r>
        <w:t xml:space="preserve"> </w:t>
      </w:r>
      <w:r>
        <w:t xml:space="preserve">acute myocardial infarction at index, mechanical ventilation, chronic</w:t>
      </w:r>
      <w:r>
        <w:t xml:space="preserve"> </w:t>
      </w:r>
      <w:r>
        <w:t xml:space="preserve">dialysis, cardiac implantable electronic device, tobacco dependence, housing</w:t>
      </w:r>
      <w:r>
        <w:t xml:space="preserve"> </w:t>
      </w:r>
      <w:r>
        <w:t xml:space="preserve">instability.</w:t>
      </w:r>
    </w:p>
    <w:p>
      <w:pPr>
        <w:pStyle w:val="FirstParagraph"/>
      </w:pPr>
      <w:r>
        <w:t xml:space="preserve">Two modelling decisions deserve to be stated explicitly because reviewers ask</w:t>
      </w:r>
      <w:r>
        <w:t xml:space="preserve"> </w:t>
      </w:r>
      <w:r>
        <w:t xml:space="preserve">about both.</w:t>
      </w:r>
    </w:p>
    <w:p>
      <w:pPr>
        <w:pStyle w:val="BodyText"/>
      </w:pPr>
      <w:r>
        <w:rPr>
          <w:b/>
          <w:bCs/>
        </w:rPr>
        <w:t xml:space="preserve">Age is modelled as a restricted cubic spline</w:t>
      </w:r>
      <w:r>
        <w:t xml:space="preserve"> </w:t>
      </w:r>
      <w:r>
        <w:t xml:space="preserve">(natural spline, 3 degrees of</w:t>
      </w:r>
      <w:r>
        <w:t xml:space="preserve"> </w:t>
      </w:r>
      <w:r>
        <w:t xml:space="preserve">freedom), not as a linear term and not in categories. The relationship between</w:t>
      </w:r>
      <w:r>
        <w:t xml:space="preserve"> </w:t>
      </w:r>
      <w:r>
        <w:t xml:space="preserve">age and readmission after heart failure is not linear, and categorizing a</w:t>
      </w:r>
      <w:r>
        <w:t xml:space="preserve"> </w:t>
      </w:r>
      <w:r>
        <w:t xml:space="preserve">continuous covariate discards information and creates artefactual steps at the</w:t>
      </w:r>
      <w:r>
        <w:t xml:space="preserve"> </w:t>
      </w:r>
      <w:r>
        <w:t xml:space="preserve">cut points. The exposed and unexposed arms differ substantially in age, so</w:t>
      </w:r>
      <w:r>
        <w:t xml:space="preserve"> </w:t>
      </w:r>
      <w:r>
        <w:t xml:space="preserve">residual confounding by age is exactly the criticism this model must be able</w:t>
      </w:r>
      <w:r>
        <w:t xml:space="preserve"> </w:t>
      </w:r>
      <w:r>
        <w:t xml:space="preserve">to withstand.</w:t>
      </w:r>
    </w:p>
    <w:p>
      <w:pPr>
        <w:pStyle w:val="BodyText"/>
      </w:pPr>
      <w:r>
        <w:rPr>
          <w:b/>
          <w:bCs/>
        </w:rPr>
        <w:t xml:space="preserve">Chronic dialysis excludes ICD-10-PCS 5A1D90Z.</w:t>
      </w:r>
      <w:r>
        <w:t xml:space="preserve"> </w:t>
      </w:r>
      <w:r>
        <w:t xml:space="preserve">That code denotes continuous</w:t>
      </w:r>
      <w:r>
        <w:t xml:space="preserve"> </w:t>
      </w:r>
      <w:r>
        <w:t xml:space="preserve">renal replacement therapy in the setting of acute kidney injury, not</w:t>
      </w:r>
      <w:r>
        <w:t xml:space="preserve"> </w:t>
      </w:r>
      <w:r>
        <w:t xml:space="preserve">maintenance dialysis, and including it would misclassify acutely ill patients</w:t>
      </w:r>
      <w:r>
        <w:t xml:space="preserve"> </w:t>
      </w:r>
      <w:r>
        <w:t xml:space="preserve">as having end-stage renal disease.</w:t>
      </w:r>
    </w:p>
    <w:p>
      <w:pPr>
        <w:pStyle w:val="BodyText"/>
      </w:pPr>
      <w:r>
        <w:rPr>
          <w:b/>
          <w:bCs/>
        </w:rPr>
        <w:t xml:space="preserve">Housing instability (Z59.x) is included as a covariate</w:t>
      </w:r>
      <w:r>
        <w:t xml:space="preserve">, and the model is</w:t>
      </w:r>
      <w:r>
        <w:t xml:space="preserve"> </w:t>
      </w:r>
      <w:r>
        <w:t xml:space="preserve">also refitted without it (</w:t>
      </w:r>
      <w:hyperlink w:anchor="sec-housing">
        <w:r>
          <w:rPr>
            <w:rStyle w:val="Hyperlink"/>
          </w:rPr>
          <w:t xml:space="preserve">Section 3.3.2</w:t>
        </w:r>
      </w:hyperlink>
      <w:r>
        <w:t xml:space="preserve">). It is strongly associated with both</w:t>
      </w:r>
      <w:r>
        <w:t xml:space="preserve"> </w:t>
      </w:r>
      <w:r>
        <w:t xml:space="preserve">stimulant use and readmission, but it is captured by a Z code whose recording</w:t>
      </w:r>
      <w:r>
        <w:t xml:space="preserve"> </w:t>
      </w:r>
      <w:r>
        <w:t xml:space="preserve">is incomplete and varies by hospital. Presenting the estimate with and without</w:t>
      </w:r>
      <w:r>
        <w:t xml:space="preserve"> </w:t>
      </w:r>
      <w:r>
        <w:t xml:space="preserve">it shows the reader how much of the association it accounts for, rather than</w:t>
      </w:r>
      <w:r>
        <w:t xml:space="preserve"> </w:t>
      </w:r>
      <w:r>
        <w:t xml:space="preserve">leaving that to speculation.</w:t>
      </w:r>
    </w:p>
    <w:p>
      <w:pPr>
        <w:pStyle w:val="BodyText"/>
      </w:pPr>
      <w:r>
        <w:rPr>
          <w:b/>
          <w:bCs/>
        </w:rPr>
        <w:t xml:space="preserve">Length of stay, discharge disposition and discharge against medical advice</w:t>
      </w:r>
      <w:r>
        <w:rPr>
          <w:b/>
          <w:bCs/>
        </w:rPr>
        <w:t xml:space="preserve"> </w:t>
      </w:r>
      <w:r>
        <w:rPr>
          <w:b/>
          <w:bCs/>
        </w:rPr>
        <w:t xml:space="preserve">are NOT adjusted for in the primary model.</w:t>
      </w:r>
      <w:r>
        <w:t xml:space="preserve"> </w:t>
      </w:r>
      <w:r>
        <w:t xml:space="preserve">They lie on the causal pathway</w:t>
      </w:r>
      <w:r>
        <w:t xml:space="preserve"> </w:t>
      </w:r>
      <w:r>
        <w:t xml:space="preserve">from stimulant use to readmission, and conditioning on them would remove part</w:t>
      </w:r>
      <w:r>
        <w:t xml:space="preserve"> </w:t>
      </w:r>
      <w:r>
        <w:t xml:space="preserve">of the very association being estimated. They are entered only in Model 5 of</w:t>
      </w:r>
      <w:r>
        <w:t xml:space="preserve"> </w:t>
      </w:r>
      <w:r>
        <w:t xml:space="preserve">the sequential series, which is labelled</w:t>
      </w:r>
      <w:r>
        <w:t xml:space="preserve"> </w:t>
      </w:r>
      <w:r>
        <w:rPr>
          <w:i/>
          <w:iCs/>
        </w:rPr>
        <w:t xml:space="preserve">over-adjusted, showing mediation</w:t>
      </w:r>
      <w:r>
        <w:t xml:space="preserve"> </w:t>
      </w:r>
      <w:r>
        <w:t xml:space="preserve">and must never be reported as the adjusted result.</w:t>
      </w:r>
    </w:p>
    <w:p>
      <w:pPr>
        <w:pStyle w:val="BodyText"/>
      </w:pPr>
      <w:r>
        <w:t xml:space="preserve">Costs were obtained by applying HCUP cost-to-charge ratios to total charges</w:t>
      </w:r>
      <w:r>
        <w:t xml:space="preserve"> </w:t>
      </w:r>
      <w:r>
        <w:t xml:space="preserve">and inflating to 2022 dollars using the Consumer Price</w:t>
      </w:r>
      <w:r>
        <w:t xml:space="preserve"> </w:t>
      </w:r>
      <w:r>
        <w:t xml:space="preserve">Index.</w:t>
      </w:r>
      <w:r>
        <w:t xml:space="preserve"> </w:t>
      </w:r>
      <w:r>
        <w:rPr>
          <w:b/>
          <w:bCs/>
        </w:rPr>
        <w:t xml:space="preserve">The series used is CPI-U, All Items, U.S. city average, not seasonally adjusted, annual average</w:t>
      </w:r>
      <w:r>
        <w:t xml:space="preserve"> </w:t>
      </w:r>
      <w:r>
        <w:t xml:space="preserve">(CUUR0000SA0); see</w:t>
      </w:r>
      <w:r>
        <w:t xml:space="preserve"> </w:t>
      </w:r>
      <w:r>
        <w:rPr>
          <w:b/>
          <w:bCs/>
        </w:rPr>
        <w:t xml:space="preserve">?@sec-cpi-note</w:t>
      </w:r>
      <w:r>
        <w:t xml:space="preserve">.</w:t>
      </w:r>
    </w:p>
    <w:bookmarkEnd w:id="15"/>
    <w:bookmarkStart w:id="16" w:name="sec-missing"/>
    <w:p>
      <w:pPr>
        <w:pStyle w:val="Heading2"/>
      </w:pPr>
      <w:r>
        <w:t xml:space="preserve">2.7 Missing data</w:t>
      </w:r>
    </w:p>
    <w:p>
      <w:pPr>
        <w:pStyle w:val="FirstParagraph"/>
      </w:pPr>
      <w:r>
        <w:t xml:space="preserve">Categorical covariates with a defensible missing category (payer, ZIP income</w:t>
      </w:r>
      <w:r>
        <w:t xml:space="preserve"> </w:t>
      </w:r>
      <w:r>
        <w:t xml:space="preserve">quartile, patient residence) retain an explicit</w:t>
      </w:r>
      <w:r>
        <w:t xml:space="preserve"> </w:t>
      </w:r>
      <w:r>
        <w:t xml:space="preserve">“Missing/other”</w:t>
      </w:r>
      <w:r>
        <w:t xml:space="preserve"> </w:t>
      </w:r>
      <w:r>
        <w:t xml:space="preserve">level rather</w:t>
      </w:r>
      <w:r>
        <w:t xml:space="preserve"> </w:t>
      </w:r>
      <w:r>
        <w:t xml:space="preserve">than being dropped, so that no observation is lost and the amount of</w:t>
      </w:r>
      <w:r>
        <w:t xml:space="preserve"> </w:t>
      </w:r>
      <w:r>
        <w:t xml:space="preserve">missingness is visible in Table 1. Continuous covariates and variables with no</w:t>
      </w:r>
      <w:r>
        <w:t xml:space="preserve"> </w:t>
      </w:r>
      <w:r>
        <w:t xml:space="preserve">defensible missing category are complete-cased. The number of records removed</w:t>
      </w:r>
      <w:r>
        <w:t xml:space="preserve"> </w:t>
      </w:r>
      <w:r>
        <w:t xml:space="preserve">by complete-casing is reported as the final step of</w:t>
      </w:r>
      <w:r>
        <w:t xml:space="preserve"> </w:t>
      </w:r>
      <w:hyperlink w:anchor="sec-cohort">
        <w:r>
          <w:rPr>
            <w:rStyle w:val="Hyperlink"/>
          </w:rPr>
          <w:t xml:space="preserve">Section 2.3</w:t>
        </w:r>
      </w:hyperlink>
      <w:r>
        <w:t xml:space="preserve">. Multiple</w:t>
      </w:r>
      <w:r>
        <w:t xml:space="preserve"> </w:t>
      </w:r>
      <w:r>
        <w:t xml:space="preserve">imputation was not used: missingness on the primary-model covariates is</w:t>
      </w:r>
      <w:r>
        <w:t xml:space="preserve"> </w:t>
      </w:r>
      <w:r>
        <w:t xml:space="preserve">minimal and is not plausibly outcome-dependent, so imputation would add</w:t>
      </w:r>
      <w:r>
        <w:t xml:space="preserve"> </w:t>
      </w:r>
      <w:r>
        <w:t xml:space="preserve">machinery without changing the estimate.</w:t>
      </w:r>
    </w:p>
    <w:bookmarkEnd w:id="16"/>
    <w:bookmarkStart w:id="25" w:name="sec-stats"/>
    <w:p>
      <w:pPr>
        <w:pStyle w:val="Heading2"/>
      </w:pPr>
      <w:r>
        <w:t xml:space="preserve">2.8 Statistical analysis</w:t>
      </w:r>
    </w:p>
    <w:bookmarkStart w:id="17" w:name="primary-model"/>
    <w:p>
      <w:pPr>
        <w:pStyle w:val="Heading3"/>
      </w:pPr>
      <w:r>
        <w:t xml:space="preserve">2.8.1 Primary model</w:t>
      </w:r>
    </w:p>
    <w:p>
      <w:pPr>
        <w:pStyle w:val="FirstParagraph"/>
      </w:pPr>
      <w:r>
        <w:t xml:space="preserve">The primary model is a</w:t>
      </w:r>
      <w:r>
        <w:t xml:space="preserve"> </w:t>
      </w:r>
      <w:r>
        <w:rPr>
          <w:b/>
          <w:bCs/>
        </w:rPr>
        <w:t xml:space="preserve">survey-weighted logistic regression</w:t>
      </w:r>
      <w:r>
        <w:t xml:space="preserve"> </w:t>
      </w:r>
      <w:r>
        <w:t xml:space="preserve">of 30-day</w:t>
      </w:r>
      <w:r>
        <w:t xml:space="preserve"> </w:t>
      </w:r>
      <w:r>
        <w:t xml:space="preserve">all-cause readmission on amphetamine-type stimulant use disorder, adjusted for</w:t>
      </w:r>
      <w:r>
        <w:t xml:space="preserve"> </w:t>
      </w:r>
      <w:r>
        <w:t xml:space="preserve">the covariate blocks above, fitted with</w:t>
      </w:r>
      <w:r>
        <w:t xml:space="preserve"> </w:t>
      </w:r>
      <w:r>
        <w:rPr>
          <w:rStyle w:val="VerbatimChar"/>
        </w:rPr>
        <w:t xml:space="preserve">survey::svyglm()</w:t>
      </w:r>
      <w:r>
        <w:t xml:space="preserve"> </w:t>
      </w:r>
      <w:r>
        <w:t xml:space="preserve">and a</w:t>
      </w:r>
      <w:r>
        <w:t xml:space="preserve"> </w:t>
      </w:r>
      <w:r>
        <w:rPr>
          <w:rStyle w:val="VerbatimChar"/>
        </w:rPr>
        <w:t xml:space="preserve">quasibinomial</w:t>
      </w:r>
      <w:r>
        <w:t xml:space="preserve"> </w:t>
      </w:r>
      <w:r>
        <w:t xml:space="preserve">family.</w:t>
      </w:r>
    </w:p>
    <w:p>
      <w:pPr>
        <w:pStyle w:val="BodyText"/>
      </w:pPr>
      <w:r>
        <w:rPr>
          <w:b/>
          <w:bCs/>
        </w:rPr>
        <w:t xml:space="preserve">A Cox model is not the primary specification.</w:t>
      </w:r>
      <w:r>
        <w:t xml:space="preserve"> </w:t>
      </w:r>
      <w:r>
        <w:t xml:space="preserve">Every patient has a fixed</w:t>
      </w:r>
      <w:r>
        <w:t xml:space="preserve"> </w:t>
      </w:r>
      <w:r>
        <w:t xml:space="preserve">30-day observation window and complete follow-up by design; there is no</w:t>
      </w:r>
      <w:r>
        <w:t xml:space="preserve"> </w:t>
      </w:r>
      <w:r>
        <w:t xml:space="preserve">censoring other than the administrative censoring that applies identically to</w:t>
      </w:r>
      <w:r>
        <w:t xml:space="preserve"> </w:t>
      </w:r>
      <w:r>
        <w:t xml:space="preserve">everyone. A Cox model</w:t>
      </w:r>
      <w:r>
        <w:t xml:space="preserve"> </w:t>
      </w:r>
      <w:r>
        <w:rPr>
          <w:b/>
          <w:bCs/>
        </w:rPr>
        <w:t xml:space="preserve">is</w:t>
      </w:r>
      <w:r>
        <w:t xml:space="preserve"> </w:t>
      </w:r>
      <w:r>
        <w:t xml:space="preserve">reported as</w:t>
      </w:r>
      <w:r>
        <w:t xml:space="preserve"> </w:t>
      </w:r>
      <w:r>
        <w:t xml:space="preserve">sensitivity analysis S4, fitted on the full cohort with administrative</w:t>
      </w:r>
      <w:r>
        <w:t xml:space="preserve"> </w:t>
      </w:r>
      <w:r>
        <w:t xml:space="preserve">censoring at day 30.</w:t>
      </w:r>
    </w:p>
    <w:bookmarkEnd w:id="17"/>
    <w:bookmarkStart w:id="18" w:name="Xe89a05999a172f6e946029b84febb936b39ce7c"/>
    <w:p>
      <w:pPr>
        <w:pStyle w:val="Heading3"/>
      </w:pPr>
      <w:r>
        <w:t xml:space="preserve">2.8.2 Absolute effects, by marginal standardization</w:t>
      </w:r>
    </w:p>
    <w:p>
      <w:pPr>
        <w:pStyle w:val="FirstParagraph"/>
      </w:pPr>
      <w:r>
        <w:t xml:space="preserve">Because 30-day readmission after heart failure is common, an odds ratio is a</w:t>
      </w:r>
      <w:r>
        <w:t xml:space="preserve"> </w:t>
      </w:r>
      <w:r>
        <w:t xml:space="preserve">poor approximation to a risk ratio and overstates it. The headline effect</w:t>
      </w:r>
      <w:r>
        <w:t xml:space="preserve"> </w:t>
      </w:r>
      <w:r>
        <w:t xml:space="preserve">measures are therefore</w:t>
      </w:r>
      <w:r>
        <w:t xml:space="preserve"> </w:t>
      </w:r>
      <w:r>
        <w:rPr>
          <w:b/>
          <w:bCs/>
        </w:rPr>
        <w:t xml:space="preserve">absolute</w:t>
      </w:r>
      <w:r>
        <w:t xml:space="preserve">: adjusted risks in each arm, the adjusted</w:t>
      </w:r>
      <w:r>
        <w:t xml:space="preserve"> </w:t>
      </w:r>
      <w:r>
        <w:t xml:space="preserve">risk difference and the adjusted risk ratio, obtained by</w:t>
      </w:r>
      <w:r>
        <w:t xml:space="preserve"> </w:t>
      </w:r>
      <w:r>
        <w:rPr>
          <w:b/>
          <w:bCs/>
        </w:rPr>
        <w:t xml:space="preserve">marginal</w:t>
      </w:r>
      <w:r>
        <w:rPr>
          <w:b/>
          <w:bCs/>
        </w:rPr>
        <w:t xml:space="preserve"> </w:t>
      </w:r>
      <w:r>
        <w:rPr>
          <w:b/>
          <w:bCs/>
        </w:rPr>
        <w:t xml:space="preserve">standardization (g-computation)</w:t>
      </w:r>
      <w:r>
        <w:t xml:space="preserve"> </w:t>
      </w:r>
      <w:r>
        <w:t xml:space="preserve">over the observed covariate distribution of</w:t>
      </w:r>
      <w:r>
        <w:t xml:space="preserve"> </w:t>
      </w:r>
      <w:r>
        <w:t xml:space="preserve">the whole cohort, with</w:t>
      </w:r>
      <w:r>
        <w:t xml:space="preserve"> </w:t>
      </w:r>
      <w:r>
        <w:rPr>
          <w:b/>
          <w:bCs/>
        </w:rPr>
        <w:t xml:space="preserve">delta-method</w:t>
      </w:r>
      <w:r>
        <w:t xml:space="preserve"> </w:t>
      </w:r>
      <w:r>
        <w:t xml:space="preserve">variance on the design degrees of</w:t>
      </w:r>
      <w:r>
        <w:t xml:space="preserve"> </w:t>
      </w:r>
      <w:r>
        <w:t xml:space="preserve">freedom.</w:t>
      </w:r>
    </w:p>
    <w:p>
      <w:pPr>
        <w:pStyle w:val="BodyText"/>
      </w:pPr>
      <w:r>
        <w:t xml:space="preserve">These are</w:t>
      </w:r>
      <w:r>
        <w:t xml:space="preserve"> </w:t>
      </w:r>
      <w:r>
        <w:rPr>
          <w:i/>
          <w:iCs/>
        </w:rPr>
        <w:t xml:space="preserve">not</w:t>
      </w:r>
      <w:r>
        <w:t xml:space="preserve"> </w:t>
      </w:r>
      <w:r>
        <w:t xml:space="preserve">predicted probabilities at covariate means, which would</w:t>
      </w:r>
      <w:r>
        <w:t xml:space="preserve"> </w:t>
      </w:r>
      <w:r>
        <w:t xml:space="preserve">describe a patient who does not exist. They are the average risk that would be</w:t>
      </w:r>
      <w:r>
        <w:t xml:space="preserve"> </w:t>
      </w:r>
      <w:r>
        <w:t xml:space="preserve">observed if the entire cohort were exposed, and if the entire cohort were</w:t>
      </w:r>
      <w:r>
        <w:t xml:space="preserve"> </w:t>
      </w:r>
      <w:r>
        <w:t xml:space="preserve">unexposed.</w:t>
      </w:r>
    </w:p>
    <w:p>
      <w:pPr>
        <w:pStyle w:val="BodyText"/>
      </w:pPr>
      <w:r>
        <w:t xml:space="preserve">The delta-method implementation was validated numerically before use, and each</w:t>
      </w:r>
      <w:r>
        <w:t xml:space="preserve"> </w:t>
      </w:r>
      <w:r>
        <w:t xml:space="preserve">render</w:t>
      </w:r>
      <w:r>
        <w:t xml:space="preserve"> </w:t>
      </w:r>
      <w:r>
        <w:rPr>
          <w:b/>
          <w:bCs/>
        </w:rPr>
        <w:t xml:space="preserve">re-verifies it</w:t>
      </w:r>
      <w:r>
        <w:t xml:space="preserve"> </w:t>
      </w:r>
      <w:r>
        <w:t xml:space="preserve">against an independent implementation</w:t>
      </w:r>
      <w:r>
        <w:t xml:space="preserve"> </w:t>
      </w:r>
      <w:r>
        <w:t xml:space="preserve">(</w:t>
      </w:r>
      <w:r>
        <w:rPr>
          <w:rStyle w:val="VerbatimChar"/>
        </w:rPr>
        <w:t xml:space="preserve">marginaleffects::avg_comparisons()</w:t>
      </w:r>
      <w:r>
        <w:t xml:space="preserve">); the comparison is printed in</w:t>
      </w:r>
      <w:r>
        <w:t xml:space="preserve"> </w:t>
      </w:r>
      <w:hyperlink w:anchor="sec-crosscheck">
        <w:r>
          <w:rPr>
            <w:rStyle w:val="Hyperlink"/>
          </w:rPr>
          <w:t xml:space="preserve">Section 3.3.3</w:t>
        </w:r>
      </w:hyperlink>
      <w:r>
        <w:t xml:space="preserve"> </w:t>
      </w:r>
      <w:r>
        <w:t xml:space="preserve">and a disagreement beyond the pre-specified tolerance stops</w:t>
      </w:r>
      <w:r>
        <w:t xml:space="preserve"> </w:t>
      </w:r>
      <w:r>
        <w:t xml:space="preserve">the analysis.</w:t>
      </w:r>
    </w:p>
    <w:bookmarkEnd w:id="18"/>
    <w:bookmarkStart w:id="19" w:name="overlap-weighting-as-a-co-estimator"/>
    <w:p>
      <w:pPr>
        <w:pStyle w:val="Heading3"/>
      </w:pPr>
      <w:r>
        <w:t xml:space="preserve">2.8.3 Overlap weighting as a co-estimator</w:t>
      </w:r>
    </w:p>
    <w:p>
      <w:pPr>
        <w:pStyle w:val="FirstParagraph"/>
      </w:pPr>
      <w:r>
        <w:t xml:space="preserve">A propensity-score</w:t>
      </w:r>
      <w:r>
        <w:t xml:space="preserve"> </w:t>
      </w:r>
      <w:r>
        <w:rPr>
          <w:b/>
          <w:bCs/>
        </w:rPr>
        <w:t xml:space="preserve">overlap-weighted (ATO)</w:t>
      </w:r>
      <w:r>
        <w:t xml:space="preserve"> </w:t>
      </w:r>
      <w:r>
        <w:t xml:space="preserve">estimate is reported alongside</w:t>
      </w:r>
      <w:r>
        <w:t xml:space="preserve"> </w:t>
      </w:r>
      <w:r>
        <w:t xml:space="preserve">the regression, never instead of it. Overlap weighting was preferred to</w:t>
      </w:r>
      <w:r>
        <w:t xml:space="preserve"> </w:t>
      </w:r>
      <w:r>
        <w:t xml:space="preserve">matching and to inverse-probability weighting because it achieves exact</w:t>
      </w:r>
      <w:r>
        <w:t xml:space="preserve"> </w:t>
      </w:r>
      <w:r>
        <w:t xml:space="preserve">balance on every covariate in the propensity model, has bounded weights (so</w:t>
      </w:r>
      <w:r>
        <w:t xml:space="preserve"> </w:t>
      </w:r>
      <w:r>
        <w:t xml:space="preserve">there is no trimming rule to justify), and has the smallest variance among</w:t>
      </w:r>
      <w:r>
        <w:t xml:space="preserve"> </w:t>
      </w:r>
      <w:r>
        <w:t xml:space="preserve">balancing weights. The outcome model is refitted on the overlap-weighted</w:t>
      </w:r>
      <w:r>
        <w:t xml:space="preserve"> </w:t>
      </w:r>
      <w:r>
        <w:t xml:space="preserve">design, making the estimator doubly robust. The design-based variance treats</w:t>
      </w:r>
      <w:r>
        <w:t xml:space="preserve"> </w:t>
      </w:r>
      <w:r>
        <w:t xml:space="preserve">the estimated weights as fixed, which is standard and mildly conservative for</w:t>
      </w:r>
      <w:r>
        <w:t xml:space="preserve"> </w:t>
      </w:r>
      <w:r>
        <w:t xml:space="preserve">ATO.</w:t>
      </w:r>
    </w:p>
    <w:bookmarkEnd w:id="19"/>
    <w:bookmarkStart w:id="20" w:name="baseline-comparison"/>
    <w:p>
      <w:pPr>
        <w:pStyle w:val="Heading3"/>
      </w:pPr>
      <w:r>
        <w:t xml:space="preserve">2.8.4 Baseline comparison</w:t>
      </w:r>
    </w:p>
    <w:p>
      <w:pPr>
        <w:pStyle w:val="FirstParagraph"/>
      </w:pPr>
      <w:r>
        <w:t xml:space="preserve">Table 1 reports</w:t>
      </w:r>
      <w:r>
        <w:t xml:space="preserve"> </w:t>
      </w:r>
      <w:r>
        <w:rPr>
          <w:b/>
          <w:bCs/>
        </w:rPr>
        <w:t xml:space="preserve">standardized mean differences, not p-values</w:t>
      </w:r>
      <w:r>
        <w:t xml:space="preserve">. With a cohort</w:t>
      </w:r>
      <w:r>
        <w:t xml:space="preserve"> </w:t>
      </w:r>
      <w:r>
        <w:t xml:space="preserve">of this size every clinically trivial difference is statistically significant,</w:t>
      </w:r>
      <w:r>
        <w:t xml:space="preserve"> </w:t>
      </w:r>
      <w:r>
        <w:t xml:space="preserve">so a p-value in Table 1 conveys sample size rather than imbalance. An absolute</w:t>
      </w:r>
      <w:r>
        <w:t xml:space="preserve"> </w:t>
      </w:r>
      <w:r>
        <w:t xml:space="preserve">standardized mean difference below 0.10 is conventionally taken as balance.</w:t>
      </w:r>
    </w:p>
    <w:bookmarkEnd w:id="20"/>
    <w:bookmarkStart w:id="21" w:name="effect-modification"/>
    <w:p>
      <w:pPr>
        <w:pStyle w:val="Heading3"/>
      </w:pPr>
      <w:r>
        <w:t xml:space="preserve">2.8.5 Effect modification</w:t>
      </w:r>
    </w:p>
    <w:p>
      <w:pPr>
        <w:pStyle w:val="FirstParagraph"/>
      </w:pPr>
      <w:r>
        <w:t xml:space="preserve">Four subgroups were pre-specified: age under 55 versus 55 and over, HFrEF</w:t>
      </w:r>
      <w:r>
        <w:t xml:space="preserve"> </w:t>
      </w:r>
      <w:r>
        <w:t xml:space="preserve">versus HFpEF, Medicaid versus other payer, and metropolitan versus</w:t>
      </w:r>
      <w:r>
        <w:t xml:space="preserve"> </w:t>
      </w:r>
      <w:r>
        <w:t xml:space="preserve">non-metropolitan residence.</w:t>
      </w:r>
      <w:r>
        <w:t xml:space="preserve"> </w:t>
      </w:r>
      <w:r>
        <w:rPr>
          <w:b/>
          <w:bCs/>
        </w:rPr>
        <w:t xml:space="preserve">All subgroup results are exploratory</w:t>
      </w:r>
      <w:r>
        <w:t xml:space="preserve">, are not</w:t>
      </w:r>
      <w:r>
        <w:t xml:space="preserve"> </w:t>
      </w:r>
      <w:r>
        <w:t xml:space="preserve">multiplicity-adjusted, and do not appear in the Conclusions. Effect</w:t>
      </w:r>
      <w:r>
        <w:t xml:space="preserve"> </w:t>
      </w:r>
      <w:r>
        <w:t xml:space="preserve">modification is assessed by a</w:t>
      </w:r>
      <w:r>
        <w:t xml:space="preserve"> </w:t>
      </w:r>
      <w:r>
        <w:rPr>
          <w:b/>
          <w:bCs/>
        </w:rPr>
        <w:t xml:space="preserve">design-based Wald test on the whole</w:t>
      </w:r>
      <w:r>
        <w:rPr>
          <w:b/>
          <w:bCs/>
        </w:rPr>
        <w:t xml:space="preserve"> </w:t>
      </w:r>
      <w:r>
        <w:rPr>
          <w:b/>
          <w:bCs/>
        </w:rPr>
        <w:t xml:space="preserve">interaction block</w:t>
      </w:r>
      <w:r>
        <w:t xml:space="preserve">, never by inspecting whether subgroup confidence intervals</w:t>
      </w:r>
      <w:r>
        <w:t xml:space="preserve"> </w:t>
      </w:r>
      <w:r>
        <w:t xml:space="preserve">overlap. When the modifier is a deterministic collapse of a covariate already</w:t>
      </w:r>
      <w:r>
        <w:t xml:space="preserve"> </w:t>
      </w:r>
      <w:r>
        <w:t xml:space="preserve">in the model (payer group of primary payer, residence group of NCHS category,</w:t>
      </w:r>
      <w:r>
        <w:t xml:space="preserve"> </w:t>
      </w:r>
      <w:r>
        <w:t xml:space="preserve">phenotype of the phenotype variable), that covariate is removed from the</w:t>
      </w:r>
      <w:r>
        <w:t xml:space="preserve"> </w:t>
      </w:r>
      <w:r>
        <w:t xml:space="preserve">interaction model so that no coefficient is aliased.</w:t>
      </w:r>
    </w:p>
    <w:p>
      <w:pPr>
        <w:pStyle w:val="BodyText"/>
      </w:pPr>
      <w:r>
        <w:t xml:space="preserve">No sex subgroup was analysed: the exposed arm is heavily male, and such a test</w:t>
      </w:r>
      <w:r>
        <w:t xml:space="preserve"> </w:t>
      </w:r>
      <w:r>
        <w:t xml:space="preserve">would be underpowered and uninformative.</w:t>
      </w:r>
    </w:p>
    <w:bookmarkEnd w:id="21"/>
    <w:bookmarkStart w:id="22" w:name="unmeasured-confounding"/>
    <w:p>
      <w:pPr>
        <w:pStyle w:val="Heading3"/>
      </w:pPr>
      <w:r>
        <w:t xml:space="preserve">2.8.6 Unmeasured confounding</w:t>
      </w:r>
    </w:p>
    <w:p>
      <w:pPr>
        <w:pStyle w:val="FirstParagraph"/>
      </w:pPr>
      <w:r>
        <w:t xml:space="preserve">An</w:t>
      </w:r>
      <w:r>
        <w:t xml:space="preserve"> </w:t>
      </w:r>
      <w:r>
        <w:rPr>
          <w:b/>
          <w:bCs/>
        </w:rPr>
        <w:t xml:space="preserve">E-value</w:t>
      </w:r>
      <w:r>
        <w:t xml:space="preserve"> </w:t>
      </w:r>
      <w:r>
        <w:t xml:space="preserve">is reported on the risk ratio scale – never on the odds ratio,</w:t>
      </w:r>
      <w:r>
        <w:t xml:space="preserve"> </w:t>
      </w:r>
      <w:r>
        <w:t xml:space="preserve">which would overstate it. The E-value is the minimum strength of association,</w:t>
      </w:r>
      <w:r>
        <w:t xml:space="preserve"> </w:t>
      </w:r>
      <w:r>
        <w:t xml:space="preserve">on the risk ratio scale, that an unmeasured confounder would need with both</w:t>
      </w:r>
      <w:r>
        <w:t xml:space="preserve"> </w:t>
      </w:r>
      <w:r>
        <w:t xml:space="preserve">exposure and outcome, above and beyond the measured covariates, to explain</w:t>
      </w:r>
      <w:r>
        <w:t xml:space="preserve"> </w:t>
      </w:r>
      <w:r>
        <w:t xml:space="preserve">away the observed association.</w:t>
      </w:r>
    </w:p>
    <w:bookmarkEnd w:id="22"/>
    <w:bookmarkStart w:id="23" w:name="negative-control-outcome"/>
    <w:p>
      <w:pPr>
        <w:pStyle w:val="Heading3"/>
      </w:pPr>
      <w:r>
        <w:t xml:space="preserve">2.8.7 Negative control outcome</w:t>
      </w:r>
    </w:p>
    <w:p>
      <w:pPr>
        <w:pStyle w:val="FirstParagraph"/>
      </w:pPr>
      <w:r>
        <w:t xml:space="preserve">A</w:t>
      </w:r>
      <w:r>
        <w:t xml:space="preserve"> </w:t>
      </w:r>
      <w:r>
        <w:rPr>
          <w:b/>
          <w:bCs/>
        </w:rPr>
        <w:t xml:space="preserve">negative control outcome</w:t>
      </w:r>
      <w:r>
        <w:t xml:space="preserve"> </w:t>
      </w:r>
      <w:r>
        <w:t xml:space="preserve">– 30-day readmission with an eye or ear</w:t>
      </w:r>
      <w:r>
        <w:t xml:space="preserve"> </w:t>
      </w:r>
      <w:r>
        <w:t xml:space="preserve">principal diagnosis – was pre-specified. Such a readmission has no plausible</w:t>
      </w:r>
      <w:r>
        <w:t xml:space="preserve"> </w:t>
      </w:r>
      <w:r>
        <w:t xml:space="preserve">causal link to stimulant use. A null result is consistent with the absence of</w:t>
      </w:r>
      <w:r>
        <w:t xml:space="preserve"> </w:t>
      </w:r>
      <w:r>
        <w:t xml:space="preserve">gross residual confounding or differential surveillance; a non-null result</w:t>
      </w:r>
      <w:r>
        <w:t xml:space="preserve"> </w:t>
      </w:r>
      <w:r>
        <w:t xml:space="preserve">indicates one or the other and is reported as such.</w:t>
      </w:r>
    </w:p>
    <w:bookmarkEnd w:id="23"/>
    <w:bookmarkStart w:id="24" w:name="multiplicity"/>
    <w:p>
      <w:pPr>
        <w:pStyle w:val="Heading3"/>
      </w:pPr>
      <w:r>
        <w:t xml:space="preserve">2.8.8 Multiplicity</w:t>
      </w:r>
    </w:p>
    <w:p>
      <w:pPr>
        <w:pStyle w:val="FirstParagraph"/>
      </w:pPr>
      <w:r>
        <w:t xml:space="preserve">The primary outcome is tested once and is not adjusted. Secondary outcomes</w:t>
      </w:r>
      <w:r>
        <w:t xml:space="preserve"> </w:t>
      </w:r>
      <w:r>
        <w:t xml:space="preserve">form one Benjamini-Hochberg family. Between-arm differences in cause of</w:t>
      </w:r>
      <w:r>
        <w:t xml:space="preserve"> </w:t>
      </w:r>
      <w:r>
        <w:t xml:space="preserve">readmission form a second, separate Benjamini-Hochberg family. Subgroup and</w:t>
      </w:r>
      <w:r>
        <w:t xml:space="preserve"> </w:t>
      </w:r>
      <w:r>
        <w:t xml:space="preserve">sensitivity analyses are not adjusted and are labelled exploratory or</w:t>
      </w:r>
      <w:r>
        <w:t xml:space="preserve"> </w:t>
      </w:r>
      <w:r>
        <w:t xml:space="preserve">confirmatory-consistency respectively.</w:t>
      </w:r>
    </w:p>
    <w:bookmarkEnd w:id="24"/>
    <w:bookmarkEnd w:id="25"/>
    <w:bookmarkStart w:id="26" w:name="sec-suppression"/>
    <w:p>
      <w:pPr>
        <w:pStyle w:val="Heading2"/>
      </w:pPr>
      <w:r>
        <w:t xml:space="preserve">2.9 Small-cell suppression</w:t>
      </w:r>
    </w:p>
    <w:p>
      <w:pPr>
        <w:pStyle w:val="FirstParagraph"/>
      </w:pPr>
      <w:r>
        <w:t xml:space="preserve">Under the HCUP Data Use Agreement, no cell derived from fewer than</w:t>
      </w:r>
      <w:r>
        <w:t xml:space="preserve"> </w:t>
      </w:r>
      <w:r>
        <w:rPr>
          <w:b/>
          <w:bCs/>
        </w:rPr>
        <w:t xml:space="preserve">11</w:t>
      </w:r>
      <w:r>
        <w:t xml:space="preserve"> </w:t>
      </w:r>
      <w:r>
        <w:t xml:space="preserve">unweighted observations may be reported. Every rendered</w:t>
      </w:r>
      <w:r>
        <w:t xml:space="preserve"> </w:t>
      </w:r>
      <w:r>
        <w:t xml:space="preserve">table is scanned programmatically at the end of the render (</w:t>
      </w:r>
      <w:hyperlink w:anchor="sec-scan">
        <w:r>
          <w:rPr>
            <w:rStyle w:val="Hyperlink"/>
          </w:rPr>
          <w:t xml:space="preserve">Section 7.1</w:t>
        </w:r>
      </w:hyperlink>
      <w:r>
        <w:t xml:space="preserve">);</w:t>
      </w:r>
      <w:r>
        <w:t xml:space="preserve"> </w:t>
      </w:r>
      <w:r>
        <w:t xml:space="preserve">suppressed cells appear as</w:t>
      </w:r>
      <w:r>
        <w:t xml:space="preserve"> </w:t>
      </w:r>
      <w:r>
        <w:rPr>
          <w:rStyle w:val="VerbatimChar"/>
        </w:rPr>
        <w:t xml:space="preserve">&lt;11</w:t>
      </w:r>
      <w:r>
        <w:t xml:space="preserve">. Suppression is applied to figures as well as</w:t>
      </w:r>
      <w:r>
        <w:t xml:space="preserve"> </w:t>
      </w:r>
      <w:r>
        <w:t xml:space="preserve">tables, so that no suppressed count can be recovered from a plotted value.</w:t>
      </w:r>
    </w:p>
    <w:bookmarkEnd w:id="26"/>
    <w:bookmarkStart w:id="27" w:name="sec-software"/>
    <w:p>
      <w:pPr>
        <w:pStyle w:val="Heading2"/>
      </w:pPr>
      <w:r>
        <w:t xml:space="preserve">2.10 Software</w:t>
      </w:r>
    </w:p>
    <w:p>
      <w:pPr>
        <w:pStyle w:val="FirstParagraph"/>
      </w:pPr>
      <w:r>
        <w:t xml:space="preserve">Analyses were performed in R 4.6.1 using</w:t>
      </w:r>
      <w:r>
        <w:t xml:space="preserve"> </w:t>
      </w:r>
      <w:r>
        <w:rPr>
          <w:rStyle w:val="VerbatimChar"/>
        </w:rPr>
        <w:t xml:space="preserve">survey</w:t>
      </w:r>
      <w:r>
        <w:t xml:space="preserve"> </w:t>
      </w:r>
      <w:r>
        <w:t xml:space="preserve">4.5,</w:t>
      </w:r>
      <w:r>
        <w:t xml:space="preserve"> </w:t>
      </w:r>
      <w:r>
        <w:rPr>
          <w:rStyle w:val="VerbatimChar"/>
        </w:rPr>
        <w:t xml:space="preserve">survival</w:t>
      </w:r>
      <w:r>
        <w:t xml:space="preserve"> </w:t>
      </w:r>
      <w:r>
        <w:t xml:space="preserve">3.8.6,</w:t>
      </w:r>
      <w:r>
        <w:t xml:space="preserve"> </w:t>
      </w:r>
      <w:r>
        <w:rPr>
          <w:rStyle w:val="VerbatimChar"/>
        </w:rPr>
        <w:t xml:space="preserve">splines</w:t>
      </w:r>
      <w:r>
        <w:t xml:space="preserve"> </w:t>
      </w:r>
      <w:r>
        <w:t xml:space="preserve">(base) and</w:t>
      </w:r>
      <w:r>
        <w:t xml:space="preserve"> </w:t>
      </w:r>
      <w:r>
        <w:rPr>
          <w:rStyle w:val="VerbatimChar"/>
        </w:rPr>
        <w:t xml:space="preserve">dplyr</w:t>
      </w:r>
      <w:r>
        <w:t xml:space="preserve"> </w:t>
      </w:r>
      <w:r>
        <w:t xml:space="preserve">1.2.1. Comorbidities were classified with the AHRQ Elixhauser Comorbidity Software and causes of readmission with the AHRQ Clinical Classifications Software Refined (DXCCSR v2025.1). This report was produced with Quarto; all tables and figures are generated from the analysis file at render time and none are transcribed by hand.</w:t>
      </w:r>
    </w:p>
    <w:bookmarkEnd w:id="27"/>
    <w:bookmarkStart w:id="28" w:name="ethics"/>
    <w:p>
      <w:pPr>
        <w:pStyle w:val="Heading2"/>
      </w:pPr>
      <w:r>
        <w:t xml:space="preserve">2.11 Ethics</w:t>
      </w:r>
    </w:p>
    <w:p>
      <w:pPr>
        <w:pStyle w:val="FirstParagraph"/>
      </w:pPr>
      <w:r>
        <w:t xml:space="preserve">The NRD contains de-identified administrative data. The study was therefore</w:t>
      </w:r>
      <w:r>
        <w:t xml:space="preserve"> </w:t>
      </w:r>
      <w:r>
        <w:t xml:space="preserve">exempt from institutional review board review and informed consent was not</w:t>
      </w:r>
      <w:r>
        <w:t xml:space="preserve"> </w:t>
      </w:r>
      <w:r>
        <w:t xml:space="preserve">required. The analysis complies with the HCUP Data Use Agreement, including</w:t>
      </w:r>
      <w:r>
        <w:t xml:space="preserve"> </w:t>
      </w:r>
      <w:r>
        <w:t xml:space="preserve">the minimum-cell rule in</w:t>
      </w:r>
      <w:r>
        <w:t xml:space="preserve"> </w:t>
      </w:r>
      <w:hyperlink w:anchor="sec-suppression">
        <w:r>
          <w:rPr>
            <w:rStyle w:val="Hyperlink"/>
          </w:rPr>
          <w:t xml:space="preserve">Section 2.9</w:t>
        </w:r>
      </w:hyperlink>
      <w:r>
        <w:t xml:space="preserve">.</w:t>
      </w:r>
    </w:p>
    <w:bookmarkEnd w:id="28"/>
    <w:bookmarkEnd w:id="29"/>
    <w:bookmarkStart w:id="93" w:name="sec-results"/>
    <w:p>
      <w:pPr>
        <w:pStyle w:val="Heading1"/>
      </w:pPr>
      <w:r>
        <w:t xml:space="preserve">3. Results</w:t>
      </w:r>
    </w:p>
    <w:bookmarkStart w:id="33" w:name="baseline-characteristics"/>
    <w:p>
      <w:pPr>
        <w:pStyle w:val="Heading2"/>
      </w:pPr>
      <w:r>
        <w:t xml:space="preserve">3.1 Baseline characteristics</w:t>
      </w:r>
    </w:p>
    <w:p>
      <w:pPr>
        <w:pStyle w:val="TableCaption"/>
      </w:pPr>
      <w:r>
        <w:t xml:space="preserve">Table 1. Baseline characteristics of index heart failure admissions, by amphetamine-type stimulant use disorder.</w:t>
      </w:r>
    </w:p>
    <w:tbl>
      <w:tblPr>
        <w:tblStyle w:val="Table"/>
        <w:tblW w:type="pct" w:w="5000"/>
        <w:tblLayout w:type="fixed"/>
        <w:tblLook w:firstRow="1" w:lastRow="0" w:firstColumn="0" w:lastColumn="0" w:noHBand="0" w:noVBand="0" w:val="0020"/>
        <w:tblCaption w:val="Table 1. Baseline characteristics of index heart failure admissions, by amphetamine-type stimulant use disorder."/>
      </w:tblPr>
      <w:tblGrid>
        <w:gridCol w:w="2617"/>
        <w:gridCol w:w="1159"/>
        <w:gridCol w:w="1756"/>
        <w:gridCol w:w="2120"/>
        <w:gridCol w:w="265"/>
      </w:tblGrid>
      <w:tr>
        <w:trPr>
          <w:tblHeader w:val="on"/>
        </w:trPr>
        <w:tc>
          <w:tcPr/>
          <w:p>
            <w:pPr>
              <w:pStyle w:val="Compact"/>
              <w:jc w:val="left"/>
            </w:pPr>
            <w:r>
              <w:t xml:space="preserve">Characteristic</w:t>
            </w:r>
          </w:p>
        </w:tc>
        <w:tc>
          <w:tcPr/>
          <w:p>
            <w:pPr>
              <w:pStyle w:val="Compact"/>
              <w:jc w:val="left"/>
            </w:pPr>
            <w:r>
              <w:t xml:space="preserve">Overall (unweighted n = 3,773,470)</w:t>
            </w:r>
          </w:p>
        </w:tc>
        <w:tc>
          <w:tcPr/>
          <w:p>
            <w:pPr>
              <w:pStyle w:val="Compact"/>
              <w:jc w:val="left"/>
            </w:pPr>
            <w:r>
              <w:t xml:space="preserve">No substance use disorder (unweighted n = 3,685,491)</w:t>
            </w:r>
          </w:p>
        </w:tc>
        <w:tc>
          <w:tcPr/>
          <w:p>
            <w:pPr>
              <w:pStyle w:val="Compact"/>
              <w:jc w:val="left"/>
            </w:pPr>
            <w:r>
              <w:t xml:space="preserve">Amphetamine-type stimulant use disorder (unweighted n = 87,979)</w:t>
            </w:r>
          </w:p>
        </w:tc>
        <w:tc>
          <w:tcPr/>
          <w:p>
            <w:pPr>
              <w:pStyle w:val="Compact"/>
              <w:jc w:val="left"/>
            </w:pPr>
            <w:r>
              <w:t xml:space="preserve">SMD</w:t>
            </w:r>
          </w:p>
        </w:tc>
      </w:tr>
      <w:tr>
        <w:tc>
          <w:tcPr/>
          <w:p>
            <w:pPr>
              <w:pStyle w:val="Compact"/>
              <w:jc w:val="left"/>
            </w:pPr>
            <w:r>
              <w:t xml:space="preserve">Age, years, mean (SD)</w:t>
            </w:r>
          </w:p>
        </w:tc>
        <w:tc>
          <w:tcPr/>
          <w:p>
            <w:pPr>
              <w:pStyle w:val="Compact"/>
              <w:jc w:val="left"/>
            </w:pPr>
            <w:r>
              <w:t xml:space="preserve">71.9 (14.1)</w:t>
            </w:r>
          </w:p>
        </w:tc>
        <w:tc>
          <w:tcPr/>
          <w:p>
            <w:pPr>
              <w:pStyle w:val="Compact"/>
              <w:jc w:val="left"/>
            </w:pPr>
            <w:r>
              <w:t xml:space="preserve">72.3 (13.8)</w:t>
            </w:r>
          </w:p>
        </w:tc>
        <w:tc>
          <w:tcPr/>
          <w:p>
            <w:pPr>
              <w:pStyle w:val="Compact"/>
              <w:jc w:val="left"/>
            </w:pPr>
            <w:r>
              <w:t xml:space="preserve">51.1 (10.2)</w:t>
            </w:r>
          </w:p>
        </w:tc>
        <w:tc>
          <w:tcPr/>
          <w:p>
            <w:pPr>
              <w:pStyle w:val="Compact"/>
              <w:jc w:val="left"/>
            </w:pPr>
            <w:r>
              <w:t xml:space="preserve">1.751</w:t>
            </w:r>
          </w:p>
        </w:tc>
      </w:tr>
      <w:tr>
        <w:tc>
          <w:tcPr/>
          <w:p>
            <w:pPr>
              <w:pStyle w:val="Compact"/>
              <w:jc w:val="left"/>
            </w:pPr>
            <w:r>
              <w:t xml:space="preserve">Age group, % (unweighted n)</w:t>
            </w:r>
          </w:p>
        </w:tc>
        <w:tc>
          <w:tcPr/>
          <w:p>
            <w:pPr>
              <w:pStyle w:val="Compact"/>
            </w:pPr>
          </w:p>
        </w:tc>
        <w:tc>
          <w:tcPr/>
          <w:p>
            <w:pPr>
              <w:pStyle w:val="Compact"/>
            </w:pPr>
          </w:p>
        </w:tc>
        <w:tc>
          <w:tcPr/>
          <w:p>
            <w:pPr>
              <w:pStyle w:val="Compact"/>
            </w:pPr>
          </w:p>
        </w:tc>
        <w:tc>
          <w:tcPr/>
          <w:p>
            <w:pPr>
              <w:pStyle w:val="Compact"/>
              <w:jc w:val="left"/>
            </w:pPr>
            <w:r>
              <w:t xml:space="preserve">1.169</w:t>
            </w:r>
          </w:p>
        </w:tc>
      </w:tr>
      <w:tr>
        <w:tc>
          <w:tcPr/>
          <w:p>
            <w:pPr>
              <w:pStyle w:val="Compact"/>
              <w:jc w:val="left"/>
            </w:pPr>
            <w:r>
              <w:t xml:space="preserve"> ≥55 years</w:t>
            </w:r>
          </w:p>
        </w:tc>
        <w:tc>
          <w:tcPr/>
          <w:p>
            <w:pPr>
              <w:pStyle w:val="Compact"/>
              <w:jc w:val="left"/>
            </w:pPr>
            <w:r>
              <w:t xml:space="preserve">87.8% (3,325,445)</w:t>
            </w:r>
          </w:p>
        </w:tc>
        <w:tc>
          <w:tcPr/>
          <w:p>
            <w:pPr>
              <w:pStyle w:val="Compact"/>
              <w:jc w:val="left"/>
            </w:pPr>
            <w:r>
              <w:t xml:space="preserve">88.8% (3,288,625)</w:t>
            </w:r>
          </w:p>
        </w:tc>
        <w:tc>
          <w:tcPr/>
          <w:p>
            <w:pPr>
              <w:pStyle w:val="Compact"/>
              <w:jc w:val="left"/>
            </w:pPr>
            <w:r>
              <w:t xml:space="preserve">40.6% (36,820)</w:t>
            </w:r>
          </w:p>
        </w:tc>
        <w:tc>
          <w:tcPr/>
          <w:p>
            <w:pPr>
              <w:pStyle w:val="Compact"/>
            </w:pPr>
          </w:p>
        </w:tc>
      </w:tr>
      <w:tr>
        <w:tc>
          <w:tcPr/>
          <w:p>
            <w:pPr>
              <w:pStyle w:val="Compact"/>
              <w:jc w:val="left"/>
            </w:pPr>
            <w:r>
              <w:t xml:space="preserve"> &lt;55 years</w:t>
            </w:r>
          </w:p>
        </w:tc>
        <w:tc>
          <w:tcPr/>
          <w:p>
            <w:pPr>
              <w:pStyle w:val="Compact"/>
              <w:jc w:val="left"/>
            </w:pPr>
            <w:r>
              <w:t xml:space="preserve">12.2% (448,025)</w:t>
            </w:r>
          </w:p>
        </w:tc>
        <w:tc>
          <w:tcPr/>
          <w:p>
            <w:pPr>
              <w:pStyle w:val="Compact"/>
              <w:jc w:val="left"/>
            </w:pPr>
            <w:r>
              <w:t xml:space="preserve">11.2% (396,866)</w:t>
            </w:r>
          </w:p>
        </w:tc>
        <w:tc>
          <w:tcPr/>
          <w:p>
            <w:pPr>
              <w:pStyle w:val="Compact"/>
              <w:jc w:val="left"/>
            </w:pPr>
            <w:r>
              <w:t xml:space="preserve">59.4% (51,159)</w:t>
            </w:r>
          </w:p>
        </w:tc>
        <w:tc>
          <w:tcPr/>
          <w:p>
            <w:pPr>
              <w:pStyle w:val="Compact"/>
            </w:pPr>
          </w:p>
        </w:tc>
      </w:tr>
      <w:tr>
        <w:tc>
          <w:tcPr/>
          <w:p>
            <w:pPr>
              <w:pStyle w:val="Compact"/>
              <w:jc w:val="left"/>
            </w:pPr>
            <w:r>
              <w:t xml:space="preserve">Sex, % (unweighted n)</w:t>
            </w:r>
          </w:p>
        </w:tc>
        <w:tc>
          <w:tcPr/>
          <w:p>
            <w:pPr>
              <w:pStyle w:val="Compact"/>
            </w:pPr>
          </w:p>
        </w:tc>
        <w:tc>
          <w:tcPr/>
          <w:p>
            <w:pPr>
              <w:pStyle w:val="Compact"/>
            </w:pPr>
          </w:p>
        </w:tc>
        <w:tc>
          <w:tcPr/>
          <w:p>
            <w:pPr>
              <w:pStyle w:val="Compact"/>
            </w:pPr>
          </w:p>
        </w:tc>
        <w:tc>
          <w:tcPr/>
          <w:p>
            <w:pPr>
              <w:pStyle w:val="Compact"/>
              <w:jc w:val="left"/>
            </w:pPr>
            <w:r>
              <w:t xml:space="preserve">0.593</w:t>
            </w:r>
          </w:p>
        </w:tc>
      </w:tr>
      <w:tr>
        <w:tc>
          <w:tcPr/>
          <w:p>
            <w:pPr>
              <w:pStyle w:val="Compact"/>
              <w:jc w:val="left"/>
            </w:pPr>
            <w:r>
              <w:t xml:space="preserve"> Male</w:t>
            </w:r>
          </w:p>
        </w:tc>
        <w:tc>
          <w:tcPr/>
          <w:p>
            <w:pPr>
              <w:pStyle w:val="Compact"/>
              <w:jc w:val="left"/>
            </w:pPr>
            <w:r>
              <w:t xml:space="preserve">51.0% (1,929,904)</w:t>
            </w:r>
          </w:p>
        </w:tc>
        <w:tc>
          <w:tcPr/>
          <w:p>
            <w:pPr>
              <w:pStyle w:val="Compact"/>
              <w:jc w:val="left"/>
            </w:pPr>
            <w:r>
              <w:t xml:space="preserve">50.4% (1,861,679)</w:t>
            </w:r>
          </w:p>
        </w:tc>
        <w:tc>
          <w:tcPr/>
          <w:p>
            <w:pPr>
              <w:pStyle w:val="Compact"/>
              <w:jc w:val="left"/>
            </w:pPr>
            <w:r>
              <w:t xml:space="preserve">77.7% (68,225)</w:t>
            </w:r>
          </w:p>
        </w:tc>
        <w:tc>
          <w:tcPr/>
          <w:p>
            <w:pPr>
              <w:pStyle w:val="Compact"/>
            </w:pPr>
          </w:p>
        </w:tc>
      </w:tr>
      <w:tr>
        <w:tc>
          <w:tcPr/>
          <w:p>
            <w:pPr>
              <w:pStyle w:val="Compact"/>
              <w:jc w:val="left"/>
            </w:pPr>
            <w:r>
              <w:t xml:space="preserve"> Female</w:t>
            </w:r>
          </w:p>
        </w:tc>
        <w:tc>
          <w:tcPr/>
          <w:p>
            <w:pPr>
              <w:pStyle w:val="Compact"/>
              <w:jc w:val="left"/>
            </w:pPr>
            <w:r>
              <w:t xml:space="preserve">49.0% (1,843,566)</w:t>
            </w:r>
          </w:p>
        </w:tc>
        <w:tc>
          <w:tcPr/>
          <w:p>
            <w:pPr>
              <w:pStyle w:val="Compact"/>
              <w:jc w:val="left"/>
            </w:pPr>
            <w:r>
              <w:t xml:space="preserve">49.6% (1,823,812)</w:t>
            </w:r>
          </w:p>
        </w:tc>
        <w:tc>
          <w:tcPr/>
          <w:p>
            <w:pPr>
              <w:pStyle w:val="Compact"/>
              <w:jc w:val="left"/>
            </w:pPr>
            <w:r>
              <w:t xml:space="preserve">22.3% (19,754)</w:t>
            </w:r>
          </w:p>
        </w:tc>
        <w:tc>
          <w:tcPr/>
          <w:p>
            <w:pPr>
              <w:pStyle w:val="Compact"/>
            </w:pPr>
          </w:p>
        </w:tc>
      </w:tr>
      <w:tr>
        <w:tc>
          <w:tcPr/>
          <w:p>
            <w:pPr>
              <w:pStyle w:val="Compact"/>
              <w:jc w:val="left"/>
            </w:pPr>
            <w:r>
              <w:t xml:space="preserve">Primary expected payer, % (unweighted n)</w:t>
            </w:r>
          </w:p>
        </w:tc>
        <w:tc>
          <w:tcPr/>
          <w:p>
            <w:pPr>
              <w:pStyle w:val="Compact"/>
            </w:pPr>
          </w:p>
        </w:tc>
        <w:tc>
          <w:tcPr/>
          <w:p>
            <w:pPr>
              <w:pStyle w:val="Compact"/>
            </w:pPr>
          </w:p>
        </w:tc>
        <w:tc>
          <w:tcPr/>
          <w:p>
            <w:pPr>
              <w:pStyle w:val="Compact"/>
            </w:pPr>
          </w:p>
        </w:tc>
        <w:tc>
          <w:tcPr/>
          <w:p>
            <w:pPr>
              <w:pStyle w:val="Compact"/>
              <w:jc w:val="left"/>
            </w:pPr>
            <w:r>
              <w:t xml:space="preserve">1.417</w:t>
            </w:r>
          </w:p>
        </w:tc>
      </w:tr>
      <w:tr>
        <w:tc>
          <w:tcPr/>
          <w:p>
            <w:pPr>
              <w:pStyle w:val="Compact"/>
              <w:jc w:val="left"/>
            </w:pPr>
            <w:r>
              <w:t xml:space="preserve"> Private</w:t>
            </w:r>
          </w:p>
        </w:tc>
        <w:tc>
          <w:tcPr/>
          <w:p>
            <w:pPr>
              <w:pStyle w:val="Compact"/>
              <w:jc w:val="left"/>
            </w:pPr>
            <w:r>
              <w:t xml:space="preserve">10.0% (373,665)</w:t>
            </w:r>
          </w:p>
        </w:tc>
        <w:tc>
          <w:tcPr/>
          <w:p>
            <w:pPr>
              <w:pStyle w:val="Compact"/>
              <w:jc w:val="left"/>
            </w:pPr>
            <w:r>
              <w:t xml:space="preserve">10.1% (368,114)</w:t>
            </w:r>
          </w:p>
        </w:tc>
        <w:tc>
          <w:tcPr/>
          <w:p>
            <w:pPr>
              <w:pStyle w:val="Compact"/>
              <w:jc w:val="left"/>
            </w:pPr>
            <w:r>
              <w:t xml:space="preserve">6.7% (5,551)</w:t>
            </w:r>
          </w:p>
        </w:tc>
        <w:tc>
          <w:tcPr/>
          <w:p>
            <w:pPr>
              <w:pStyle w:val="Compact"/>
            </w:pPr>
          </w:p>
        </w:tc>
      </w:tr>
      <w:tr>
        <w:tc>
          <w:tcPr/>
          <w:p>
            <w:pPr>
              <w:pStyle w:val="Compact"/>
              <w:jc w:val="left"/>
            </w:pPr>
            <w:r>
              <w:t xml:space="preserve"> Medicare</w:t>
            </w:r>
          </w:p>
        </w:tc>
        <w:tc>
          <w:tcPr/>
          <w:p>
            <w:pPr>
              <w:pStyle w:val="Compact"/>
              <w:jc w:val="left"/>
            </w:pPr>
            <w:r>
              <w:t xml:space="preserve">75.6% (2,845,828)</w:t>
            </w:r>
          </w:p>
        </w:tc>
        <w:tc>
          <w:tcPr/>
          <w:p>
            <w:pPr>
              <w:pStyle w:val="Compact"/>
              <w:jc w:val="left"/>
            </w:pPr>
            <w:r>
              <w:t xml:space="preserve">76.7% (2,829,180)</w:t>
            </w:r>
          </w:p>
        </w:tc>
        <w:tc>
          <w:tcPr/>
          <w:p>
            <w:pPr>
              <w:pStyle w:val="Compact"/>
              <w:jc w:val="left"/>
            </w:pPr>
            <w:r>
              <w:t xml:space="preserve">19.0% (16,648)</w:t>
            </w:r>
          </w:p>
        </w:tc>
        <w:tc>
          <w:tcPr/>
          <w:p>
            <w:pPr>
              <w:pStyle w:val="Compact"/>
            </w:pPr>
          </w:p>
        </w:tc>
      </w:tr>
      <w:tr>
        <w:tc>
          <w:tcPr/>
          <w:p>
            <w:pPr>
              <w:pStyle w:val="Compact"/>
              <w:jc w:val="left"/>
            </w:pPr>
            <w:r>
              <w:t xml:space="preserve"> Medicaid</w:t>
            </w:r>
          </w:p>
        </w:tc>
        <w:tc>
          <w:tcPr/>
          <w:p>
            <w:pPr>
              <w:pStyle w:val="Compact"/>
              <w:jc w:val="left"/>
            </w:pPr>
            <w:r>
              <w:t xml:space="preserve">10.0% (393,678)</w:t>
            </w:r>
          </w:p>
        </w:tc>
        <w:tc>
          <w:tcPr/>
          <w:p>
            <w:pPr>
              <w:pStyle w:val="Compact"/>
              <w:jc w:val="left"/>
            </w:pPr>
            <w:r>
              <w:t xml:space="preserve">8.9% (335,887)</w:t>
            </w:r>
          </w:p>
        </w:tc>
        <w:tc>
          <w:tcPr/>
          <w:p>
            <w:pPr>
              <w:pStyle w:val="Compact"/>
              <w:jc w:val="left"/>
            </w:pPr>
            <w:r>
              <w:t xml:space="preserve">63.6% (57,791)</w:t>
            </w:r>
          </w:p>
        </w:tc>
        <w:tc>
          <w:tcPr/>
          <w:p>
            <w:pPr>
              <w:pStyle w:val="Compact"/>
            </w:pPr>
          </w:p>
        </w:tc>
      </w:tr>
      <w:tr>
        <w:tc>
          <w:tcPr/>
          <w:p>
            <w:pPr>
              <w:pStyle w:val="Compact"/>
              <w:jc w:val="left"/>
            </w:pPr>
            <w:r>
              <w:t xml:space="preserve"> Other/self-pay</w:t>
            </w:r>
          </w:p>
        </w:tc>
        <w:tc>
          <w:tcPr/>
          <w:p>
            <w:pPr>
              <w:pStyle w:val="Compact"/>
              <w:jc w:val="left"/>
            </w:pPr>
            <w:r>
              <w:t xml:space="preserve">4.3% (155,703)</w:t>
            </w:r>
          </w:p>
        </w:tc>
        <w:tc>
          <w:tcPr/>
          <w:p>
            <w:pPr>
              <w:pStyle w:val="Compact"/>
              <w:jc w:val="left"/>
            </w:pPr>
            <w:r>
              <w:t xml:space="preserve">4.1% (147,831)</w:t>
            </w:r>
          </w:p>
        </w:tc>
        <w:tc>
          <w:tcPr/>
          <w:p>
            <w:pPr>
              <w:pStyle w:val="Compact"/>
              <w:jc w:val="left"/>
            </w:pPr>
            <w:r>
              <w:t xml:space="preserve">10.5% (7,872)</w:t>
            </w:r>
          </w:p>
        </w:tc>
        <w:tc>
          <w:tcPr/>
          <w:p>
            <w:pPr>
              <w:pStyle w:val="Compact"/>
            </w:pPr>
          </w:p>
        </w:tc>
      </w:tr>
      <w:tr>
        <w:tc>
          <w:tcPr/>
          <w:p>
            <w:pPr>
              <w:pStyle w:val="Compact"/>
              <w:jc w:val="left"/>
            </w:pPr>
            <w:r>
              <w:t xml:space="preserve"> Missing/other</w:t>
            </w:r>
          </w:p>
        </w:tc>
        <w:tc>
          <w:tcPr/>
          <w:p>
            <w:pPr>
              <w:pStyle w:val="Compact"/>
              <w:jc w:val="left"/>
            </w:pPr>
            <w:r>
              <w:t xml:space="preserve">0.1% (4,596)</w:t>
            </w:r>
          </w:p>
        </w:tc>
        <w:tc>
          <w:tcPr/>
          <w:p>
            <w:pPr>
              <w:pStyle w:val="Compact"/>
              <w:jc w:val="left"/>
            </w:pPr>
            <w:r>
              <w:t xml:space="preserve">0.1% (4,479)</w:t>
            </w:r>
          </w:p>
        </w:tc>
        <w:tc>
          <w:tcPr/>
          <w:p>
            <w:pPr>
              <w:pStyle w:val="Compact"/>
              <w:jc w:val="left"/>
            </w:pPr>
            <w:r>
              <w:t xml:space="preserve">0.1% (117)</w:t>
            </w:r>
          </w:p>
        </w:tc>
        <w:tc>
          <w:tcPr/>
          <w:p>
            <w:pPr>
              <w:pStyle w:val="Compact"/>
            </w:pPr>
          </w:p>
        </w:tc>
      </w:tr>
      <w:tr>
        <w:tc>
          <w:tcPr/>
          <w:p>
            <w:pPr>
              <w:pStyle w:val="Compact"/>
              <w:jc w:val="left"/>
            </w:pPr>
            <w:r>
              <w:t xml:space="preserve">Median household income quartile (patient ZIP code), % (unweighted n)</w:t>
            </w:r>
          </w:p>
        </w:tc>
        <w:tc>
          <w:tcPr/>
          <w:p>
            <w:pPr>
              <w:pStyle w:val="Compact"/>
            </w:pPr>
          </w:p>
        </w:tc>
        <w:tc>
          <w:tcPr/>
          <w:p>
            <w:pPr>
              <w:pStyle w:val="Compact"/>
            </w:pPr>
          </w:p>
        </w:tc>
        <w:tc>
          <w:tcPr/>
          <w:p>
            <w:pPr>
              <w:pStyle w:val="Compact"/>
            </w:pPr>
          </w:p>
        </w:tc>
        <w:tc>
          <w:tcPr/>
          <w:p>
            <w:pPr>
              <w:pStyle w:val="Compact"/>
              <w:jc w:val="left"/>
            </w:pPr>
            <w:r>
              <w:t xml:space="preserve">0.197</w:t>
            </w:r>
          </w:p>
        </w:tc>
      </w:tr>
      <w:tr>
        <w:tc>
          <w:tcPr/>
          <w:p>
            <w:pPr>
              <w:pStyle w:val="Compact"/>
              <w:jc w:val="left"/>
            </w:pPr>
            <w:r>
              <w:t xml:space="preserve"> 0-25th percentile</w:t>
            </w:r>
          </w:p>
        </w:tc>
        <w:tc>
          <w:tcPr/>
          <w:p>
            <w:pPr>
              <w:pStyle w:val="Compact"/>
              <w:jc w:val="left"/>
            </w:pPr>
            <w:r>
              <w:t xml:space="preserve">33.1% (1,173,635)</w:t>
            </w:r>
          </w:p>
        </w:tc>
        <w:tc>
          <w:tcPr/>
          <w:p>
            <w:pPr>
              <w:pStyle w:val="Compact"/>
              <w:jc w:val="left"/>
            </w:pPr>
            <w:r>
              <w:t xml:space="preserve">32.9% (1,137,446)</w:t>
            </w:r>
          </w:p>
        </w:tc>
        <w:tc>
          <w:tcPr/>
          <w:p>
            <w:pPr>
              <w:pStyle w:val="Compact"/>
              <w:jc w:val="left"/>
            </w:pPr>
            <w:r>
              <w:t xml:space="preserve">42.4% (36,189)</w:t>
            </w:r>
          </w:p>
        </w:tc>
        <w:tc>
          <w:tcPr/>
          <w:p>
            <w:pPr>
              <w:pStyle w:val="Compact"/>
            </w:pPr>
          </w:p>
        </w:tc>
      </w:tr>
      <w:tr>
        <w:tc>
          <w:tcPr/>
          <w:p>
            <w:pPr>
              <w:pStyle w:val="Compact"/>
              <w:jc w:val="left"/>
            </w:pPr>
            <w:r>
              <w:t xml:space="preserve"> 26th to 50th percentile</w:t>
            </w:r>
          </w:p>
        </w:tc>
        <w:tc>
          <w:tcPr/>
          <w:p>
            <w:pPr>
              <w:pStyle w:val="Compact"/>
              <w:jc w:val="left"/>
            </w:pPr>
            <w:r>
              <w:t xml:space="preserve">27.3% (1,005,972)</w:t>
            </w:r>
          </w:p>
        </w:tc>
        <w:tc>
          <w:tcPr/>
          <w:p>
            <w:pPr>
              <w:pStyle w:val="Compact"/>
              <w:jc w:val="left"/>
            </w:pPr>
            <w:r>
              <w:t xml:space="preserve">27.3% (985,105)</w:t>
            </w:r>
          </w:p>
        </w:tc>
        <w:tc>
          <w:tcPr/>
          <w:p>
            <w:pPr>
              <w:pStyle w:val="Compact"/>
              <w:jc w:val="left"/>
            </w:pPr>
            <w:r>
              <w:t xml:space="preserve">24.6% (20,867)</w:t>
            </w:r>
          </w:p>
        </w:tc>
        <w:tc>
          <w:tcPr/>
          <w:p>
            <w:pPr>
              <w:pStyle w:val="Compact"/>
            </w:pPr>
          </w:p>
        </w:tc>
      </w:tr>
      <w:tr>
        <w:tc>
          <w:tcPr/>
          <w:p>
            <w:pPr>
              <w:pStyle w:val="Compact"/>
              <w:jc w:val="left"/>
            </w:pPr>
            <w:r>
              <w:t xml:space="preserve"> 51st to 75th percentile</w:t>
            </w:r>
          </w:p>
        </w:tc>
        <w:tc>
          <w:tcPr/>
          <w:p>
            <w:pPr>
              <w:pStyle w:val="Compact"/>
              <w:jc w:val="left"/>
            </w:pPr>
            <w:r>
              <w:t xml:space="preserve">22.4% (876,220)</w:t>
            </w:r>
          </w:p>
        </w:tc>
        <w:tc>
          <w:tcPr/>
          <w:p>
            <w:pPr>
              <w:pStyle w:val="Compact"/>
              <w:jc w:val="left"/>
            </w:pPr>
            <w:r>
              <w:t xml:space="preserve">22.5% (857,529)</w:t>
            </w:r>
          </w:p>
        </w:tc>
        <w:tc>
          <w:tcPr/>
          <w:p>
            <w:pPr>
              <w:pStyle w:val="Compact"/>
              <w:jc w:val="left"/>
            </w:pPr>
            <w:r>
              <w:t xml:space="preserve">20.3% (18,691)</w:t>
            </w:r>
          </w:p>
        </w:tc>
        <w:tc>
          <w:tcPr/>
          <w:p>
            <w:pPr>
              <w:pStyle w:val="Compact"/>
            </w:pPr>
          </w:p>
        </w:tc>
      </w:tr>
      <w:tr>
        <w:tc>
          <w:tcPr/>
          <w:p>
            <w:pPr>
              <w:pStyle w:val="Compact"/>
              <w:jc w:val="left"/>
            </w:pPr>
            <w:r>
              <w:t xml:space="preserve"> 76th to 100th percentile</w:t>
            </w:r>
          </w:p>
        </w:tc>
        <w:tc>
          <w:tcPr/>
          <w:p>
            <w:pPr>
              <w:pStyle w:val="Compact"/>
              <w:jc w:val="left"/>
            </w:pPr>
            <w:r>
              <w:t xml:space="preserve">16.1% (672,332)</w:t>
            </w:r>
          </w:p>
        </w:tc>
        <w:tc>
          <w:tcPr/>
          <w:p>
            <w:pPr>
              <w:pStyle w:val="Compact"/>
              <w:jc w:val="left"/>
            </w:pPr>
            <w:r>
              <w:t xml:space="preserve">16.2% (661,606)</w:t>
            </w:r>
          </w:p>
        </w:tc>
        <w:tc>
          <w:tcPr/>
          <w:p>
            <w:pPr>
              <w:pStyle w:val="Compact"/>
              <w:jc w:val="left"/>
            </w:pPr>
            <w:r>
              <w:t xml:space="preserve">11.0% (10,726)</w:t>
            </w:r>
          </w:p>
        </w:tc>
        <w:tc>
          <w:tcPr/>
          <w:p>
            <w:pPr>
              <w:pStyle w:val="Compact"/>
            </w:pPr>
          </w:p>
        </w:tc>
      </w:tr>
      <w:tr>
        <w:tc>
          <w:tcPr/>
          <w:p>
            <w:pPr>
              <w:pStyle w:val="Compact"/>
              <w:jc w:val="left"/>
            </w:pPr>
            <w:r>
              <w:t xml:space="preserve"> Missing/other</w:t>
            </w:r>
          </w:p>
        </w:tc>
        <w:tc>
          <w:tcPr/>
          <w:p>
            <w:pPr>
              <w:pStyle w:val="Compact"/>
              <w:jc w:val="left"/>
            </w:pPr>
            <w:r>
              <w:t xml:space="preserve">1.2% (45,311)</w:t>
            </w:r>
          </w:p>
        </w:tc>
        <w:tc>
          <w:tcPr/>
          <w:p>
            <w:pPr>
              <w:pStyle w:val="Compact"/>
              <w:jc w:val="left"/>
            </w:pPr>
            <w:r>
              <w:t xml:space="preserve">1.1% (43,805)</w:t>
            </w:r>
          </w:p>
        </w:tc>
        <w:tc>
          <w:tcPr/>
          <w:p>
            <w:pPr>
              <w:pStyle w:val="Compact"/>
              <w:jc w:val="left"/>
            </w:pPr>
            <w:r>
              <w:t xml:space="preserve">1.7% (1,506)</w:t>
            </w:r>
          </w:p>
        </w:tc>
        <w:tc>
          <w:tcPr/>
          <w:p>
            <w:pPr>
              <w:pStyle w:val="Compact"/>
            </w:pPr>
          </w:p>
        </w:tc>
      </w:tr>
      <w:tr>
        <w:tc>
          <w:tcPr/>
          <w:p>
            <w:pPr>
              <w:pStyle w:val="Compact"/>
              <w:jc w:val="left"/>
            </w:pPr>
            <w:r>
              <w:t xml:space="preserve">Patient residence (NCHS urban-rural classification), % (unweighted n)</w:t>
            </w:r>
          </w:p>
        </w:tc>
        <w:tc>
          <w:tcPr/>
          <w:p>
            <w:pPr>
              <w:pStyle w:val="Compact"/>
            </w:pPr>
          </w:p>
        </w:tc>
        <w:tc>
          <w:tcPr/>
          <w:p>
            <w:pPr>
              <w:pStyle w:val="Compact"/>
            </w:pPr>
          </w:p>
        </w:tc>
        <w:tc>
          <w:tcPr/>
          <w:p>
            <w:pPr>
              <w:pStyle w:val="Compact"/>
            </w:pPr>
          </w:p>
        </w:tc>
        <w:tc>
          <w:tcPr/>
          <w:p>
            <w:pPr>
              <w:pStyle w:val="Compact"/>
              <w:jc w:val="left"/>
            </w:pPr>
            <w:r>
              <w:t xml:space="preserve">0.510</w:t>
            </w:r>
          </w:p>
        </w:tc>
      </w:tr>
      <w:tr>
        <w:tc>
          <w:tcPr/>
          <w:p>
            <w:pPr>
              <w:pStyle w:val="Compact"/>
              <w:jc w:val="left"/>
            </w:pPr>
            <w:r>
              <w:t xml:space="preserve"> Central metro ≥1 million</w:t>
            </w:r>
          </w:p>
        </w:tc>
        <w:tc>
          <w:tcPr/>
          <w:p>
            <w:pPr>
              <w:pStyle w:val="Compact"/>
              <w:jc w:val="left"/>
            </w:pPr>
            <w:r>
              <w:t xml:space="preserve">24.8% (1,031,979)</w:t>
            </w:r>
          </w:p>
        </w:tc>
        <w:tc>
          <w:tcPr/>
          <w:p>
            <w:pPr>
              <w:pStyle w:val="Compact"/>
              <w:jc w:val="left"/>
            </w:pPr>
            <w:r>
              <w:t xml:space="preserve">24.7% (1,004,770)</w:t>
            </w:r>
          </w:p>
        </w:tc>
        <w:tc>
          <w:tcPr/>
          <w:p>
            <w:pPr>
              <w:pStyle w:val="Compact"/>
              <w:jc w:val="left"/>
            </w:pPr>
            <w:r>
              <w:t xml:space="preserve">28.6% (27,209)</w:t>
            </w:r>
          </w:p>
        </w:tc>
        <w:tc>
          <w:tcPr/>
          <w:p>
            <w:pPr>
              <w:pStyle w:val="Compact"/>
            </w:pPr>
          </w:p>
        </w:tc>
      </w:tr>
      <w:tr>
        <w:tc>
          <w:tcPr/>
          <w:p>
            <w:pPr>
              <w:pStyle w:val="Compact"/>
              <w:jc w:val="left"/>
            </w:pPr>
            <w:r>
              <w:t xml:space="preserve"> Fringe metro ≥1 million</w:t>
            </w:r>
          </w:p>
        </w:tc>
        <w:tc>
          <w:tcPr/>
          <w:p>
            <w:pPr>
              <w:pStyle w:val="Compact"/>
              <w:jc w:val="left"/>
            </w:pPr>
            <w:r>
              <w:t xml:space="preserve">26.1% (966,304)</w:t>
            </w:r>
          </w:p>
        </w:tc>
        <w:tc>
          <w:tcPr/>
          <w:p>
            <w:pPr>
              <w:pStyle w:val="Compact"/>
              <w:jc w:val="left"/>
            </w:pPr>
            <w:r>
              <w:t xml:space="preserve">26.4% (954,554)</w:t>
            </w:r>
          </w:p>
        </w:tc>
        <w:tc>
          <w:tcPr/>
          <w:p>
            <w:pPr>
              <w:pStyle w:val="Compact"/>
              <w:jc w:val="left"/>
            </w:pPr>
            <w:r>
              <w:t xml:space="preserve">13.6% (11,750)</w:t>
            </w:r>
          </w:p>
        </w:tc>
        <w:tc>
          <w:tcPr/>
          <w:p>
            <w:pPr>
              <w:pStyle w:val="Compact"/>
            </w:pPr>
          </w:p>
        </w:tc>
      </w:tr>
      <w:tr>
        <w:tc>
          <w:tcPr/>
          <w:p>
            <w:pPr>
              <w:pStyle w:val="Compact"/>
              <w:jc w:val="left"/>
            </w:pPr>
            <w:r>
              <w:t xml:space="preserve"> Metro 250,000-999,999</w:t>
            </w:r>
          </w:p>
        </w:tc>
        <w:tc>
          <w:tcPr/>
          <w:p>
            <w:pPr>
              <w:pStyle w:val="Compact"/>
              <w:jc w:val="left"/>
            </w:pPr>
            <w:r>
              <w:t xml:space="preserve">21.3% (834,514)</w:t>
            </w:r>
          </w:p>
        </w:tc>
        <w:tc>
          <w:tcPr/>
          <w:p>
            <w:pPr>
              <w:pStyle w:val="Compact"/>
              <w:jc w:val="left"/>
            </w:pPr>
            <w:r>
              <w:t xml:space="preserve">21.3% (814,351)</w:t>
            </w:r>
          </w:p>
        </w:tc>
        <w:tc>
          <w:tcPr/>
          <w:p>
            <w:pPr>
              <w:pStyle w:val="Compact"/>
              <w:jc w:val="left"/>
            </w:pPr>
            <w:r>
              <w:t xml:space="preserve">23.7% (20,163)</w:t>
            </w:r>
          </w:p>
        </w:tc>
        <w:tc>
          <w:tcPr/>
          <w:p>
            <w:pPr>
              <w:pStyle w:val="Compact"/>
            </w:pPr>
          </w:p>
        </w:tc>
      </w:tr>
      <w:tr>
        <w:tc>
          <w:tcPr/>
          <w:p>
            <w:pPr>
              <w:pStyle w:val="Compact"/>
              <w:jc w:val="left"/>
            </w:pPr>
            <w:r>
              <w:t xml:space="preserve"> Metro 50,000-249,999</w:t>
            </w:r>
          </w:p>
        </w:tc>
        <w:tc>
          <w:tcPr/>
          <w:p>
            <w:pPr>
              <w:pStyle w:val="Compact"/>
              <w:jc w:val="left"/>
            </w:pPr>
            <w:r>
              <w:t xml:space="preserve">10.0% (366,532)</w:t>
            </w:r>
          </w:p>
        </w:tc>
        <w:tc>
          <w:tcPr/>
          <w:p>
            <w:pPr>
              <w:pStyle w:val="Compact"/>
              <w:jc w:val="left"/>
            </w:pPr>
            <w:r>
              <w:t xml:space="preserve">10.0% (358,791)</w:t>
            </w:r>
          </w:p>
        </w:tc>
        <w:tc>
          <w:tcPr/>
          <w:p>
            <w:pPr>
              <w:pStyle w:val="Compact"/>
              <w:jc w:val="left"/>
            </w:pPr>
            <w:r>
              <w:t xml:space="preserve">9.4% (7,741)</w:t>
            </w:r>
          </w:p>
        </w:tc>
        <w:tc>
          <w:tcPr/>
          <w:p>
            <w:pPr>
              <w:pStyle w:val="Compact"/>
            </w:pPr>
          </w:p>
        </w:tc>
      </w:tr>
      <w:tr>
        <w:tc>
          <w:tcPr/>
          <w:p>
            <w:pPr>
              <w:pStyle w:val="Compact"/>
              <w:jc w:val="left"/>
            </w:pPr>
            <w:r>
              <w:t xml:space="preserve"> Micropolitan</w:t>
            </w:r>
          </w:p>
        </w:tc>
        <w:tc>
          <w:tcPr/>
          <w:p>
            <w:pPr>
              <w:pStyle w:val="Compact"/>
              <w:jc w:val="left"/>
            </w:pPr>
            <w:r>
              <w:t xml:space="preserve">9.4% (307,610)</w:t>
            </w:r>
          </w:p>
        </w:tc>
        <w:tc>
          <w:tcPr/>
          <w:p>
            <w:pPr>
              <w:pStyle w:val="Compact"/>
              <w:jc w:val="left"/>
            </w:pPr>
            <w:r>
              <w:t xml:space="preserve">9.5% (301,752)</w:t>
            </w:r>
          </w:p>
        </w:tc>
        <w:tc>
          <w:tcPr/>
          <w:p>
            <w:pPr>
              <w:pStyle w:val="Compact"/>
              <w:jc w:val="left"/>
            </w:pPr>
            <w:r>
              <w:t xml:space="preserve">8.0% (5,858)</w:t>
            </w:r>
          </w:p>
        </w:tc>
        <w:tc>
          <w:tcPr/>
          <w:p>
            <w:pPr>
              <w:pStyle w:val="Compact"/>
            </w:pPr>
          </w:p>
        </w:tc>
      </w:tr>
      <w:tr>
        <w:tc>
          <w:tcPr/>
          <w:p>
            <w:pPr>
              <w:pStyle w:val="Compact"/>
              <w:jc w:val="left"/>
            </w:pPr>
            <w:r>
              <w:t xml:space="preserve"> Other</w:t>
            </w:r>
          </w:p>
        </w:tc>
        <w:tc>
          <w:tcPr/>
          <w:p>
            <w:pPr>
              <w:pStyle w:val="Compact"/>
              <w:jc w:val="left"/>
            </w:pPr>
            <w:r>
              <w:t xml:space="preserve">7.8% (242,776)</w:t>
            </w:r>
          </w:p>
        </w:tc>
        <w:tc>
          <w:tcPr/>
          <w:p>
            <w:pPr>
              <w:pStyle w:val="Compact"/>
              <w:jc w:val="left"/>
            </w:pPr>
            <w:r>
              <w:t xml:space="preserve">7.9% (239,706)</w:t>
            </w:r>
          </w:p>
        </w:tc>
        <w:tc>
          <w:tcPr/>
          <w:p>
            <w:pPr>
              <w:pStyle w:val="Compact"/>
              <w:jc w:val="left"/>
            </w:pPr>
            <w:r>
              <w:t xml:space="preserve">4.6% (3,070)</w:t>
            </w:r>
          </w:p>
        </w:tc>
        <w:tc>
          <w:tcPr/>
          <w:p>
            <w:pPr>
              <w:pStyle w:val="Compact"/>
            </w:pPr>
          </w:p>
        </w:tc>
      </w:tr>
      <w:tr>
        <w:tc>
          <w:tcPr/>
          <w:p>
            <w:pPr>
              <w:pStyle w:val="Compact"/>
              <w:jc w:val="left"/>
            </w:pPr>
            <w:r>
              <w:t xml:space="preserve"> Missing/other</w:t>
            </w:r>
          </w:p>
        </w:tc>
        <w:tc>
          <w:tcPr/>
          <w:p>
            <w:pPr>
              <w:pStyle w:val="Compact"/>
              <w:jc w:val="left"/>
            </w:pPr>
            <w:r>
              <w:t xml:space="preserve">0.5% (23,755)</w:t>
            </w:r>
          </w:p>
        </w:tc>
        <w:tc>
          <w:tcPr/>
          <w:p>
            <w:pPr>
              <w:pStyle w:val="Compact"/>
              <w:jc w:val="left"/>
            </w:pPr>
            <w:r>
              <w:t xml:space="preserve">0.3% (11,567)</w:t>
            </w:r>
          </w:p>
        </w:tc>
        <w:tc>
          <w:tcPr/>
          <w:p>
            <w:pPr>
              <w:pStyle w:val="Compact"/>
              <w:jc w:val="left"/>
            </w:pPr>
            <w:r>
              <w:t xml:space="preserve">12.2% (12,188)</w:t>
            </w:r>
          </w:p>
        </w:tc>
        <w:tc>
          <w:tcPr/>
          <w:p>
            <w:pPr>
              <w:pStyle w:val="Compact"/>
            </w:pPr>
          </w:p>
        </w:tc>
      </w:tr>
      <w:tr>
        <w:tc>
          <w:tcPr/>
          <w:p>
            <w:pPr>
              <w:pStyle w:val="Compact"/>
              <w:jc w:val="left"/>
            </w:pPr>
            <w:r>
              <w:t xml:space="preserve">Admission day, % (unweighted n)</w:t>
            </w:r>
          </w:p>
        </w:tc>
        <w:tc>
          <w:tcPr/>
          <w:p>
            <w:pPr>
              <w:pStyle w:val="Compact"/>
            </w:pPr>
          </w:p>
        </w:tc>
        <w:tc>
          <w:tcPr/>
          <w:p>
            <w:pPr>
              <w:pStyle w:val="Compact"/>
            </w:pPr>
          </w:p>
        </w:tc>
        <w:tc>
          <w:tcPr/>
          <w:p>
            <w:pPr>
              <w:pStyle w:val="Compact"/>
            </w:pPr>
          </w:p>
        </w:tc>
        <w:tc>
          <w:tcPr/>
          <w:p>
            <w:pPr>
              <w:pStyle w:val="Compact"/>
              <w:jc w:val="left"/>
            </w:pPr>
            <w:r>
              <w:t xml:space="preserve">0.072</w:t>
            </w:r>
          </w:p>
        </w:tc>
      </w:tr>
      <w:tr>
        <w:tc>
          <w:tcPr/>
          <w:p>
            <w:pPr>
              <w:pStyle w:val="Compact"/>
              <w:jc w:val="left"/>
            </w:pPr>
            <w:r>
              <w:t xml:space="preserve"> Weekday (Mon-Fri)</w:t>
            </w:r>
          </w:p>
        </w:tc>
        <w:tc>
          <w:tcPr/>
          <w:p>
            <w:pPr>
              <w:pStyle w:val="Compact"/>
              <w:jc w:val="left"/>
            </w:pPr>
            <w:r>
              <w:t xml:space="preserve">76.7% (2,890,183)</w:t>
            </w:r>
          </w:p>
        </w:tc>
        <w:tc>
          <w:tcPr/>
          <w:p>
            <w:pPr>
              <w:pStyle w:val="Compact"/>
              <w:jc w:val="left"/>
            </w:pPr>
            <w:r>
              <w:t xml:space="preserve">76.8% (2,825,574)</w:t>
            </w:r>
          </w:p>
        </w:tc>
        <w:tc>
          <w:tcPr/>
          <w:p>
            <w:pPr>
              <w:pStyle w:val="Compact"/>
              <w:jc w:val="left"/>
            </w:pPr>
            <w:r>
              <w:t xml:space="preserve">73.6% (64,609)</w:t>
            </w:r>
          </w:p>
        </w:tc>
        <w:tc>
          <w:tcPr/>
          <w:p>
            <w:pPr>
              <w:pStyle w:val="Compact"/>
            </w:pPr>
          </w:p>
        </w:tc>
      </w:tr>
      <w:tr>
        <w:tc>
          <w:tcPr/>
          <w:p>
            <w:pPr>
              <w:pStyle w:val="Compact"/>
              <w:jc w:val="left"/>
            </w:pPr>
            <w:r>
              <w:t xml:space="preserve"> Weekend (Sat-Sun)</w:t>
            </w:r>
          </w:p>
        </w:tc>
        <w:tc>
          <w:tcPr/>
          <w:p>
            <w:pPr>
              <w:pStyle w:val="Compact"/>
              <w:jc w:val="left"/>
            </w:pPr>
            <w:r>
              <w:t xml:space="preserve">23.3% (883,287)</w:t>
            </w:r>
          </w:p>
        </w:tc>
        <w:tc>
          <w:tcPr/>
          <w:p>
            <w:pPr>
              <w:pStyle w:val="Compact"/>
              <w:jc w:val="left"/>
            </w:pPr>
            <w:r>
              <w:t xml:space="preserve">23.2% (859,917)</w:t>
            </w:r>
          </w:p>
        </w:tc>
        <w:tc>
          <w:tcPr/>
          <w:p>
            <w:pPr>
              <w:pStyle w:val="Compact"/>
              <w:jc w:val="left"/>
            </w:pPr>
            <w:r>
              <w:t xml:space="preserve">26.4% (23,370)</w:t>
            </w:r>
          </w:p>
        </w:tc>
        <w:tc>
          <w:tcPr/>
          <w:p>
            <w:pPr>
              <w:pStyle w:val="Compact"/>
            </w:pPr>
          </w:p>
        </w:tc>
      </w:tr>
      <w:tr>
        <w:tc>
          <w:tcPr/>
          <w:p>
            <w:pPr>
              <w:pStyle w:val="Compact"/>
              <w:jc w:val="left"/>
            </w:pPr>
            <w:r>
              <w:t xml:space="preserve">Admission type, % (unweighted n)</w:t>
            </w:r>
          </w:p>
        </w:tc>
        <w:tc>
          <w:tcPr/>
          <w:p>
            <w:pPr>
              <w:pStyle w:val="Compact"/>
            </w:pPr>
          </w:p>
        </w:tc>
        <w:tc>
          <w:tcPr/>
          <w:p>
            <w:pPr>
              <w:pStyle w:val="Compact"/>
            </w:pPr>
          </w:p>
        </w:tc>
        <w:tc>
          <w:tcPr/>
          <w:p>
            <w:pPr>
              <w:pStyle w:val="Compact"/>
            </w:pPr>
          </w:p>
        </w:tc>
        <w:tc>
          <w:tcPr/>
          <w:p>
            <w:pPr>
              <w:pStyle w:val="Compact"/>
              <w:jc w:val="left"/>
            </w:pPr>
            <w:r>
              <w:t xml:space="preserve">0.152</w:t>
            </w:r>
          </w:p>
        </w:tc>
      </w:tr>
      <w:tr>
        <w:tc>
          <w:tcPr/>
          <w:p>
            <w:pPr>
              <w:pStyle w:val="Compact"/>
              <w:jc w:val="left"/>
            </w:pPr>
            <w:r>
              <w:t xml:space="preserve"> Non-elective</w:t>
            </w:r>
          </w:p>
        </w:tc>
        <w:tc>
          <w:tcPr/>
          <w:p>
            <w:pPr>
              <w:pStyle w:val="Compact"/>
              <w:jc w:val="left"/>
            </w:pPr>
            <w:r>
              <w:t xml:space="preserve">96.4% (3,652,569)</w:t>
            </w:r>
          </w:p>
        </w:tc>
        <w:tc>
          <w:tcPr/>
          <w:p>
            <w:pPr>
              <w:pStyle w:val="Compact"/>
              <w:jc w:val="left"/>
            </w:pPr>
            <w:r>
              <w:t xml:space="preserve">96.4% (3,565,572)</w:t>
            </w:r>
          </w:p>
        </w:tc>
        <w:tc>
          <w:tcPr/>
          <w:p>
            <w:pPr>
              <w:pStyle w:val="Compact"/>
              <w:jc w:val="left"/>
            </w:pPr>
            <w:r>
              <w:t xml:space="preserve">98.7% (86,997)</w:t>
            </w:r>
          </w:p>
        </w:tc>
        <w:tc>
          <w:tcPr/>
          <w:p>
            <w:pPr>
              <w:pStyle w:val="Compact"/>
            </w:pPr>
          </w:p>
        </w:tc>
      </w:tr>
      <w:tr>
        <w:tc>
          <w:tcPr/>
          <w:p>
            <w:pPr>
              <w:pStyle w:val="Compact"/>
              <w:jc w:val="left"/>
            </w:pPr>
            <w:r>
              <w:t xml:space="preserve"> Elective</w:t>
            </w:r>
          </w:p>
        </w:tc>
        <w:tc>
          <w:tcPr/>
          <w:p>
            <w:pPr>
              <w:pStyle w:val="Compact"/>
              <w:jc w:val="left"/>
            </w:pPr>
            <w:r>
              <w:t xml:space="preserve">3.6% (120,901)</w:t>
            </w:r>
          </w:p>
        </w:tc>
        <w:tc>
          <w:tcPr/>
          <w:p>
            <w:pPr>
              <w:pStyle w:val="Compact"/>
              <w:jc w:val="left"/>
            </w:pPr>
            <w:r>
              <w:t xml:space="preserve">3.6% (119,919)</w:t>
            </w:r>
          </w:p>
        </w:tc>
        <w:tc>
          <w:tcPr/>
          <w:p>
            <w:pPr>
              <w:pStyle w:val="Compact"/>
              <w:jc w:val="left"/>
            </w:pPr>
            <w:r>
              <w:t xml:space="preserve">1.3% (982)</w:t>
            </w:r>
          </w:p>
        </w:tc>
        <w:tc>
          <w:tcPr/>
          <w:p>
            <w:pPr>
              <w:pStyle w:val="Compact"/>
            </w:pPr>
          </w:p>
        </w:tc>
      </w:tr>
      <w:tr>
        <w:tc>
          <w:tcPr/>
          <w:p>
            <w:pPr>
              <w:pStyle w:val="Compact"/>
              <w:jc w:val="left"/>
            </w:pPr>
            <w:r>
              <w:t xml:space="preserve">Discharge year, % (unweighted n)</w:t>
            </w:r>
          </w:p>
        </w:tc>
        <w:tc>
          <w:tcPr/>
          <w:p>
            <w:pPr>
              <w:pStyle w:val="Compact"/>
            </w:pPr>
          </w:p>
        </w:tc>
        <w:tc>
          <w:tcPr/>
          <w:p>
            <w:pPr>
              <w:pStyle w:val="Compact"/>
            </w:pPr>
          </w:p>
        </w:tc>
        <w:tc>
          <w:tcPr/>
          <w:p>
            <w:pPr>
              <w:pStyle w:val="Compact"/>
            </w:pPr>
          </w:p>
        </w:tc>
        <w:tc>
          <w:tcPr/>
          <w:p>
            <w:pPr>
              <w:pStyle w:val="Compact"/>
              <w:jc w:val="left"/>
            </w:pPr>
            <w:r>
              <w:t xml:space="preserve">0.171</w:t>
            </w:r>
          </w:p>
        </w:tc>
      </w:tr>
      <w:tr>
        <w:tc>
          <w:tcPr/>
          <w:p>
            <w:pPr>
              <w:pStyle w:val="Compact"/>
              <w:jc w:val="left"/>
            </w:pPr>
            <w:r>
              <w:t xml:space="preserve"> 2016</w:t>
            </w:r>
          </w:p>
        </w:tc>
        <w:tc>
          <w:tcPr/>
          <w:p>
            <w:pPr>
              <w:pStyle w:val="Compact"/>
              <w:jc w:val="left"/>
            </w:pPr>
            <w:r>
              <w:t xml:space="preserve">12.9% (470,491)</w:t>
            </w:r>
          </w:p>
        </w:tc>
        <w:tc>
          <w:tcPr/>
          <w:p>
            <w:pPr>
              <w:pStyle w:val="Compact"/>
              <w:jc w:val="left"/>
            </w:pPr>
            <w:r>
              <w:t xml:space="preserve">13.0% (463,519)</w:t>
            </w:r>
          </w:p>
        </w:tc>
        <w:tc>
          <w:tcPr/>
          <w:p>
            <w:pPr>
              <w:pStyle w:val="Compact"/>
              <w:jc w:val="left"/>
            </w:pPr>
            <w:r>
              <w:t xml:space="preserve">7.8% (6,972)</w:t>
            </w:r>
          </w:p>
        </w:tc>
        <w:tc>
          <w:tcPr/>
          <w:p>
            <w:pPr>
              <w:pStyle w:val="Compact"/>
            </w:pPr>
          </w:p>
        </w:tc>
      </w:tr>
      <w:tr>
        <w:tc>
          <w:tcPr/>
          <w:p>
            <w:pPr>
              <w:pStyle w:val="Compact"/>
              <w:jc w:val="left"/>
            </w:pPr>
            <w:r>
              <w:t xml:space="preserve"> 2017</w:t>
            </w:r>
          </w:p>
        </w:tc>
        <w:tc>
          <w:tcPr/>
          <w:p>
            <w:pPr>
              <w:pStyle w:val="Compact"/>
              <w:jc w:val="left"/>
            </w:pPr>
            <w:r>
              <w:t xml:space="preserve">14.4% (544,283)</w:t>
            </w:r>
          </w:p>
        </w:tc>
        <w:tc>
          <w:tcPr/>
          <w:p>
            <w:pPr>
              <w:pStyle w:val="Compact"/>
              <w:jc w:val="left"/>
            </w:pPr>
            <w:r>
              <w:t xml:space="preserve">14.5% (535,711)</w:t>
            </w:r>
          </w:p>
        </w:tc>
        <w:tc>
          <w:tcPr/>
          <w:p>
            <w:pPr>
              <w:pStyle w:val="Compact"/>
              <w:jc w:val="left"/>
            </w:pPr>
            <w:r>
              <w:t xml:space="preserve">9.6% (8,572)</w:t>
            </w:r>
          </w:p>
        </w:tc>
        <w:tc>
          <w:tcPr/>
          <w:p>
            <w:pPr>
              <w:pStyle w:val="Compact"/>
            </w:pPr>
          </w:p>
        </w:tc>
      </w:tr>
      <w:tr>
        <w:tc>
          <w:tcPr/>
          <w:p>
            <w:pPr>
              <w:pStyle w:val="Compact"/>
              <w:jc w:val="left"/>
            </w:pPr>
            <w:r>
              <w:t xml:space="preserve"> 2018</w:t>
            </w:r>
          </w:p>
        </w:tc>
        <w:tc>
          <w:tcPr/>
          <w:p>
            <w:pPr>
              <w:pStyle w:val="Compact"/>
              <w:jc w:val="left"/>
            </w:pPr>
            <w:r>
              <w:t xml:space="preserve">15.0% (566,643)</w:t>
            </w:r>
          </w:p>
        </w:tc>
        <w:tc>
          <w:tcPr/>
          <w:p>
            <w:pPr>
              <w:pStyle w:val="Compact"/>
              <w:jc w:val="left"/>
            </w:pPr>
            <w:r>
              <w:t xml:space="preserve">15.1% (556,391)</w:t>
            </w:r>
          </w:p>
        </w:tc>
        <w:tc>
          <w:tcPr/>
          <w:p>
            <w:pPr>
              <w:pStyle w:val="Compact"/>
              <w:jc w:val="left"/>
            </w:pPr>
            <w:r>
              <w:t xml:space="preserve">11.8% (10,252)</w:t>
            </w:r>
          </w:p>
        </w:tc>
        <w:tc>
          <w:tcPr/>
          <w:p>
            <w:pPr>
              <w:pStyle w:val="Compact"/>
            </w:pPr>
          </w:p>
        </w:tc>
      </w:tr>
      <w:tr>
        <w:tc>
          <w:tcPr/>
          <w:p>
            <w:pPr>
              <w:pStyle w:val="Compact"/>
              <w:jc w:val="left"/>
            </w:pPr>
            <w:r>
              <w:t xml:space="preserve"> 2019</w:t>
            </w:r>
          </w:p>
        </w:tc>
        <w:tc>
          <w:tcPr/>
          <w:p>
            <w:pPr>
              <w:pStyle w:val="Compact"/>
              <w:jc w:val="left"/>
            </w:pPr>
            <w:r>
              <w:t xml:space="preserve">15.5% (595,941)</w:t>
            </w:r>
          </w:p>
        </w:tc>
        <w:tc>
          <w:tcPr/>
          <w:p>
            <w:pPr>
              <w:pStyle w:val="Compact"/>
              <w:jc w:val="left"/>
            </w:pPr>
            <w:r>
              <w:t xml:space="preserve">15.5% (582,818)</w:t>
            </w:r>
          </w:p>
        </w:tc>
        <w:tc>
          <w:tcPr/>
          <w:p>
            <w:pPr>
              <w:pStyle w:val="Compact"/>
              <w:jc w:val="left"/>
            </w:pPr>
            <w:r>
              <w:t xml:space="preserve">14.1% (13,123)</w:t>
            </w:r>
          </w:p>
        </w:tc>
        <w:tc>
          <w:tcPr/>
          <w:p>
            <w:pPr>
              <w:pStyle w:val="Compact"/>
            </w:pPr>
          </w:p>
        </w:tc>
      </w:tr>
      <w:tr>
        <w:tc>
          <w:tcPr/>
          <w:p>
            <w:pPr>
              <w:pStyle w:val="Compact"/>
              <w:jc w:val="left"/>
            </w:pPr>
            <w:r>
              <w:t xml:space="preserve"> 2020</w:t>
            </w:r>
          </w:p>
        </w:tc>
        <w:tc>
          <w:tcPr/>
          <w:p>
            <w:pPr>
              <w:pStyle w:val="Compact"/>
              <w:jc w:val="left"/>
            </w:pPr>
            <w:r>
              <w:t xml:space="preserve">13.3% (511,808)</w:t>
            </w:r>
          </w:p>
        </w:tc>
        <w:tc>
          <w:tcPr/>
          <w:p>
            <w:pPr>
              <w:pStyle w:val="Compact"/>
              <w:jc w:val="left"/>
            </w:pPr>
            <w:r>
              <w:t xml:space="preserve">13.3% (497,386)</w:t>
            </w:r>
          </w:p>
        </w:tc>
        <w:tc>
          <w:tcPr/>
          <w:p>
            <w:pPr>
              <w:pStyle w:val="Compact"/>
              <w:jc w:val="left"/>
            </w:pPr>
            <w:r>
              <w:t xml:space="preserve">15.9% (14,422)</w:t>
            </w:r>
          </w:p>
        </w:tc>
        <w:tc>
          <w:tcPr/>
          <w:p>
            <w:pPr>
              <w:pStyle w:val="Compact"/>
            </w:pPr>
          </w:p>
        </w:tc>
      </w:tr>
      <w:tr>
        <w:tc>
          <w:tcPr/>
          <w:p>
            <w:pPr>
              <w:pStyle w:val="Compact"/>
              <w:jc w:val="left"/>
            </w:pPr>
            <w:r>
              <w:t xml:space="preserve"> 2021</w:t>
            </w:r>
          </w:p>
        </w:tc>
        <w:tc>
          <w:tcPr/>
          <w:p>
            <w:pPr>
              <w:pStyle w:val="Compact"/>
              <w:jc w:val="left"/>
            </w:pPr>
            <w:r>
              <w:t xml:space="preserve">14.4% (538,235)</w:t>
            </w:r>
          </w:p>
        </w:tc>
        <w:tc>
          <w:tcPr/>
          <w:p>
            <w:pPr>
              <w:pStyle w:val="Compact"/>
              <w:jc w:val="left"/>
            </w:pPr>
            <w:r>
              <w:t xml:space="preserve">14.3% (521,266)</w:t>
            </w:r>
          </w:p>
        </w:tc>
        <w:tc>
          <w:tcPr/>
          <w:p>
            <w:pPr>
              <w:pStyle w:val="Compact"/>
              <w:jc w:val="left"/>
            </w:pPr>
            <w:r>
              <w:t xml:space="preserve">20.0% (16,969)</w:t>
            </w:r>
          </w:p>
        </w:tc>
        <w:tc>
          <w:tcPr/>
          <w:p>
            <w:pPr>
              <w:pStyle w:val="Compact"/>
            </w:pPr>
          </w:p>
        </w:tc>
      </w:tr>
      <w:tr>
        <w:tc>
          <w:tcPr/>
          <w:p>
            <w:pPr>
              <w:pStyle w:val="Compact"/>
              <w:jc w:val="left"/>
            </w:pPr>
            <w:r>
              <w:t xml:space="preserve"> 2022</w:t>
            </w:r>
          </w:p>
        </w:tc>
        <w:tc>
          <w:tcPr/>
          <w:p>
            <w:pPr>
              <w:pStyle w:val="Compact"/>
              <w:jc w:val="left"/>
            </w:pPr>
            <w:r>
              <w:t xml:space="preserve">14.5% (546,069)</w:t>
            </w:r>
          </w:p>
        </w:tc>
        <w:tc>
          <w:tcPr/>
          <w:p>
            <w:pPr>
              <w:pStyle w:val="Compact"/>
              <w:jc w:val="left"/>
            </w:pPr>
            <w:r>
              <w:t xml:space="preserve">14.3% (528,400)</w:t>
            </w:r>
          </w:p>
        </w:tc>
        <w:tc>
          <w:tcPr/>
          <w:p>
            <w:pPr>
              <w:pStyle w:val="Compact"/>
              <w:jc w:val="left"/>
            </w:pPr>
            <w:r>
              <w:t xml:space="preserve">20.8% (17,669)</w:t>
            </w:r>
          </w:p>
        </w:tc>
        <w:tc>
          <w:tcPr/>
          <w:p>
            <w:pPr>
              <w:pStyle w:val="Compact"/>
            </w:pPr>
          </w:p>
        </w:tc>
      </w:tr>
      <w:tr>
        <w:tc>
          <w:tcPr/>
          <w:p>
            <w:pPr>
              <w:pStyle w:val="Compact"/>
              <w:jc w:val="left"/>
            </w:pPr>
            <w:r>
              <w:t xml:space="preserve">Hospital bed size, % (unweighted n)</w:t>
            </w:r>
          </w:p>
        </w:tc>
        <w:tc>
          <w:tcPr/>
          <w:p>
            <w:pPr>
              <w:pStyle w:val="Compact"/>
            </w:pPr>
          </w:p>
        </w:tc>
        <w:tc>
          <w:tcPr/>
          <w:p>
            <w:pPr>
              <w:pStyle w:val="Compact"/>
            </w:pPr>
          </w:p>
        </w:tc>
        <w:tc>
          <w:tcPr/>
          <w:p>
            <w:pPr>
              <w:pStyle w:val="Compact"/>
            </w:pPr>
          </w:p>
        </w:tc>
        <w:tc>
          <w:tcPr/>
          <w:p>
            <w:pPr>
              <w:pStyle w:val="Compact"/>
              <w:jc w:val="left"/>
            </w:pPr>
            <w:r>
              <w:t xml:space="preserve">0.162</w:t>
            </w:r>
          </w:p>
        </w:tc>
      </w:tr>
      <w:tr>
        <w:tc>
          <w:tcPr/>
          <w:p>
            <w:pPr>
              <w:pStyle w:val="Compact"/>
              <w:jc w:val="left"/>
            </w:pPr>
            <w:r>
              <w:t xml:space="preserve"> Small</w:t>
            </w:r>
          </w:p>
        </w:tc>
        <w:tc>
          <w:tcPr/>
          <w:p>
            <w:pPr>
              <w:pStyle w:val="Compact"/>
              <w:jc w:val="left"/>
            </w:pPr>
            <w:r>
              <w:t xml:space="preserve">19.7% (706,316)</w:t>
            </w:r>
          </w:p>
        </w:tc>
        <w:tc>
          <w:tcPr/>
          <w:p>
            <w:pPr>
              <w:pStyle w:val="Compact"/>
              <w:jc w:val="left"/>
            </w:pPr>
            <w:r>
              <w:t xml:space="preserve">19.8% (692,821)</w:t>
            </w:r>
          </w:p>
        </w:tc>
        <w:tc>
          <w:tcPr/>
          <w:p>
            <w:pPr>
              <w:pStyle w:val="Compact"/>
              <w:jc w:val="left"/>
            </w:pPr>
            <w:r>
              <w:t xml:space="preserve">15.7% (13,495)</w:t>
            </w:r>
          </w:p>
        </w:tc>
        <w:tc>
          <w:tcPr/>
          <w:p>
            <w:pPr>
              <w:pStyle w:val="Compact"/>
            </w:pPr>
          </w:p>
        </w:tc>
      </w:tr>
      <w:tr>
        <w:tc>
          <w:tcPr/>
          <w:p>
            <w:pPr>
              <w:pStyle w:val="Compact"/>
              <w:jc w:val="left"/>
            </w:pPr>
            <w:r>
              <w:t xml:space="preserve"> Medium</w:t>
            </w:r>
          </w:p>
        </w:tc>
        <w:tc>
          <w:tcPr/>
          <w:p>
            <w:pPr>
              <w:pStyle w:val="Compact"/>
              <w:jc w:val="left"/>
            </w:pPr>
            <w:r>
              <w:t xml:space="preserve">27.7% (1,079,219)</w:t>
            </w:r>
          </w:p>
        </w:tc>
        <w:tc>
          <w:tcPr/>
          <w:p>
            <w:pPr>
              <w:pStyle w:val="Compact"/>
              <w:jc w:val="left"/>
            </w:pPr>
            <w:r>
              <w:t xml:space="preserve">27.8% (1,057,501)</w:t>
            </w:r>
          </w:p>
        </w:tc>
        <w:tc>
          <w:tcPr/>
          <w:p>
            <w:pPr>
              <w:pStyle w:val="Compact"/>
              <w:jc w:val="left"/>
            </w:pPr>
            <w:r>
              <w:t xml:space="preserve">23.9% (21,718)</w:t>
            </w:r>
          </w:p>
        </w:tc>
        <w:tc>
          <w:tcPr/>
          <w:p>
            <w:pPr>
              <w:pStyle w:val="Compact"/>
            </w:pPr>
          </w:p>
        </w:tc>
      </w:tr>
      <w:tr>
        <w:tc>
          <w:tcPr/>
          <w:p>
            <w:pPr>
              <w:pStyle w:val="Compact"/>
              <w:jc w:val="left"/>
            </w:pPr>
            <w:r>
              <w:t xml:space="preserve"> Large</w:t>
            </w:r>
          </w:p>
        </w:tc>
        <w:tc>
          <w:tcPr/>
          <w:p>
            <w:pPr>
              <w:pStyle w:val="Compact"/>
              <w:jc w:val="left"/>
            </w:pPr>
            <w:r>
              <w:t xml:space="preserve">52.6% (1,987,935)</w:t>
            </w:r>
          </w:p>
        </w:tc>
        <w:tc>
          <w:tcPr/>
          <w:p>
            <w:pPr>
              <w:pStyle w:val="Compact"/>
              <w:jc w:val="left"/>
            </w:pPr>
            <w:r>
              <w:t xml:space="preserve">52.5% (1,935,169)</w:t>
            </w:r>
          </w:p>
        </w:tc>
        <w:tc>
          <w:tcPr/>
          <w:p>
            <w:pPr>
              <w:pStyle w:val="Compact"/>
              <w:jc w:val="left"/>
            </w:pPr>
            <w:r>
              <w:t xml:space="preserve">60.5% (52,766)</w:t>
            </w:r>
          </w:p>
        </w:tc>
        <w:tc>
          <w:tcPr/>
          <w:p>
            <w:pPr>
              <w:pStyle w:val="Compact"/>
            </w:pPr>
          </w:p>
        </w:tc>
      </w:tr>
      <w:tr>
        <w:tc>
          <w:tcPr/>
          <w:p>
            <w:pPr>
              <w:pStyle w:val="Compact"/>
              <w:jc w:val="left"/>
            </w:pPr>
            <w:r>
              <w:t xml:space="preserve">Hospital location and teaching status, % (unweighted n)</w:t>
            </w:r>
          </w:p>
        </w:tc>
        <w:tc>
          <w:tcPr/>
          <w:p>
            <w:pPr>
              <w:pStyle w:val="Compact"/>
            </w:pPr>
          </w:p>
        </w:tc>
        <w:tc>
          <w:tcPr/>
          <w:p>
            <w:pPr>
              <w:pStyle w:val="Compact"/>
            </w:pPr>
          </w:p>
        </w:tc>
        <w:tc>
          <w:tcPr/>
          <w:p>
            <w:pPr>
              <w:pStyle w:val="Compact"/>
            </w:pPr>
          </w:p>
        </w:tc>
        <w:tc>
          <w:tcPr/>
          <w:p>
            <w:pPr>
              <w:pStyle w:val="Compact"/>
              <w:jc w:val="left"/>
            </w:pPr>
            <w:r>
              <w:t xml:space="preserve">0.121</w:t>
            </w:r>
          </w:p>
        </w:tc>
      </w:tr>
      <w:tr>
        <w:tc>
          <w:tcPr/>
          <w:p>
            <w:pPr>
              <w:pStyle w:val="Compact"/>
              <w:jc w:val="left"/>
            </w:pPr>
            <w:r>
              <w:t xml:space="preserve"> Metropolitan, non-teaching</w:t>
            </w:r>
          </w:p>
        </w:tc>
        <w:tc>
          <w:tcPr/>
          <w:p>
            <w:pPr>
              <w:pStyle w:val="Compact"/>
              <w:jc w:val="left"/>
            </w:pPr>
            <w:r>
              <w:t xml:space="preserve">21.2% (862,196)</w:t>
            </w:r>
          </w:p>
        </w:tc>
        <w:tc>
          <w:tcPr/>
          <w:p>
            <w:pPr>
              <w:pStyle w:val="Compact"/>
              <w:jc w:val="left"/>
            </w:pPr>
            <w:r>
              <w:t xml:space="preserve">21.2% (839,518)</w:t>
            </w:r>
          </w:p>
        </w:tc>
        <w:tc>
          <w:tcPr/>
          <w:p>
            <w:pPr>
              <w:pStyle w:val="Compact"/>
              <w:jc w:val="left"/>
            </w:pPr>
            <w:r>
              <w:t xml:space="preserve">23.6% (22,678)</w:t>
            </w:r>
          </w:p>
        </w:tc>
        <w:tc>
          <w:tcPr/>
          <w:p>
            <w:pPr>
              <w:pStyle w:val="Compact"/>
            </w:pPr>
          </w:p>
        </w:tc>
      </w:tr>
      <w:tr>
        <w:tc>
          <w:tcPr/>
          <w:p>
            <w:pPr>
              <w:pStyle w:val="Compact"/>
              <w:jc w:val="left"/>
            </w:pPr>
            <w:r>
              <w:t xml:space="preserve"> Metropolitan, teaching</w:t>
            </w:r>
          </w:p>
        </w:tc>
        <w:tc>
          <w:tcPr/>
          <w:p>
            <w:pPr>
              <w:pStyle w:val="Compact"/>
              <w:jc w:val="left"/>
            </w:pPr>
            <w:r>
              <w:t xml:space="preserve">68.0% (2,579,872)</w:t>
            </w:r>
          </w:p>
        </w:tc>
        <w:tc>
          <w:tcPr/>
          <w:p>
            <w:pPr>
              <w:pStyle w:val="Compact"/>
              <w:jc w:val="left"/>
            </w:pPr>
            <w:r>
              <w:t xml:space="preserve">68.0% (2,519,790)</w:t>
            </w:r>
          </w:p>
        </w:tc>
        <w:tc>
          <w:tcPr/>
          <w:p>
            <w:pPr>
              <w:pStyle w:val="Compact"/>
              <w:jc w:val="left"/>
            </w:pPr>
            <w:r>
              <w:t xml:space="preserve">69.0% (60,082)</w:t>
            </w:r>
          </w:p>
        </w:tc>
        <w:tc>
          <w:tcPr/>
          <w:p>
            <w:pPr>
              <w:pStyle w:val="Compact"/>
            </w:pPr>
          </w:p>
        </w:tc>
      </w:tr>
      <w:tr>
        <w:tc>
          <w:tcPr/>
          <w:p>
            <w:pPr>
              <w:pStyle w:val="Compact"/>
              <w:jc w:val="left"/>
            </w:pPr>
            <w:r>
              <w:t xml:space="preserve"> Non-metropolitan</w:t>
            </w:r>
          </w:p>
        </w:tc>
        <w:tc>
          <w:tcPr/>
          <w:p>
            <w:pPr>
              <w:pStyle w:val="Compact"/>
              <w:jc w:val="left"/>
            </w:pPr>
            <w:r>
              <w:t xml:space="preserve">10.8% (331,402)</w:t>
            </w:r>
          </w:p>
        </w:tc>
        <w:tc>
          <w:tcPr/>
          <w:p>
            <w:pPr>
              <w:pStyle w:val="Compact"/>
              <w:jc w:val="left"/>
            </w:pPr>
            <w:r>
              <w:t xml:space="preserve">10.9% (326,183)</w:t>
            </w:r>
          </w:p>
        </w:tc>
        <w:tc>
          <w:tcPr/>
          <w:p>
            <w:pPr>
              <w:pStyle w:val="Compact"/>
              <w:jc w:val="left"/>
            </w:pPr>
            <w:r>
              <w:t xml:space="preserve">7.4% (5,219)</w:t>
            </w:r>
          </w:p>
        </w:tc>
        <w:tc>
          <w:tcPr/>
          <w:p>
            <w:pPr>
              <w:pStyle w:val="Compact"/>
            </w:pPr>
          </w:p>
        </w:tc>
      </w:tr>
      <w:tr>
        <w:tc>
          <w:tcPr/>
          <w:p>
            <w:pPr>
              <w:pStyle w:val="Compact"/>
              <w:jc w:val="left"/>
            </w:pPr>
            <w:r>
              <w:t xml:space="preserve">Hospital ownership, % (unweighted n)</w:t>
            </w:r>
          </w:p>
        </w:tc>
        <w:tc>
          <w:tcPr/>
          <w:p>
            <w:pPr>
              <w:pStyle w:val="Compact"/>
            </w:pPr>
          </w:p>
        </w:tc>
        <w:tc>
          <w:tcPr/>
          <w:p>
            <w:pPr>
              <w:pStyle w:val="Compact"/>
            </w:pPr>
          </w:p>
        </w:tc>
        <w:tc>
          <w:tcPr/>
          <w:p>
            <w:pPr>
              <w:pStyle w:val="Compact"/>
            </w:pPr>
          </w:p>
        </w:tc>
        <w:tc>
          <w:tcPr/>
          <w:p>
            <w:pPr>
              <w:pStyle w:val="Compact"/>
              <w:jc w:val="left"/>
            </w:pPr>
            <w:r>
              <w:t xml:space="preserve">0.217</w:t>
            </w:r>
          </w:p>
        </w:tc>
      </w:tr>
      <w:tr>
        <w:tc>
          <w:tcPr/>
          <w:p>
            <w:pPr>
              <w:pStyle w:val="Compact"/>
              <w:jc w:val="left"/>
            </w:pPr>
            <w:r>
              <w:t xml:space="preserve"> Private, not-profit</w:t>
            </w:r>
          </w:p>
        </w:tc>
        <w:tc>
          <w:tcPr/>
          <w:p>
            <w:pPr>
              <w:pStyle w:val="Compact"/>
              <w:jc w:val="left"/>
            </w:pPr>
            <w:r>
              <w:t xml:space="preserve">76.2% (2,834,477)</w:t>
            </w:r>
          </w:p>
        </w:tc>
        <w:tc>
          <w:tcPr/>
          <w:p>
            <w:pPr>
              <w:pStyle w:val="Compact"/>
              <w:jc w:val="left"/>
            </w:pPr>
            <w:r>
              <w:t xml:space="preserve">76.3% (2,774,235)</w:t>
            </w:r>
          </w:p>
        </w:tc>
        <w:tc>
          <w:tcPr/>
          <w:p>
            <w:pPr>
              <w:pStyle w:val="Compact"/>
              <w:jc w:val="left"/>
            </w:pPr>
            <w:r>
              <w:t xml:space="preserve">70.2% (60,242)</w:t>
            </w:r>
          </w:p>
        </w:tc>
        <w:tc>
          <w:tcPr/>
          <w:p>
            <w:pPr>
              <w:pStyle w:val="Compact"/>
            </w:pPr>
          </w:p>
        </w:tc>
      </w:tr>
      <w:tr>
        <w:tc>
          <w:tcPr/>
          <w:p>
            <w:pPr>
              <w:pStyle w:val="Compact"/>
              <w:jc w:val="left"/>
            </w:pPr>
            <w:r>
              <w:t xml:space="preserve"> Government, nonfederal</w:t>
            </w:r>
          </w:p>
        </w:tc>
        <w:tc>
          <w:tcPr/>
          <w:p>
            <w:pPr>
              <w:pStyle w:val="Compact"/>
              <w:jc w:val="left"/>
            </w:pPr>
            <w:r>
              <w:t xml:space="preserve">10.3% (407,447)</w:t>
            </w:r>
          </w:p>
        </w:tc>
        <w:tc>
          <w:tcPr/>
          <w:p>
            <w:pPr>
              <w:pStyle w:val="Compact"/>
              <w:jc w:val="left"/>
            </w:pPr>
            <w:r>
              <w:t xml:space="preserve">10.2% (390,939)</w:t>
            </w:r>
          </w:p>
        </w:tc>
        <w:tc>
          <w:tcPr/>
          <w:p>
            <w:pPr>
              <w:pStyle w:val="Compact"/>
              <w:jc w:val="left"/>
            </w:pPr>
            <w:r>
              <w:t xml:space="preserve">17.7% (16,508)</w:t>
            </w:r>
          </w:p>
        </w:tc>
        <w:tc>
          <w:tcPr/>
          <w:p>
            <w:pPr>
              <w:pStyle w:val="Compact"/>
            </w:pPr>
          </w:p>
        </w:tc>
      </w:tr>
      <w:tr>
        <w:tc>
          <w:tcPr/>
          <w:p>
            <w:pPr>
              <w:pStyle w:val="Compact"/>
              <w:jc w:val="left"/>
            </w:pPr>
            <w:r>
              <w:t xml:space="preserve"> Private, invest-own</w:t>
            </w:r>
          </w:p>
        </w:tc>
        <w:tc>
          <w:tcPr/>
          <w:p>
            <w:pPr>
              <w:pStyle w:val="Compact"/>
              <w:jc w:val="left"/>
            </w:pPr>
            <w:r>
              <w:t xml:space="preserve">13.5% (531,546)</w:t>
            </w:r>
          </w:p>
        </w:tc>
        <w:tc>
          <w:tcPr/>
          <w:p>
            <w:pPr>
              <w:pStyle w:val="Compact"/>
              <w:jc w:val="left"/>
            </w:pPr>
            <w:r>
              <w:t xml:space="preserve">13.5% (520,317)</w:t>
            </w:r>
          </w:p>
        </w:tc>
        <w:tc>
          <w:tcPr/>
          <w:p>
            <w:pPr>
              <w:pStyle w:val="Compact"/>
              <w:jc w:val="left"/>
            </w:pPr>
            <w:r>
              <w:t xml:space="preserve">12.2% (11,229)</w:t>
            </w:r>
          </w:p>
        </w:tc>
        <w:tc>
          <w:tcPr/>
          <w:p>
            <w:pPr>
              <w:pStyle w:val="Compact"/>
            </w:pPr>
          </w:p>
        </w:tc>
      </w:tr>
      <w:tr>
        <w:tc>
          <w:tcPr/>
          <w:p>
            <w:pPr>
              <w:pStyle w:val="Compact"/>
              <w:jc w:val="left"/>
            </w:pPr>
            <w:r>
              <w:t xml:space="preserve">Heart failure phenotype (any-listed I50 subtype), % (unweighted n)</w:t>
            </w:r>
          </w:p>
        </w:tc>
        <w:tc>
          <w:tcPr/>
          <w:p>
            <w:pPr>
              <w:pStyle w:val="Compact"/>
            </w:pPr>
          </w:p>
        </w:tc>
        <w:tc>
          <w:tcPr/>
          <w:p>
            <w:pPr>
              <w:pStyle w:val="Compact"/>
            </w:pPr>
          </w:p>
        </w:tc>
        <w:tc>
          <w:tcPr/>
          <w:p>
            <w:pPr>
              <w:pStyle w:val="Compact"/>
            </w:pPr>
          </w:p>
        </w:tc>
        <w:tc>
          <w:tcPr/>
          <w:p>
            <w:pPr>
              <w:pStyle w:val="Compact"/>
              <w:jc w:val="left"/>
            </w:pPr>
            <w:r>
              <w:t xml:space="preserve">0.833</w:t>
            </w:r>
          </w:p>
        </w:tc>
      </w:tr>
      <w:tr>
        <w:tc>
          <w:tcPr/>
          <w:p>
            <w:pPr>
              <w:pStyle w:val="Compact"/>
              <w:jc w:val="left"/>
            </w:pPr>
            <w:r>
              <w:t xml:space="preserve"> HFrEF</w:t>
            </w:r>
          </w:p>
        </w:tc>
        <w:tc>
          <w:tcPr/>
          <w:p>
            <w:pPr>
              <w:pStyle w:val="Compact"/>
              <w:jc w:val="left"/>
            </w:pPr>
            <w:r>
              <w:t xml:space="preserve">33.7% (1,289,961)</w:t>
            </w:r>
          </w:p>
        </w:tc>
        <w:tc>
          <w:tcPr/>
          <w:p>
            <w:pPr>
              <w:pStyle w:val="Compact"/>
              <w:jc w:val="left"/>
            </w:pPr>
            <w:r>
              <w:t xml:space="preserve">33.1% (1,235,647)</w:t>
            </w:r>
          </w:p>
        </w:tc>
        <w:tc>
          <w:tcPr/>
          <w:p>
            <w:pPr>
              <w:pStyle w:val="Compact"/>
              <w:jc w:val="left"/>
            </w:pPr>
            <w:r>
              <w:t xml:space="preserve">61.4% (54,314)</w:t>
            </w:r>
          </w:p>
        </w:tc>
        <w:tc>
          <w:tcPr/>
          <w:p>
            <w:pPr>
              <w:pStyle w:val="Compact"/>
            </w:pPr>
          </w:p>
        </w:tc>
      </w:tr>
      <w:tr>
        <w:tc>
          <w:tcPr/>
          <w:p>
            <w:pPr>
              <w:pStyle w:val="Compact"/>
              <w:jc w:val="left"/>
            </w:pPr>
            <w:r>
              <w:t xml:space="preserve"> HFpEF</w:t>
            </w:r>
          </w:p>
        </w:tc>
        <w:tc>
          <w:tcPr/>
          <w:p>
            <w:pPr>
              <w:pStyle w:val="Compact"/>
              <w:jc w:val="left"/>
            </w:pPr>
            <w:r>
              <w:t xml:space="preserve">41.5% (1,564,180)</w:t>
            </w:r>
          </w:p>
        </w:tc>
        <w:tc>
          <w:tcPr/>
          <w:p>
            <w:pPr>
              <w:pStyle w:val="Compact"/>
              <w:jc w:val="left"/>
            </w:pPr>
            <w:r>
              <w:t xml:space="preserve">42.1% (1,556,385)</w:t>
            </w:r>
          </w:p>
        </w:tc>
        <w:tc>
          <w:tcPr/>
          <w:p>
            <w:pPr>
              <w:pStyle w:val="Compact"/>
              <w:jc w:val="left"/>
            </w:pPr>
            <w:r>
              <w:t xml:space="preserve">8.7% (7,795)</w:t>
            </w:r>
          </w:p>
        </w:tc>
        <w:tc>
          <w:tcPr/>
          <w:p>
            <w:pPr>
              <w:pStyle w:val="Compact"/>
            </w:pPr>
          </w:p>
        </w:tc>
      </w:tr>
      <w:tr>
        <w:tc>
          <w:tcPr/>
          <w:p>
            <w:pPr>
              <w:pStyle w:val="Compact"/>
              <w:jc w:val="left"/>
            </w:pPr>
            <w:r>
              <w:t xml:space="preserve"> Combined</w:t>
            </w:r>
          </w:p>
        </w:tc>
        <w:tc>
          <w:tcPr/>
          <w:p>
            <w:pPr>
              <w:pStyle w:val="Compact"/>
              <w:jc w:val="left"/>
            </w:pPr>
            <w:r>
              <w:t xml:space="preserve">18.5% (682,135)</w:t>
            </w:r>
          </w:p>
        </w:tc>
        <w:tc>
          <w:tcPr/>
          <w:p>
            <w:pPr>
              <w:pStyle w:val="Compact"/>
              <w:jc w:val="left"/>
            </w:pPr>
            <w:r>
              <w:t xml:space="preserve">18.4% (660,437)</w:t>
            </w:r>
          </w:p>
        </w:tc>
        <w:tc>
          <w:tcPr/>
          <w:p>
            <w:pPr>
              <w:pStyle w:val="Compact"/>
              <w:jc w:val="left"/>
            </w:pPr>
            <w:r>
              <w:t xml:space="preserve">25.2% (21,698)</w:t>
            </w:r>
          </w:p>
        </w:tc>
        <w:tc>
          <w:tcPr/>
          <w:p>
            <w:pPr>
              <w:pStyle w:val="Compact"/>
            </w:pPr>
          </w:p>
        </w:tc>
      </w:tr>
      <w:tr>
        <w:tc>
          <w:tcPr/>
          <w:p>
            <w:pPr>
              <w:pStyle w:val="Compact"/>
              <w:jc w:val="left"/>
            </w:pPr>
            <w:r>
              <w:t xml:space="preserve"> Other/unspecified</w:t>
            </w:r>
          </w:p>
        </w:tc>
        <w:tc>
          <w:tcPr/>
          <w:p>
            <w:pPr>
              <w:pStyle w:val="Compact"/>
              <w:jc w:val="left"/>
            </w:pPr>
            <w:r>
              <w:t xml:space="preserve">6.3% (237,194)</w:t>
            </w:r>
          </w:p>
        </w:tc>
        <w:tc>
          <w:tcPr/>
          <w:p>
            <w:pPr>
              <w:pStyle w:val="Compact"/>
              <w:jc w:val="left"/>
            </w:pPr>
            <w:r>
              <w:t xml:space="preserve">6.4% (233,022)</w:t>
            </w:r>
          </w:p>
        </w:tc>
        <w:tc>
          <w:tcPr/>
          <w:p>
            <w:pPr>
              <w:pStyle w:val="Compact"/>
              <w:jc w:val="left"/>
            </w:pPr>
            <w:r>
              <w:t xml:space="preserve">4.7% (4,172)</w:t>
            </w:r>
          </w:p>
        </w:tc>
        <w:tc>
          <w:tcPr/>
          <w:p>
            <w:pPr>
              <w:pStyle w:val="Compact"/>
            </w:pPr>
          </w:p>
        </w:tc>
      </w:tr>
      <w:tr>
        <w:tc>
          <w:tcPr/>
          <w:p>
            <w:pPr>
              <w:pStyle w:val="Compact"/>
              <w:jc w:val="left"/>
            </w:pPr>
            <w:r>
              <w:t xml:space="preserve">Cardiogenic shock at index, % (unweighted n)</w:t>
            </w:r>
          </w:p>
        </w:tc>
        <w:tc>
          <w:tcPr/>
          <w:p>
            <w:pPr>
              <w:pStyle w:val="Compact"/>
            </w:pPr>
          </w:p>
        </w:tc>
        <w:tc>
          <w:tcPr/>
          <w:p>
            <w:pPr>
              <w:pStyle w:val="Compact"/>
            </w:pPr>
          </w:p>
        </w:tc>
        <w:tc>
          <w:tcPr/>
          <w:p>
            <w:pPr>
              <w:pStyle w:val="Compact"/>
            </w:pPr>
          </w:p>
        </w:tc>
        <w:tc>
          <w:tcPr/>
          <w:p>
            <w:pPr>
              <w:pStyle w:val="Compact"/>
              <w:jc w:val="left"/>
            </w:pPr>
            <w:r>
              <w:t xml:space="preserve">0.138</w:t>
            </w:r>
          </w:p>
        </w:tc>
      </w:tr>
      <w:tr>
        <w:tc>
          <w:tcPr/>
          <w:p>
            <w:pPr>
              <w:pStyle w:val="Compact"/>
              <w:jc w:val="left"/>
            </w:pPr>
            <w:r>
              <w:t xml:space="preserve"> No</w:t>
            </w:r>
          </w:p>
        </w:tc>
        <w:tc>
          <w:tcPr/>
          <w:p>
            <w:pPr>
              <w:pStyle w:val="Compact"/>
              <w:jc w:val="left"/>
            </w:pPr>
            <w:r>
              <w:t xml:space="preserve">98.1% (3,701,128)</w:t>
            </w:r>
          </w:p>
        </w:tc>
        <w:tc>
          <w:tcPr/>
          <w:p>
            <w:pPr>
              <w:pStyle w:val="Compact"/>
              <w:jc w:val="left"/>
            </w:pPr>
            <w:r>
              <w:t xml:space="preserve">98.1% (3,616,715)</w:t>
            </w:r>
          </w:p>
        </w:tc>
        <w:tc>
          <w:tcPr/>
          <w:p>
            <w:pPr>
              <w:pStyle w:val="Compact"/>
              <w:jc w:val="left"/>
            </w:pPr>
            <w:r>
              <w:t xml:space="preserve">95.8% (84,413)</w:t>
            </w:r>
          </w:p>
        </w:tc>
        <w:tc>
          <w:tcPr/>
          <w:p>
            <w:pPr>
              <w:pStyle w:val="Compact"/>
            </w:pPr>
          </w:p>
        </w:tc>
      </w:tr>
      <w:tr>
        <w:tc>
          <w:tcPr/>
          <w:p>
            <w:pPr>
              <w:pStyle w:val="Compact"/>
              <w:jc w:val="left"/>
            </w:pPr>
            <w:r>
              <w:t xml:space="preserve"> Yes</w:t>
            </w:r>
          </w:p>
        </w:tc>
        <w:tc>
          <w:tcPr/>
          <w:p>
            <w:pPr>
              <w:pStyle w:val="Compact"/>
              <w:jc w:val="left"/>
            </w:pPr>
            <w:r>
              <w:t xml:space="preserve">1.9% (72,342)</w:t>
            </w:r>
          </w:p>
        </w:tc>
        <w:tc>
          <w:tcPr/>
          <w:p>
            <w:pPr>
              <w:pStyle w:val="Compact"/>
              <w:jc w:val="left"/>
            </w:pPr>
            <w:r>
              <w:t xml:space="preserve">1.9% (68,776)</w:t>
            </w:r>
          </w:p>
        </w:tc>
        <w:tc>
          <w:tcPr/>
          <w:p>
            <w:pPr>
              <w:pStyle w:val="Compact"/>
              <w:jc w:val="left"/>
            </w:pPr>
            <w:r>
              <w:t xml:space="preserve">4.2% (3,566)</w:t>
            </w:r>
          </w:p>
        </w:tc>
        <w:tc>
          <w:tcPr/>
          <w:p>
            <w:pPr>
              <w:pStyle w:val="Compact"/>
            </w:pPr>
          </w:p>
        </w:tc>
      </w:tr>
      <w:tr>
        <w:tc>
          <w:tcPr/>
          <w:p>
            <w:pPr>
              <w:pStyle w:val="Compact"/>
              <w:jc w:val="left"/>
            </w:pPr>
            <w:r>
              <w:t xml:space="preserve">Invasive mechanical ventilation at index, % (unweighted n)</w:t>
            </w:r>
          </w:p>
        </w:tc>
        <w:tc>
          <w:tcPr/>
          <w:p>
            <w:pPr>
              <w:pStyle w:val="Compact"/>
            </w:pPr>
          </w:p>
        </w:tc>
        <w:tc>
          <w:tcPr/>
          <w:p>
            <w:pPr>
              <w:pStyle w:val="Compact"/>
            </w:pPr>
          </w:p>
        </w:tc>
        <w:tc>
          <w:tcPr/>
          <w:p>
            <w:pPr>
              <w:pStyle w:val="Compact"/>
            </w:pPr>
          </w:p>
        </w:tc>
        <w:tc>
          <w:tcPr/>
          <w:p>
            <w:pPr>
              <w:pStyle w:val="Compact"/>
              <w:jc w:val="left"/>
            </w:pPr>
            <w:r>
              <w:t xml:space="preserve">0.051</w:t>
            </w:r>
          </w:p>
        </w:tc>
      </w:tr>
      <w:tr>
        <w:tc>
          <w:tcPr/>
          <w:p>
            <w:pPr>
              <w:pStyle w:val="Compact"/>
              <w:jc w:val="left"/>
            </w:pPr>
            <w:r>
              <w:t xml:space="preserve"> No</w:t>
            </w:r>
          </w:p>
        </w:tc>
        <w:tc>
          <w:tcPr/>
          <w:p>
            <w:pPr>
              <w:pStyle w:val="Compact"/>
              <w:jc w:val="left"/>
            </w:pPr>
            <w:r>
              <w:t xml:space="preserve">98.8% (3,727,910)</w:t>
            </w:r>
          </w:p>
        </w:tc>
        <w:tc>
          <w:tcPr/>
          <w:p>
            <w:pPr>
              <w:pStyle w:val="Compact"/>
              <w:jc w:val="left"/>
            </w:pPr>
            <w:r>
              <w:t xml:space="preserve">98.8% (3,641,478)</w:t>
            </w:r>
          </w:p>
        </w:tc>
        <w:tc>
          <w:tcPr/>
          <w:p>
            <w:pPr>
              <w:pStyle w:val="Compact"/>
              <w:jc w:val="left"/>
            </w:pPr>
            <w:r>
              <w:t xml:space="preserve">98.2% (86,432)</w:t>
            </w:r>
          </w:p>
        </w:tc>
        <w:tc>
          <w:tcPr/>
          <w:p>
            <w:pPr>
              <w:pStyle w:val="Compact"/>
            </w:pPr>
          </w:p>
        </w:tc>
      </w:tr>
      <w:tr>
        <w:tc>
          <w:tcPr/>
          <w:p>
            <w:pPr>
              <w:pStyle w:val="Compact"/>
              <w:jc w:val="left"/>
            </w:pPr>
            <w:r>
              <w:t xml:space="preserve"> Yes</w:t>
            </w:r>
          </w:p>
        </w:tc>
        <w:tc>
          <w:tcPr/>
          <w:p>
            <w:pPr>
              <w:pStyle w:val="Compact"/>
              <w:jc w:val="left"/>
            </w:pPr>
            <w:r>
              <w:t xml:space="preserve">1.2% (45,560)</w:t>
            </w:r>
          </w:p>
        </w:tc>
        <w:tc>
          <w:tcPr/>
          <w:p>
            <w:pPr>
              <w:pStyle w:val="Compact"/>
              <w:jc w:val="left"/>
            </w:pPr>
            <w:r>
              <w:t xml:space="preserve">1.2% (44,013)</w:t>
            </w:r>
          </w:p>
        </w:tc>
        <w:tc>
          <w:tcPr/>
          <w:p>
            <w:pPr>
              <w:pStyle w:val="Compact"/>
              <w:jc w:val="left"/>
            </w:pPr>
            <w:r>
              <w:t xml:space="preserve">1.8% (1,547)</w:t>
            </w:r>
          </w:p>
        </w:tc>
        <w:tc>
          <w:tcPr/>
          <w:p>
            <w:pPr>
              <w:pStyle w:val="Compact"/>
            </w:pPr>
          </w:p>
        </w:tc>
      </w:tr>
      <w:tr>
        <w:tc>
          <w:tcPr/>
          <w:p>
            <w:pPr>
              <w:pStyle w:val="Compact"/>
              <w:jc w:val="left"/>
            </w:pPr>
            <w:r>
              <w:t xml:space="preserve">Chronic dialysis dependence, % (unweighted n)</w:t>
            </w:r>
          </w:p>
        </w:tc>
        <w:tc>
          <w:tcPr/>
          <w:p>
            <w:pPr>
              <w:pStyle w:val="Compact"/>
            </w:pPr>
          </w:p>
        </w:tc>
        <w:tc>
          <w:tcPr/>
          <w:p>
            <w:pPr>
              <w:pStyle w:val="Compact"/>
            </w:pPr>
          </w:p>
        </w:tc>
        <w:tc>
          <w:tcPr/>
          <w:p>
            <w:pPr>
              <w:pStyle w:val="Compact"/>
            </w:pPr>
          </w:p>
        </w:tc>
        <w:tc>
          <w:tcPr/>
          <w:p>
            <w:pPr>
              <w:pStyle w:val="Compact"/>
              <w:jc w:val="left"/>
            </w:pPr>
            <w:r>
              <w:t xml:space="preserve">0.288</w:t>
            </w:r>
          </w:p>
        </w:tc>
      </w:tr>
      <w:tr>
        <w:tc>
          <w:tcPr/>
          <w:p>
            <w:pPr>
              <w:pStyle w:val="Compact"/>
              <w:jc w:val="left"/>
            </w:pPr>
            <w:r>
              <w:t xml:space="preserve"> No</w:t>
            </w:r>
          </w:p>
        </w:tc>
        <w:tc>
          <w:tcPr/>
          <w:p>
            <w:pPr>
              <w:pStyle w:val="Compact"/>
              <w:jc w:val="left"/>
            </w:pPr>
            <w:r>
              <w:t xml:space="preserve">91.1% (3,429,712)</w:t>
            </w:r>
          </w:p>
        </w:tc>
        <w:tc>
          <w:tcPr/>
          <w:p>
            <w:pPr>
              <w:pStyle w:val="Compact"/>
              <w:jc w:val="left"/>
            </w:pPr>
            <w:r>
              <w:t xml:space="preserve">90.9% (3,343,913)</w:t>
            </w:r>
          </w:p>
        </w:tc>
        <w:tc>
          <w:tcPr/>
          <w:p>
            <w:pPr>
              <w:pStyle w:val="Compact"/>
              <w:jc w:val="left"/>
            </w:pPr>
            <w:r>
              <w:t xml:space="preserve">97.6% (85,799)</w:t>
            </w:r>
          </w:p>
        </w:tc>
        <w:tc>
          <w:tcPr/>
          <w:p>
            <w:pPr>
              <w:pStyle w:val="Compact"/>
            </w:pPr>
          </w:p>
        </w:tc>
      </w:tr>
      <w:tr>
        <w:tc>
          <w:tcPr/>
          <w:p>
            <w:pPr>
              <w:pStyle w:val="Compact"/>
              <w:jc w:val="left"/>
            </w:pPr>
            <w:r>
              <w:t xml:space="preserve"> Yes</w:t>
            </w:r>
          </w:p>
        </w:tc>
        <w:tc>
          <w:tcPr/>
          <w:p>
            <w:pPr>
              <w:pStyle w:val="Compact"/>
              <w:jc w:val="left"/>
            </w:pPr>
            <w:r>
              <w:t xml:space="preserve">8.9% (343,758)</w:t>
            </w:r>
          </w:p>
        </w:tc>
        <w:tc>
          <w:tcPr/>
          <w:p>
            <w:pPr>
              <w:pStyle w:val="Compact"/>
              <w:jc w:val="left"/>
            </w:pPr>
            <w:r>
              <w:t xml:space="preserve">9.1% (341,578)</w:t>
            </w:r>
          </w:p>
        </w:tc>
        <w:tc>
          <w:tcPr/>
          <w:p>
            <w:pPr>
              <w:pStyle w:val="Compact"/>
              <w:jc w:val="left"/>
            </w:pPr>
            <w:r>
              <w:t xml:space="preserve">2.4% (2,180)</w:t>
            </w:r>
          </w:p>
        </w:tc>
        <w:tc>
          <w:tcPr/>
          <w:p>
            <w:pPr>
              <w:pStyle w:val="Compact"/>
            </w:pPr>
          </w:p>
        </w:tc>
      </w:tr>
      <w:tr>
        <w:tc>
          <w:tcPr/>
          <w:p>
            <w:pPr>
              <w:pStyle w:val="Compact"/>
              <w:jc w:val="left"/>
            </w:pPr>
            <w:r>
              <w:t xml:space="preserve">Cardiac implantable electronic device in situ, % (unweighted n)</w:t>
            </w:r>
          </w:p>
        </w:tc>
        <w:tc>
          <w:tcPr/>
          <w:p>
            <w:pPr>
              <w:pStyle w:val="Compact"/>
            </w:pPr>
          </w:p>
        </w:tc>
        <w:tc>
          <w:tcPr/>
          <w:p>
            <w:pPr>
              <w:pStyle w:val="Compact"/>
            </w:pPr>
          </w:p>
        </w:tc>
        <w:tc>
          <w:tcPr/>
          <w:p>
            <w:pPr>
              <w:pStyle w:val="Compact"/>
            </w:pPr>
          </w:p>
        </w:tc>
        <w:tc>
          <w:tcPr/>
          <w:p>
            <w:pPr>
              <w:pStyle w:val="Compact"/>
              <w:jc w:val="left"/>
            </w:pPr>
            <w:r>
              <w:t xml:space="preserve">0.300</w:t>
            </w:r>
          </w:p>
        </w:tc>
      </w:tr>
      <w:tr>
        <w:tc>
          <w:tcPr/>
          <w:p>
            <w:pPr>
              <w:pStyle w:val="Compact"/>
              <w:jc w:val="left"/>
            </w:pPr>
            <w:r>
              <w:t xml:space="preserve"> No</w:t>
            </w:r>
          </w:p>
        </w:tc>
        <w:tc>
          <w:tcPr/>
          <w:p>
            <w:pPr>
              <w:pStyle w:val="Compact"/>
              <w:jc w:val="left"/>
            </w:pPr>
            <w:r>
              <w:t xml:space="preserve">82.0% (3,098,729)</w:t>
            </w:r>
          </w:p>
        </w:tc>
        <w:tc>
          <w:tcPr/>
          <w:p>
            <w:pPr>
              <w:pStyle w:val="Compact"/>
              <w:jc w:val="left"/>
            </w:pPr>
            <w:r>
              <w:t xml:space="preserve">81.8% (3,017,846)</w:t>
            </w:r>
          </w:p>
        </w:tc>
        <w:tc>
          <w:tcPr/>
          <w:p>
            <w:pPr>
              <w:pStyle w:val="Compact"/>
              <w:jc w:val="left"/>
            </w:pPr>
            <w:r>
              <w:t xml:space="preserve">91.9% (80,883)</w:t>
            </w:r>
          </w:p>
        </w:tc>
        <w:tc>
          <w:tcPr/>
          <w:p>
            <w:pPr>
              <w:pStyle w:val="Compact"/>
            </w:pPr>
          </w:p>
        </w:tc>
      </w:tr>
      <w:tr>
        <w:tc>
          <w:tcPr/>
          <w:p>
            <w:pPr>
              <w:pStyle w:val="Compact"/>
              <w:jc w:val="left"/>
            </w:pPr>
            <w:r>
              <w:t xml:space="preserve"> Yes</w:t>
            </w:r>
          </w:p>
        </w:tc>
        <w:tc>
          <w:tcPr/>
          <w:p>
            <w:pPr>
              <w:pStyle w:val="Compact"/>
              <w:jc w:val="left"/>
            </w:pPr>
            <w:r>
              <w:t xml:space="preserve">18.0% (674,741)</w:t>
            </w:r>
          </w:p>
        </w:tc>
        <w:tc>
          <w:tcPr/>
          <w:p>
            <w:pPr>
              <w:pStyle w:val="Compact"/>
              <w:jc w:val="left"/>
            </w:pPr>
            <w:r>
              <w:t xml:space="preserve">18.2% (667,645)</w:t>
            </w:r>
          </w:p>
        </w:tc>
        <w:tc>
          <w:tcPr/>
          <w:p>
            <w:pPr>
              <w:pStyle w:val="Compact"/>
              <w:jc w:val="left"/>
            </w:pPr>
            <w:r>
              <w:t xml:space="preserve">8.1% (7,096)</w:t>
            </w:r>
          </w:p>
        </w:tc>
        <w:tc>
          <w:tcPr/>
          <w:p>
            <w:pPr>
              <w:pStyle w:val="Compact"/>
            </w:pPr>
          </w:p>
        </w:tc>
      </w:tr>
      <w:tr>
        <w:tc>
          <w:tcPr/>
          <w:p>
            <w:pPr>
              <w:pStyle w:val="Compact"/>
              <w:jc w:val="left"/>
            </w:pPr>
            <w:r>
              <w:t xml:space="preserve">Cardiomyopathy, % (unweighted n)</w:t>
            </w:r>
          </w:p>
        </w:tc>
        <w:tc>
          <w:tcPr/>
          <w:p>
            <w:pPr>
              <w:pStyle w:val="Compact"/>
            </w:pPr>
          </w:p>
        </w:tc>
        <w:tc>
          <w:tcPr/>
          <w:p>
            <w:pPr>
              <w:pStyle w:val="Compact"/>
            </w:pPr>
          </w:p>
        </w:tc>
        <w:tc>
          <w:tcPr/>
          <w:p>
            <w:pPr>
              <w:pStyle w:val="Compact"/>
            </w:pPr>
          </w:p>
        </w:tc>
        <w:tc>
          <w:tcPr/>
          <w:p>
            <w:pPr>
              <w:pStyle w:val="Compact"/>
              <w:jc w:val="left"/>
            </w:pPr>
            <w:r>
              <w:t xml:space="preserve">0.826</w:t>
            </w:r>
          </w:p>
        </w:tc>
      </w:tr>
      <w:tr>
        <w:tc>
          <w:tcPr/>
          <w:p>
            <w:pPr>
              <w:pStyle w:val="Compact"/>
              <w:jc w:val="left"/>
            </w:pPr>
            <w:r>
              <w:t xml:space="preserve"> No</w:t>
            </w:r>
          </w:p>
        </w:tc>
        <w:tc>
          <w:tcPr/>
          <w:p>
            <w:pPr>
              <w:pStyle w:val="Compact"/>
              <w:jc w:val="left"/>
            </w:pPr>
            <w:r>
              <w:t xml:space="preserve">78.3% (2,958,482)</w:t>
            </w:r>
          </w:p>
        </w:tc>
        <w:tc>
          <w:tcPr/>
          <w:p>
            <w:pPr>
              <w:pStyle w:val="Compact"/>
              <w:jc w:val="left"/>
            </w:pPr>
            <w:r>
              <w:t xml:space="preserve">79.0% (2,921,383)</w:t>
            </w:r>
          </w:p>
        </w:tc>
        <w:tc>
          <w:tcPr/>
          <w:p>
            <w:pPr>
              <w:pStyle w:val="Compact"/>
              <w:jc w:val="left"/>
            </w:pPr>
            <w:r>
              <w:t xml:space="preserve">41.7% (37,099)</w:t>
            </w:r>
          </w:p>
        </w:tc>
        <w:tc>
          <w:tcPr/>
          <w:p>
            <w:pPr>
              <w:pStyle w:val="Compact"/>
            </w:pPr>
          </w:p>
        </w:tc>
      </w:tr>
      <w:tr>
        <w:tc>
          <w:tcPr/>
          <w:p>
            <w:pPr>
              <w:pStyle w:val="Compact"/>
              <w:jc w:val="left"/>
            </w:pPr>
            <w:r>
              <w:t xml:space="preserve"> Yes</w:t>
            </w:r>
          </w:p>
        </w:tc>
        <w:tc>
          <w:tcPr/>
          <w:p>
            <w:pPr>
              <w:pStyle w:val="Compact"/>
              <w:jc w:val="left"/>
            </w:pPr>
            <w:r>
              <w:t xml:space="preserve">21.7% (814,988)</w:t>
            </w:r>
          </w:p>
        </w:tc>
        <w:tc>
          <w:tcPr/>
          <w:p>
            <w:pPr>
              <w:pStyle w:val="Compact"/>
              <w:jc w:val="left"/>
            </w:pPr>
            <w:r>
              <w:t xml:space="preserve">21.0% (764,108)</w:t>
            </w:r>
          </w:p>
        </w:tc>
        <w:tc>
          <w:tcPr/>
          <w:p>
            <w:pPr>
              <w:pStyle w:val="Compact"/>
              <w:jc w:val="left"/>
            </w:pPr>
            <w:r>
              <w:t xml:space="preserve">58.3% (50,880)</w:t>
            </w:r>
          </w:p>
        </w:tc>
        <w:tc>
          <w:tcPr/>
          <w:p>
            <w:pPr>
              <w:pStyle w:val="Compact"/>
            </w:pPr>
          </w:p>
        </w:tc>
      </w:tr>
      <w:tr>
        <w:tc>
          <w:tcPr/>
          <w:p>
            <w:pPr>
              <w:pStyle w:val="Compact"/>
              <w:jc w:val="left"/>
            </w:pPr>
            <w:r>
              <w:t xml:space="preserve">Acute myocardial infarction at index, % (unweighted n)</w:t>
            </w:r>
          </w:p>
        </w:tc>
        <w:tc>
          <w:tcPr/>
          <w:p>
            <w:pPr>
              <w:pStyle w:val="Compact"/>
            </w:pPr>
          </w:p>
        </w:tc>
        <w:tc>
          <w:tcPr/>
          <w:p>
            <w:pPr>
              <w:pStyle w:val="Compact"/>
            </w:pPr>
          </w:p>
        </w:tc>
        <w:tc>
          <w:tcPr/>
          <w:p>
            <w:pPr>
              <w:pStyle w:val="Compact"/>
            </w:pPr>
          </w:p>
        </w:tc>
        <w:tc>
          <w:tcPr/>
          <w:p>
            <w:pPr>
              <w:pStyle w:val="Compact"/>
              <w:jc w:val="left"/>
            </w:pPr>
            <w:r>
              <w:t xml:space="preserve">0.109</w:t>
            </w:r>
          </w:p>
        </w:tc>
      </w:tr>
      <w:tr>
        <w:tc>
          <w:tcPr/>
          <w:p>
            <w:pPr>
              <w:pStyle w:val="Compact"/>
              <w:jc w:val="left"/>
            </w:pPr>
            <w:r>
              <w:t xml:space="preserve"> No</w:t>
            </w:r>
          </w:p>
        </w:tc>
        <w:tc>
          <w:tcPr/>
          <w:p>
            <w:pPr>
              <w:pStyle w:val="Compact"/>
              <w:jc w:val="left"/>
            </w:pPr>
            <w:r>
              <w:t xml:space="preserve">93.6% (3,525,310)</w:t>
            </w:r>
          </w:p>
        </w:tc>
        <w:tc>
          <w:tcPr/>
          <w:p>
            <w:pPr>
              <w:pStyle w:val="Compact"/>
              <w:jc w:val="left"/>
            </w:pPr>
            <w:r>
              <w:t xml:space="preserve">93.7% (3,445,544)</w:t>
            </w:r>
          </w:p>
        </w:tc>
        <w:tc>
          <w:tcPr/>
          <w:p>
            <w:pPr>
              <w:pStyle w:val="Compact"/>
              <w:jc w:val="left"/>
            </w:pPr>
            <w:r>
              <w:t xml:space="preserve">90.7% (79,766)</w:t>
            </w:r>
          </w:p>
        </w:tc>
        <w:tc>
          <w:tcPr/>
          <w:p>
            <w:pPr>
              <w:pStyle w:val="Compact"/>
            </w:pPr>
          </w:p>
        </w:tc>
      </w:tr>
      <w:tr>
        <w:tc>
          <w:tcPr/>
          <w:p>
            <w:pPr>
              <w:pStyle w:val="Compact"/>
              <w:jc w:val="left"/>
            </w:pPr>
            <w:r>
              <w:t xml:space="preserve"> Yes</w:t>
            </w:r>
          </w:p>
        </w:tc>
        <w:tc>
          <w:tcPr/>
          <w:p>
            <w:pPr>
              <w:pStyle w:val="Compact"/>
              <w:jc w:val="left"/>
            </w:pPr>
            <w:r>
              <w:t xml:space="preserve">6.4% (248,160)</w:t>
            </w:r>
          </w:p>
        </w:tc>
        <w:tc>
          <w:tcPr/>
          <w:p>
            <w:pPr>
              <w:pStyle w:val="Compact"/>
              <w:jc w:val="left"/>
            </w:pPr>
            <w:r>
              <w:t xml:space="preserve">6.3% (239,947)</w:t>
            </w:r>
          </w:p>
        </w:tc>
        <w:tc>
          <w:tcPr/>
          <w:p>
            <w:pPr>
              <w:pStyle w:val="Compact"/>
              <w:jc w:val="left"/>
            </w:pPr>
            <w:r>
              <w:t xml:space="preserve">9.3% (8,213)</w:t>
            </w:r>
          </w:p>
        </w:tc>
        <w:tc>
          <w:tcPr/>
          <w:p>
            <w:pPr>
              <w:pStyle w:val="Compact"/>
            </w:pPr>
          </w:p>
        </w:tc>
      </w:tr>
      <w:tr>
        <w:tc>
          <w:tcPr/>
          <w:p>
            <w:pPr>
              <w:pStyle w:val="Compact"/>
              <w:jc w:val="left"/>
            </w:pPr>
            <w:r>
              <w:t xml:space="preserve">Housing instability (Z59.x), % (unweighted n)</w:t>
            </w:r>
          </w:p>
        </w:tc>
        <w:tc>
          <w:tcPr/>
          <w:p>
            <w:pPr>
              <w:pStyle w:val="Compact"/>
            </w:pPr>
          </w:p>
        </w:tc>
        <w:tc>
          <w:tcPr/>
          <w:p>
            <w:pPr>
              <w:pStyle w:val="Compact"/>
            </w:pPr>
          </w:p>
        </w:tc>
        <w:tc>
          <w:tcPr/>
          <w:p>
            <w:pPr>
              <w:pStyle w:val="Compact"/>
            </w:pPr>
          </w:p>
        </w:tc>
        <w:tc>
          <w:tcPr/>
          <w:p>
            <w:pPr>
              <w:pStyle w:val="Compact"/>
              <w:jc w:val="left"/>
            </w:pPr>
            <w:r>
              <w:t xml:space="preserve">0.650</w:t>
            </w:r>
          </w:p>
        </w:tc>
      </w:tr>
      <w:tr>
        <w:tc>
          <w:tcPr/>
          <w:p>
            <w:pPr>
              <w:pStyle w:val="Compact"/>
              <w:jc w:val="left"/>
            </w:pPr>
            <w:r>
              <w:t xml:space="preserve"> No</w:t>
            </w:r>
          </w:p>
        </w:tc>
        <w:tc>
          <w:tcPr/>
          <w:p>
            <w:pPr>
              <w:pStyle w:val="Compact"/>
              <w:jc w:val="left"/>
            </w:pPr>
            <w:r>
              <w:t xml:space="preserve">98.9% (3,727,786)</w:t>
            </w:r>
          </w:p>
        </w:tc>
        <w:tc>
          <w:tcPr/>
          <w:p>
            <w:pPr>
              <w:pStyle w:val="Compact"/>
              <w:jc w:val="left"/>
            </w:pPr>
            <w:r>
              <w:t xml:space="preserve">99.3% (3,657,907)</w:t>
            </w:r>
          </w:p>
        </w:tc>
        <w:tc>
          <w:tcPr/>
          <w:p>
            <w:pPr>
              <w:pStyle w:val="Compact"/>
              <w:jc w:val="left"/>
            </w:pPr>
            <w:r>
              <w:t xml:space="preserve">80.8% (69,879)</w:t>
            </w:r>
          </w:p>
        </w:tc>
        <w:tc>
          <w:tcPr/>
          <w:p>
            <w:pPr>
              <w:pStyle w:val="Compact"/>
            </w:pPr>
          </w:p>
        </w:tc>
      </w:tr>
      <w:tr>
        <w:tc>
          <w:tcPr/>
          <w:p>
            <w:pPr>
              <w:pStyle w:val="Compact"/>
              <w:jc w:val="left"/>
            </w:pPr>
            <w:r>
              <w:t xml:space="preserve"> Yes</w:t>
            </w:r>
          </w:p>
        </w:tc>
        <w:tc>
          <w:tcPr/>
          <w:p>
            <w:pPr>
              <w:pStyle w:val="Compact"/>
              <w:jc w:val="left"/>
            </w:pPr>
            <w:r>
              <w:t xml:space="preserve">1.1% (45,684)</w:t>
            </w:r>
          </w:p>
        </w:tc>
        <w:tc>
          <w:tcPr/>
          <w:p>
            <w:pPr>
              <w:pStyle w:val="Compact"/>
              <w:jc w:val="left"/>
            </w:pPr>
            <w:r>
              <w:t xml:space="preserve">0.7% (27,584)</w:t>
            </w:r>
          </w:p>
        </w:tc>
        <w:tc>
          <w:tcPr/>
          <w:p>
            <w:pPr>
              <w:pStyle w:val="Compact"/>
              <w:jc w:val="left"/>
            </w:pPr>
            <w:r>
              <w:t xml:space="preserve">19.2% (18,100)</w:t>
            </w:r>
          </w:p>
        </w:tc>
        <w:tc>
          <w:tcPr/>
          <w:p>
            <w:pPr>
              <w:pStyle w:val="Compact"/>
            </w:pPr>
          </w:p>
        </w:tc>
      </w:tr>
      <w:tr>
        <w:tc>
          <w:tcPr/>
          <w:p>
            <w:pPr>
              <w:pStyle w:val="Compact"/>
              <w:jc w:val="left"/>
            </w:pPr>
            <w:r>
              <w:t xml:space="preserve">Nicotine dependence (F17.2x), % (unweighted n)</w:t>
            </w:r>
          </w:p>
        </w:tc>
        <w:tc>
          <w:tcPr/>
          <w:p>
            <w:pPr>
              <w:pStyle w:val="Compact"/>
            </w:pPr>
          </w:p>
        </w:tc>
        <w:tc>
          <w:tcPr/>
          <w:p>
            <w:pPr>
              <w:pStyle w:val="Compact"/>
            </w:pPr>
          </w:p>
        </w:tc>
        <w:tc>
          <w:tcPr/>
          <w:p>
            <w:pPr>
              <w:pStyle w:val="Compact"/>
            </w:pPr>
          </w:p>
        </w:tc>
        <w:tc>
          <w:tcPr/>
          <w:p>
            <w:pPr>
              <w:pStyle w:val="Compact"/>
              <w:jc w:val="left"/>
            </w:pPr>
            <w:r>
              <w:t xml:space="preserve">1.148</w:t>
            </w:r>
          </w:p>
        </w:tc>
      </w:tr>
      <w:tr>
        <w:tc>
          <w:tcPr/>
          <w:p>
            <w:pPr>
              <w:pStyle w:val="Compact"/>
              <w:jc w:val="left"/>
            </w:pPr>
            <w:r>
              <w:t xml:space="preserve"> No</w:t>
            </w:r>
          </w:p>
        </w:tc>
        <w:tc>
          <w:tcPr/>
          <w:p>
            <w:pPr>
              <w:pStyle w:val="Compact"/>
              <w:jc w:val="left"/>
            </w:pPr>
            <w:r>
              <w:t xml:space="preserve">87.6% (3,319,211)</w:t>
            </w:r>
          </w:p>
        </w:tc>
        <w:tc>
          <w:tcPr/>
          <w:p>
            <w:pPr>
              <w:pStyle w:val="Compact"/>
              <w:jc w:val="left"/>
            </w:pPr>
            <w:r>
              <w:t xml:space="preserve">88.5% (3,282,050)</w:t>
            </w:r>
          </w:p>
        </w:tc>
        <w:tc>
          <w:tcPr/>
          <w:p>
            <w:pPr>
              <w:pStyle w:val="Compact"/>
              <w:jc w:val="left"/>
            </w:pPr>
            <w:r>
              <w:t xml:space="preserve">41.0% (37,161)</w:t>
            </w:r>
          </w:p>
        </w:tc>
        <w:tc>
          <w:tcPr/>
          <w:p>
            <w:pPr>
              <w:pStyle w:val="Compact"/>
            </w:pPr>
          </w:p>
        </w:tc>
      </w:tr>
      <w:tr>
        <w:tc>
          <w:tcPr/>
          <w:p>
            <w:pPr>
              <w:pStyle w:val="Compact"/>
              <w:jc w:val="left"/>
            </w:pPr>
            <w:r>
              <w:t xml:space="preserve"> Yes</w:t>
            </w:r>
          </w:p>
        </w:tc>
        <w:tc>
          <w:tcPr/>
          <w:p>
            <w:pPr>
              <w:pStyle w:val="Compact"/>
              <w:jc w:val="left"/>
            </w:pPr>
            <w:r>
              <w:t xml:space="preserve">12.4% (454,259)</w:t>
            </w:r>
          </w:p>
        </w:tc>
        <w:tc>
          <w:tcPr/>
          <w:p>
            <w:pPr>
              <w:pStyle w:val="Compact"/>
              <w:jc w:val="left"/>
            </w:pPr>
            <w:r>
              <w:t xml:space="preserve">11.5% (403,441)</w:t>
            </w:r>
          </w:p>
        </w:tc>
        <w:tc>
          <w:tcPr/>
          <w:p>
            <w:pPr>
              <w:pStyle w:val="Compact"/>
              <w:jc w:val="left"/>
            </w:pPr>
            <w:r>
              <w:t xml:space="preserve">59.0% (50,818)</w:t>
            </w:r>
          </w:p>
        </w:tc>
        <w:tc>
          <w:tcPr/>
          <w:p>
            <w:pPr>
              <w:pStyle w:val="Compact"/>
            </w:pPr>
          </w:p>
        </w:tc>
      </w:tr>
      <w:tr>
        <w:tc>
          <w:tcPr/>
          <w:p>
            <w:pPr>
              <w:pStyle w:val="Compact"/>
              <w:jc w:val="left"/>
            </w:pPr>
            <w:r>
              <w:t xml:space="preserve">Elixhauser comorbidity count, mean (SD)</w:t>
            </w:r>
          </w:p>
        </w:tc>
        <w:tc>
          <w:tcPr/>
          <w:p>
            <w:pPr>
              <w:pStyle w:val="Compact"/>
              <w:jc w:val="left"/>
            </w:pPr>
            <w:r>
              <w:t xml:space="preserve">6.1 (1.9)</w:t>
            </w:r>
          </w:p>
        </w:tc>
        <w:tc>
          <w:tcPr/>
          <w:p>
            <w:pPr>
              <w:pStyle w:val="Compact"/>
              <w:jc w:val="left"/>
            </w:pPr>
            <w:r>
              <w:t xml:space="preserve">6.2 (1.9)</w:t>
            </w:r>
          </w:p>
        </w:tc>
        <w:tc>
          <w:tcPr/>
          <w:p>
            <w:pPr>
              <w:pStyle w:val="Compact"/>
              <w:jc w:val="left"/>
            </w:pPr>
            <w:r>
              <w:t xml:space="preserve">6.0 (2.0)</w:t>
            </w:r>
          </w:p>
        </w:tc>
        <w:tc>
          <w:tcPr/>
          <w:p>
            <w:pPr>
              <w:pStyle w:val="Compact"/>
              <w:jc w:val="left"/>
            </w:pPr>
            <w:r>
              <w:t xml:space="preserve">0.068</w:t>
            </w:r>
          </w:p>
        </w:tc>
      </w:tr>
      <w:tr>
        <w:tc>
          <w:tcPr/>
          <w:p>
            <w:pPr>
              <w:pStyle w:val="Compact"/>
              <w:jc w:val="left"/>
            </w:pPr>
            <w:r>
              <w:t xml:space="preserve">Cardiac arrhythmias, % (unweighted n)</w:t>
            </w:r>
          </w:p>
        </w:tc>
        <w:tc>
          <w:tcPr/>
          <w:p>
            <w:pPr>
              <w:pStyle w:val="Compact"/>
            </w:pPr>
          </w:p>
        </w:tc>
        <w:tc>
          <w:tcPr/>
          <w:p>
            <w:pPr>
              <w:pStyle w:val="Compact"/>
            </w:pPr>
          </w:p>
        </w:tc>
        <w:tc>
          <w:tcPr/>
          <w:p>
            <w:pPr>
              <w:pStyle w:val="Compact"/>
            </w:pPr>
          </w:p>
        </w:tc>
        <w:tc>
          <w:tcPr/>
          <w:p>
            <w:pPr>
              <w:pStyle w:val="Compact"/>
              <w:jc w:val="left"/>
            </w:pPr>
            <w:r>
              <w:t xml:space="preserve">0.468</w:t>
            </w:r>
          </w:p>
        </w:tc>
      </w:tr>
      <w:tr>
        <w:tc>
          <w:tcPr/>
          <w:p>
            <w:pPr>
              <w:pStyle w:val="Compact"/>
              <w:jc w:val="left"/>
            </w:pPr>
            <w:r>
              <w:t xml:space="preserve"> No</w:t>
            </w:r>
          </w:p>
        </w:tc>
        <w:tc>
          <w:tcPr/>
          <w:p>
            <w:pPr>
              <w:pStyle w:val="Compact"/>
              <w:jc w:val="left"/>
            </w:pPr>
            <w:r>
              <w:t xml:space="preserve">42.9% (1,613,741)</w:t>
            </w:r>
          </w:p>
        </w:tc>
        <w:tc>
          <w:tcPr/>
          <w:p>
            <w:pPr>
              <w:pStyle w:val="Compact"/>
              <w:jc w:val="left"/>
            </w:pPr>
            <w:r>
              <w:t xml:space="preserve">42.5% (1,556,402)</w:t>
            </w:r>
          </w:p>
        </w:tc>
        <w:tc>
          <w:tcPr/>
          <w:p>
            <w:pPr>
              <w:pStyle w:val="Compact"/>
              <w:jc w:val="left"/>
            </w:pPr>
            <w:r>
              <w:t xml:space="preserve">65.2% (57,339)</w:t>
            </w:r>
          </w:p>
        </w:tc>
        <w:tc>
          <w:tcPr/>
          <w:p>
            <w:pPr>
              <w:pStyle w:val="Compact"/>
            </w:pPr>
          </w:p>
        </w:tc>
      </w:tr>
      <w:tr>
        <w:tc>
          <w:tcPr/>
          <w:p>
            <w:pPr>
              <w:pStyle w:val="Compact"/>
              <w:jc w:val="left"/>
            </w:pPr>
            <w:r>
              <w:t xml:space="preserve"> Yes</w:t>
            </w:r>
          </w:p>
        </w:tc>
        <w:tc>
          <w:tcPr/>
          <w:p>
            <w:pPr>
              <w:pStyle w:val="Compact"/>
              <w:jc w:val="left"/>
            </w:pPr>
            <w:r>
              <w:t xml:space="preserve">57.1% (2,159,729)</w:t>
            </w:r>
          </w:p>
        </w:tc>
        <w:tc>
          <w:tcPr/>
          <w:p>
            <w:pPr>
              <w:pStyle w:val="Compact"/>
              <w:jc w:val="left"/>
            </w:pPr>
            <w:r>
              <w:t xml:space="preserve">57.5% (2,129,089)</w:t>
            </w:r>
          </w:p>
        </w:tc>
        <w:tc>
          <w:tcPr/>
          <w:p>
            <w:pPr>
              <w:pStyle w:val="Compact"/>
              <w:jc w:val="left"/>
            </w:pPr>
            <w:r>
              <w:t xml:space="preserve">34.8% (30,640)</w:t>
            </w:r>
          </w:p>
        </w:tc>
        <w:tc>
          <w:tcPr/>
          <w:p>
            <w:pPr>
              <w:pStyle w:val="Compact"/>
            </w:pPr>
          </w:p>
        </w:tc>
      </w:tr>
      <w:tr>
        <w:tc>
          <w:tcPr/>
          <w:p>
            <w:pPr>
              <w:pStyle w:val="Compact"/>
              <w:jc w:val="left"/>
            </w:pPr>
            <w:r>
              <w:t xml:space="preserve">Valvular disease, % (unweighted n)</w:t>
            </w:r>
          </w:p>
        </w:tc>
        <w:tc>
          <w:tcPr/>
          <w:p>
            <w:pPr>
              <w:pStyle w:val="Compact"/>
            </w:pPr>
          </w:p>
        </w:tc>
        <w:tc>
          <w:tcPr/>
          <w:p>
            <w:pPr>
              <w:pStyle w:val="Compact"/>
            </w:pPr>
          </w:p>
        </w:tc>
        <w:tc>
          <w:tcPr/>
          <w:p>
            <w:pPr>
              <w:pStyle w:val="Compact"/>
            </w:pPr>
          </w:p>
        </w:tc>
        <w:tc>
          <w:tcPr/>
          <w:p>
            <w:pPr>
              <w:pStyle w:val="Compact"/>
              <w:jc w:val="left"/>
            </w:pPr>
            <w:r>
              <w:t xml:space="preserve">0.156</w:t>
            </w:r>
          </w:p>
        </w:tc>
      </w:tr>
      <w:tr>
        <w:tc>
          <w:tcPr/>
          <w:p>
            <w:pPr>
              <w:pStyle w:val="Compact"/>
              <w:jc w:val="left"/>
            </w:pPr>
            <w:r>
              <w:t xml:space="preserve"> No</w:t>
            </w:r>
          </w:p>
        </w:tc>
        <w:tc>
          <w:tcPr/>
          <w:p>
            <w:pPr>
              <w:pStyle w:val="Compact"/>
              <w:jc w:val="left"/>
            </w:pPr>
            <w:r>
              <w:t xml:space="preserve">70.2% (2,644,027)</w:t>
            </w:r>
          </w:p>
        </w:tc>
        <w:tc>
          <w:tcPr/>
          <w:p>
            <w:pPr>
              <w:pStyle w:val="Compact"/>
              <w:jc w:val="left"/>
            </w:pPr>
            <w:r>
              <w:t xml:space="preserve">70.0% (2,575,793)</w:t>
            </w:r>
          </w:p>
        </w:tc>
        <w:tc>
          <w:tcPr/>
          <w:p>
            <w:pPr>
              <w:pStyle w:val="Compact"/>
              <w:jc w:val="left"/>
            </w:pPr>
            <w:r>
              <w:t xml:space="preserve">76.9% (68,234)</w:t>
            </w:r>
          </w:p>
        </w:tc>
        <w:tc>
          <w:tcPr/>
          <w:p>
            <w:pPr>
              <w:pStyle w:val="Compact"/>
            </w:pPr>
          </w:p>
        </w:tc>
      </w:tr>
      <w:tr>
        <w:tc>
          <w:tcPr/>
          <w:p>
            <w:pPr>
              <w:pStyle w:val="Compact"/>
              <w:jc w:val="left"/>
            </w:pPr>
            <w:r>
              <w:t xml:space="preserve"> Yes</w:t>
            </w:r>
          </w:p>
        </w:tc>
        <w:tc>
          <w:tcPr/>
          <w:p>
            <w:pPr>
              <w:pStyle w:val="Compact"/>
              <w:jc w:val="left"/>
            </w:pPr>
            <w:r>
              <w:t xml:space="preserve">29.8% (1,129,443)</w:t>
            </w:r>
          </w:p>
        </w:tc>
        <w:tc>
          <w:tcPr/>
          <w:p>
            <w:pPr>
              <w:pStyle w:val="Compact"/>
              <w:jc w:val="left"/>
            </w:pPr>
            <w:r>
              <w:t xml:space="preserve">30.0% (1,109,698)</w:t>
            </w:r>
          </w:p>
        </w:tc>
        <w:tc>
          <w:tcPr/>
          <w:p>
            <w:pPr>
              <w:pStyle w:val="Compact"/>
              <w:jc w:val="left"/>
            </w:pPr>
            <w:r>
              <w:t xml:space="preserve">23.1% (19,745)</w:t>
            </w:r>
          </w:p>
        </w:tc>
        <w:tc>
          <w:tcPr/>
          <w:p>
            <w:pPr>
              <w:pStyle w:val="Compact"/>
            </w:pPr>
          </w:p>
        </w:tc>
      </w:tr>
      <w:tr>
        <w:tc>
          <w:tcPr/>
          <w:p>
            <w:pPr>
              <w:pStyle w:val="Compact"/>
              <w:jc w:val="left"/>
            </w:pPr>
            <w:r>
              <w:t xml:space="preserve">Pulmonary circulation disorders, % (unweighted n)</w:t>
            </w:r>
          </w:p>
        </w:tc>
        <w:tc>
          <w:tcPr/>
          <w:p>
            <w:pPr>
              <w:pStyle w:val="Compact"/>
            </w:pPr>
          </w:p>
        </w:tc>
        <w:tc>
          <w:tcPr/>
          <w:p>
            <w:pPr>
              <w:pStyle w:val="Compact"/>
            </w:pPr>
          </w:p>
        </w:tc>
        <w:tc>
          <w:tcPr/>
          <w:p>
            <w:pPr>
              <w:pStyle w:val="Compact"/>
            </w:pPr>
          </w:p>
        </w:tc>
        <w:tc>
          <w:tcPr/>
          <w:p>
            <w:pPr>
              <w:pStyle w:val="Compact"/>
              <w:jc w:val="left"/>
            </w:pPr>
            <w:r>
              <w:t xml:space="preserve">0.071</w:t>
            </w:r>
          </w:p>
        </w:tc>
      </w:tr>
      <w:tr>
        <w:tc>
          <w:tcPr/>
          <w:p>
            <w:pPr>
              <w:pStyle w:val="Compact"/>
              <w:jc w:val="left"/>
            </w:pPr>
            <w:r>
              <w:t xml:space="preserve"> No</w:t>
            </w:r>
          </w:p>
        </w:tc>
        <w:tc>
          <w:tcPr/>
          <w:p>
            <w:pPr>
              <w:pStyle w:val="Compact"/>
              <w:jc w:val="left"/>
            </w:pPr>
            <w:r>
              <w:t xml:space="preserve">76.0% (2,875,658)</w:t>
            </w:r>
          </w:p>
        </w:tc>
        <w:tc>
          <w:tcPr/>
          <w:p>
            <w:pPr>
              <w:pStyle w:val="Compact"/>
              <w:jc w:val="left"/>
            </w:pPr>
            <w:r>
              <w:t xml:space="preserve">75.9% (2,806,335)</w:t>
            </w:r>
          </w:p>
        </w:tc>
        <w:tc>
          <w:tcPr/>
          <w:p>
            <w:pPr>
              <w:pStyle w:val="Compact"/>
              <w:jc w:val="left"/>
            </w:pPr>
            <w:r>
              <w:t xml:space="preserve">78.9% (69,323)</w:t>
            </w:r>
          </w:p>
        </w:tc>
        <w:tc>
          <w:tcPr/>
          <w:p>
            <w:pPr>
              <w:pStyle w:val="Compact"/>
            </w:pPr>
          </w:p>
        </w:tc>
      </w:tr>
      <w:tr>
        <w:tc>
          <w:tcPr/>
          <w:p>
            <w:pPr>
              <w:pStyle w:val="Compact"/>
              <w:jc w:val="left"/>
            </w:pPr>
            <w:r>
              <w:t xml:space="preserve"> Yes</w:t>
            </w:r>
          </w:p>
        </w:tc>
        <w:tc>
          <w:tcPr/>
          <w:p>
            <w:pPr>
              <w:pStyle w:val="Compact"/>
              <w:jc w:val="left"/>
            </w:pPr>
            <w:r>
              <w:t xml:space="preserve">24.0% (897,812)</w:t>
            </w:r>
          </w:p>
        </w:tc>
        <w:tc>
          <w:tcPr/>
          <w:p>
            <w:pPr>
              <w:pStyle w:val="Compact"/>
              <w:jc w:val="left"/>
            </w:pPr>
            <w:r>
              <w:t xml:space="preserve">24.1% (879,156)</w:t>
            </w:r>
          </w:p>
        </w:tc>
        <w:tc>
          <w:tcPr/>
          <w:p>
            <w:pPr>
              <w:pStyle w:val="Compact"/>
              <w:jc w:val="left"/>
            </w:pPr>
            <w:r>
              <w:t xml:space="preserve">21.1% (18,656)</w:t>
            </w:r>
          </w:p>
        </w:tc>
        <w:tc>
          <w:tcPr/>
          <w:p>
            <w:pPr>
              <w:pStyle w:val="Compact"/>
            </w:pPr>
          </w:p>
        </w:tc>
      </w:tr>
      <w:tr>
        <w:tc>
          <w:tcPr/>
          <w:p>
            <w:pPr>
              <w:pStyle w:val="Compact"/>
              <w:jc w:val="left"/>
            </w:pPr>
            <w:r>
              <w:t xml:space="preserve">Peripheral vascular disorders, % (unweighted n)</w:t>
            </w:r>
          </w:p>
        </w:tc>
        <w:tc>
          <w:tcPr/>
          <w:p>
            <w:pPr>
              <w:pStyle w:val="Compact"/>
            </w:pPr>
          </w:p>
        </w:tc>
        <w:tc>
          <w:tcPr/>
          <w:p>
            <w:pPr>
              <w:pStyle w:val="Compact"/>
            </w:pPr>
          </w:p>
        </w:tc>
        <w:tc>
          <w:tcPr/>
          <w:p>
            <w:pPr>
              <w:pStyle w:val="Compact"/>
            </w:pPr>
          </w:p>
        </w:tc>
        <w:tc>
          <w:tcPr/>
          <w:p>
            <w:pPr>
              <w:pStyle w:val="Compact"/>
              <w:jc w:val="left"/>
            </w:pPr>
            <w:r>
              <w:t xml:space="preserve">0.235</w:t>
            </w:r>
          </w:p>
        </w:tc>
      </w:tr>
      <w:tr>
        <w:tc>
          <w:tcPr/>
          <w:p>
            <w:pPr>
              <w:pStyle w:val="Compact"/>
              <w:jc w:val="left"/>
            </w:pPr>
            <w:r>
              <w:t xml:space="preserve"> No</w:t>
            </w:r>
          </w:p>
        </w:tc>
        <w:tc>
          <w:tcPr/>
          <w:p>
            <w:pPr>
              <w:pStyle w:val="Compact"/>
              <w:jc w:val="left"/>
            </w:pPr>
            <w:r>
              <w:t xml:space="preserve">81.3% (3,064,314)</w:t>
            </w:r>
          </w:p>
        </w:tc>
        <w:tc>
          <w:tcPr/>
          <w:p>
            <w:pPr>
              <w:pStyle w:val="Compact"/>
              <w:jc w:val="left"/>
            </w:pPr>
            <w:r>
              <w:t xml:space="preserve">81.1% (2,985,533)</w:t>
            </w:r>
          </w:p>
        </w:tc>
        <w:tc>
          <w:tcPr/>
          <w:p>
            <w:pPr>
              <w:pStyle w:val="Compact"/>
              <w:jc w:val="left"/>
            </w:pPr>
            <w:r>
              <w:t xml:space="preserve">89.4% (78,781)</w:t>
            </w:r>
          </w:p>
        </w:tc>
        <w:tc>
          <w:tcPr/>
          <w:p>
            <w:pPr>
              <w:pStyle w:val="Compact"/>
            </w:pPr>
          </w:p>
        </w:tc>
      </w:tr>
      <w:tr>
        <w:tc>
          <w:tcPr/>
          <w:p>
            <w:pPr>
              <w:pStyle w:val="Compact"/>
              <w:jc w:val="left"/>
            </w:pPr>
            <w:r>
              <w:t xml:space="preserve"> Yes</w:t>
            </w:r>
          </w:p>
        </w:tc>
        <w:tc>
          <w:tcPr/>
          <w:p>
            <w:pPr>
              <w:pStyle w:val="Compact"/>
              <w:jc w:val="left"/>
            </w:pPr>
            <w:r>
              <w:t xml:space="preserve">18.7% (709,156)</w:t>
            </w:r>
          </w:p>
        </w:tc>
        <w:tc>
          <w:tcPr/>
          <w:p>
            <w:pPr>
              <w:pStyle w:val="Compact"/>
              <w:jc w:val="left"/>
            </w:pPr>
            <w:r>
              <w:t xml:space="preserve">18.9% (699,958)</w:t>
            </w:r>
          </w:p>
        </w:tc>
        <w:tc>
          <w:tcPr/>
          <w:p>
            <w:pPr>
              <w:pStyle w:val="Compact"/>
              <w:jc w:val="left"/>
            </w:pPr>
            <w:r>
              <w:t xml:space="preserve">10.6% (9,198)</w:t>
            </w:r>
          </w:p>
        </w:tc>
        <w:tc>
          <w:tcPr/>
          <w:p>
            <w:pPr>
              <w:pStyle w:val="Compact"/>
            </w:pPr>
          </w:p>
        </w:tc>
      </w:tr>
      <w:tr>
        <w:tc>
          <w:tcPr/>
          <w:p>
            <w:pPr>
              <w:pStyle w:val="Compact"/>
              <w:jc w:val="left"/>
            </w:pPr>
            <w:r>
              <w:t xml:space="preserve">Hypertension, uncomplicated, % (unweighted n)</w:t>
            </w:r>
          </w:p>
        </w:tc>
        <w:tc>
          <w:tcPr/>
          <w:p>
            <w:pPr>
              <w:pStyle w:val="Compact"/>
            </w:pPr>
          </w:p>
        </w:tc>
        <w:tc>
          <w:tcPr/>
          <w:p>
            <w:pPr>
              <w:pStyle w:val="Compact"/>
            </w:pPr>
          </w:p>
        </w:tc>
        <w:tc>
          <w:tcPr/>
          <w:p>
            <w:pPr>
              <w:pStyle w:val="Compact"/>
            </w:pPr>
          </w:p>
        </w:tc>
        <w:tc>
          <w:tcPr/>
          <w:p>
            <w:pPr>
              <w:pStyle w:val="Compact"/>
              <w:jc w:val="left"/>
            </w:pPr>
            <w:r>
              <w:t xml:space="preserve">0.021</w:t>
            </w:r>
          </w:p>
        </w:tc>
      </w:tr>
      <w:tr>
        <w:tc>
          <w:tcPr/>
          <w:p>
            <w:pPr>
              <w:pStyle w:val="Compact"/>
              <w:jc w:val="left"/>
            </w:pPr>
            <w:r>
              <w:t xml:space="preserve"> No</w:t>
            </w:r>
          </w:p>
        </w:tc>
        <w:tc>
          <w:tcPr/>
          <w:p>
            <w:pPr>
              <w:pStyle w:val="Compact"/>
              <w:jc w:val="left"/>
            </w:pPr>
            <w:r>
              <w:t xml:space="preserve">94.3% (3,564,143)</w:t>
            </w:r>
          </w:p>
        </w:tc>
        <w:tc>
          <w:tcPr/>
          <w:p>
            <w:pPr>
              <w:pStyle w:val="Compact"/>
              <w:jc w:val="left"/>
            </w:pPr>
            <w:r>
              <w:t xml:space="preserve">94.3% (3,480,753)</w:t>
            </w:r>
          </w:p>
        </w:tc>
        <w:tc>
          <w:tcPr/>
          <w:p>
            <w:pPr>
              <w:pStyle w:val="Compact"/>
              <w:jc w:val="left"/>
            </w:pPr>
            <w:r>
              <w:t xml:space="preserve">94.7% (83,390)</w:t>
            </w:r>
          </w:p>
        </w:tc>
        <w:tc>
          <w:tcPr/>
          <w:p>
            <w:pPr>
              <w:pStyle w:val="Compact"/>
            </w:pPr>
          </w:p>
        </w:tc>
      </w:tr>
      <w:tr>
        <w:tc>
          <w:tcPr/>
          <w:p>
            <w:pPr>
              <w:pStyle w:val="Compact"/>
              <w:jc w:val="left"/>
            </w:pPr>
            <w:r>
              <w:t xml:space="preserve"> Yes</w:t>
            </w:r>
          </w:p>
        </w:tc>
        <w:tc>
          <w:tcPr/>
          <w:p>
            <w:pPr>
              <w:pStyle w:val="Compact"/>
              <w:jc w:val="left"/>
            </w:pPr>
            <w:r>
              <w:t xml:space="preserve">5.7% (209,327)</w:t>
            </w:r>
          </w:p>
        </w:tc>
        <w:tc>
          <w:tcPr/>
          <w:p>
            <w:pPr>
              <w:pStyle w:val="Compact"/>
              <w:jc w:val="left"/>
            </w:pPr>
            <w:r>
              <w:t xml:space="preserve">5.7% (204,738)</w:t>
            </w:r>
          </w:p>
        </w:tc>
        <w:tc>
          <w:tcPr/>
          <w:p>
            <w:pPr>
              <w:pStyle w:val="Compact"/>
              <w:jc w:val="left"/>
            </w:pPr>
            <w:r>
              <w:t xml:space="preserve">5.3% (4,589)</w:t>
            </w:r>
          </w:p>
        </w:tc>
        <w:tc>
          <w:tcPr/>
          <w:p>
            <w:pPr>
              <w:pStyle w:val="Compact"/>
            </w:pPr>
          </w:p>
        </w:tc>
      </w:tr>
      <w:tr>
        <w:tc>
          <w:tcPr/>
          <w:p>
            <w:pPr>
              <w:pStyle w:val="Compact"/>
              <w:jc w:val="left"/>
            </w:pPr>
            <w:r>
              <w:t xml:space="preserve">Hypertension, complicated, % (unweighted n)</w:t>
            </w:r>
          </w:p>
        </w:tc>
        <w:tc>
          <w:tcPr/>
          <w:p>
            <w:pPr>
              <w:pStyle w:val="Compact"/>
            </w:pPr>
          </w:p>
        </w:tc>
        <w:tc>
          <w:tcPr/>
          <w:p>
            <w:pPr>
              <w:pStyle w:val="Compact"/>
            </w:pPr>
          </w:p>
        </w:tc>
        <w:tc>
          <w:tcPr/>
          <w:p>
            <w:pPr>
              <w:pStyle w:val="Compact"/>
            </w:pPr>
          </w:p>
        </w:tc>
        <w:tc>
          <w:tcPr/>
          <w:p>
            <w:pPr>
              <w:pStyle w:val="Compact"/>
              <w:jc w:val="left"/>
            </w:pPr>
            <w:r>
              <w:t xml:space="preserve">0.315</w:t>
            </w:r>
          </w:p>
        </w:tc>
      </w:tr>
      <w:tr>
        <w:tc>
          <w:tcPr/>
          <w:p>
            <w:pPr>
              <w:pStyle w:val="Compact"/>
              <w:jc w:val="left"/>
            </w:pPr>
            <w:r>
              <w:t xml:space="preserve"> No</w:t>
            </w:r>
          </w:p>
        </w:tc>
        <w:tc>
          <w:tcPr/>
          <w:p>
            <w:pPr>
              <w:pStyle w:val="Compact"/>
              <w:jc w:val="left"/>
            </w:pPr>
            <w:r>
              <w:t xml:space="preserve">12.5% (465,988)</w:t>
            </w:r>
          </w:p>
        </w:tc>
        <w:tc>
          <w:tcPr/>
          <w:p>
            <w:pPr>
              <w:pStyle w:val="Compact"/>
              <w:jc w:val="left"/>
            </w:pPr>
            <w:r>
              <w:t xml:space="preserve">12.3% (444,603)</w:t>
            </w:r>
          </w:p>
        </w:tc>
        <w:tc>
          <w:tcPr/>
          <w:p>
            <w:pPr>
              <w:pStyle w:val="Compact"/>
              <w:jc w:val="left"/>
            </w:pPr>
            <w:r>
              <w:t xml:space="preserve">24.3% (21,385)</w:t>
            </w:r>
          </w:p>
        </w:tc>
        <w:tc>
          <w:tcPr/>
          <w:p>
            <w:pPr>
              <w:pStyle w:val="Compact"/>
            </w:pPr>
          </w:p>
        </w:tc>
      </w:tr>
      <w:tr>
        <w:tc>
          <w:tcPr/>
          <w:p>
            <w:pPr>
              <w:pStyle w:val="Compact"/>
              <w:jc w:val="left"/>
            </w:pPr>
            <w:r>
              <w:t xml:space="preserve"> Yes</w:t>
            </w:r>
          </w:p>
        </w:tc>
        <w:tc>
          <w:tcPr/>
          <w:p>
            <w:pPr>
              <w:pStyle w:val="Compact"/>
              <w:jc w:val="left"/>
            </w:pPr>
            <w:r>
              <w:t xml:space="preserve">87.5% (3,307,482)</w:t>
            </w:r>
          </w:p>
        </w:tc>
        <w:tc>
          <w:tcPr/>
          <w:p>
            <w:pPr>
              <w:pStyle w:val="Compact"/>
              <w:jc w:val="left"/>
            </w:pPr>
            <w:r>
              <w:t xml:space="preserve">87.7% (3,240,888)</w:t>
            </w:r>
          </w:p>
        </w:tc>
        <w:tc>
          <w:tcPr/>
          <w:p>
            <w:pPr>
              <w:pStyle w:val="Compact"/>
              <w:jc w:val="left"/>
            </w:pPr>
            <w:r>
              <w:t xml:space="preserve">75.7% (66,594)</w:t>
            </w:r>
          </w:p>
        </w:tc>
        <w:tc>
          <w:tcPr/>
          <w:p>
            <w:pPr>
              <w:pStyle w:val="Compact"/>
            </w:pPr>
          </w:p>
        </w:tc>
      </w:tr>
      <w:tr>
        <w:tc>
          <w:tcPr/>
          <w:p>
            <w:pPr>
              <w:pStyle w:val="Compact"/>
              <w:jc w:val="left"/>
            </w:pPr>
            <w:r>
              <w:t xml:space="preserve">Other neurological disorders, % (unweighted n)</w:t>
            </w:r>
          </w:p>
        </w:tc>
        <w:tc>
          <w:tcPr/>
          <w:p>
            <w:pPr>
              <w:pStyle w:val="Compact"/>
            </w:pPr>
          </w:p>
        </w:tc>
        <w:tc>
          <w:tcPr/>
          <w:p>
            <w:pPr>
              <w:pStyle w:val="Compact"/>
            </w:pPr>
          </w:p>
        </w:tc>
        <w:tc>
          <w:tcPr/>
          <w:p>
            <w:pPr>
              <w:pStyle w:val="Compact"/>
            </w:pPr>
          </w:p>
        </w:tc>
        <w:tc>
          <w:tcPr/>
          <w:p>
            <w:pPr>
              <w:pStyle w:val="Compact"/>
              <w:jc w:val="left"/>
            </w:pPr>
            <w:r>
              <w:t xml:space="preserve">0.072</w:t>
            </w:r>
          </w:p>
        </w:tc>
      </w:tr>
      <w:tr>
        <w:tc>
          <w:tcPr/>
          <w:p>
            <w:pPr>
              <w:pStyle w:val="Compact"/>
              <w:jc w:val="left"/>
            </w:pPr>
            <w:r>
              <w:t xml:space="preserve"> No</w:t>
            </w:r>
          </w:p>
        </w:tc>
        <w:tc>
          <w:tcPr/>
          <w:p>
            <w:pPr>
              <w:pStyle w:val="Compact"/>
              <w:jc w:val="left"/>
            </w:pPr>
            <w:r>
              <w:t xml:space="preserve">92.0% (3,472,624)</w:t>
            </w:r>
          </w:p>
        </w:tc>
        <w:tc>
          <w:tcPr/>
          <w:p>
            <w:pPr>
              <w:pStyle w:val="Compact"/>
              <w:jc w:val="left"/>
            </w:pPr>
            <w:r>
              <w:t xml:space="preserve">92.0% (3,390,011)</w:t>
            </w:r>
          </w:p>
        </w:tc>
        <w:tc>
          <w:tcPr/>
          <w:p>
            <w:pPr>
              <w:pStyle w:val="Compact"/>
              <w:jc w:val="left"/>
            </w:pPr>
            <w:r>
              <w:t xml:space="preserve">93.8% (82,613)</w:t>
            </w:r>
          </w:p>
        </w:tc>
        <w:tc>
          <w:tcPr/>
          <w:p>
            <w:pPr>
              <w:pStyle w:val="Compact"/>
            </w:pPr>
          </w:p>
        </w:tc>
      </w:tr>
      <w:tr>
        <w:tc>
          <w:tcPr/>
          <w:p>
            <w:pPr>
              <w:pStyle w:val="Compact"/>
              <w:jc w:val="left"/>
            </w:pPr>
            <w:r>
              <w:t xml:space="preserve"> Yes</w:t>
            </w:r>
          </w:p>
        </w:tc>
        <w:tc>
          <w:tcPr/>
          <w:p>
            <w:pPr>
              <w:pStyle w:val="Compact"/>
              <w:jc w:val="left"/>
            </w:pPr>
            <w:r>
              <w:t xml:space="preserve">8.0% (300,846)</w:t>
            </w:r>
          </w:p>
        </w:tc>
        <w:tc>
          <w:tcPr/>
          <w:p>
            <w:pPr>
              <w:pStyle w:val="Compact"/>
              <w:jc w:val="left"/>
            </w:pPr>
            <w:r>
              <w:t xml:space="preserve">8.0% (295,480)</w:t>
            </w:r>
          </w:p>
        </w:tc>
        <w:tc>
          <w:tcPr/>
          <w:p>
            <w:pPr>
              <w:pStyle w:val="Compact"/>
              <w:jc w:val="left"/>
            </w:pPr>
            <w:r>
              <w:t xml:space="preserve">6.2% (5,366)</w:t>
            </w:r>
          </w:p>
        </w:tc>
        <w:tc>
          <w:tcPr/>
          <w:p>
            <w:pPr>
              <w:pStyle w:val="Compact"/>
            </w:pPr>
          </w:p>
        </w:tc>
      </w:tr>
      <w:tr>
        <w:tc>
          <w:tcPr/>
          <w:p>
            <w:pPr>
              <w:pStyle w:val="Compact"/>
              <w:jc w:val="left"/>
            </w:pPr>
            <w:r>
              <w:t xml:space="preserve">Chronic pulmonary disease, % (unweighted n)</w:t>
            </w:r>
          </w:p>
        </w:tc>
        <w:tc>
          <w:tcPr/>
          <w:p>
            <w:pPr>
              <w:pStyle w:val="Compact"/>
            </w:pPr>
          </w:p>
        </w:tc>
        <w:tc>
          <w:tcPr/>
          <w:p>
            <w:pPr>
              <w:pStyle w:val="Compact"/>
            </w:pPr>
          </w:p>
        </w:tc>
        <w:tc>
          <w:tcPr/>
          <w:p>
            <w:pPr>
              <w:pStyle w:val="Compact"/>
            </w:pPr>
          </w:p>
        </w:tc>
        <w:tc>
          <w:tcPr/>
          <w:p>
            <w:pPr>
              <w:pStyle w:val="Compact"/>
              <w:jc w:val="left"/>
            </w:pPr>
            <w:r>
              <w:t xml:space="preserve">0.030</w:t>
            </w:r>
          </w:p>
        </w:tc>
      </w:tr>
      <w:tr>
        <w:tc>
          <w:tcPr/>
          <w:p>
            <w:pPr>
              <w:pStyle w:val="Compact"/>
              <w:jc w:val="left"/>
            </w:pPr>
            <w:r>
              <w:t xml:space="preserve"> No</w:t>
            </w:r>
          </w:p>
        </w:tc>
        <w:tc>
          <w:tcPr/>
          <w:p>
            <w:pPr>
              <w:pStyle w:val="Compact"/>
              <w:jc w:val="left"/>
            </w:pPr>
            <w:r>
              <w:t xml:space="preserve">60.0% (2,282,671)</w:t>
            </w:r>
          </w:p>
        </w:tc>
        <w:tc>
          <w:tcPr/>
          <w:p>
            <w:pPr>
              <w:pStyle w:val="Compact"/>
              <w:jc w:val="left"/>
            </w:pPr>
            <w:r>
              <w:t xml:space="preserve">59.9% (2,228,769)</w:t>
            </w:r>
          </w:p>
        </w:tc>
        <w:tc>
          <w:tcPr/>
          <w:p>
            <w:pPr>
              <w:pStyle w:val="Compact"/>
              <w:jc w:val="left"/>
            </w:pPr>
            <w:r>
              <w:t xml:space="preserve">61.4% (53,902)</w:t>
            </w:r>
          </w:p>
        </w:tc>
        <w:tc>
          <w:tcPr/>
          <w:p>
            <w:pPr>
              <w:pStyle w:val="Compact"/>
            </w:pPr>
          </w:p>
        </w:tc>
      </w:tr>
      <w:tr>
        <w:tc>
          <w:tcPr/>
          <w:p>
            <w:pPr>
              <w:pStyle w:val="Compact"/>
              <w:jc w:val="left"/>
            </w:pPr>
            <w:r>
              <w:t xml:space="preserve"> Yes</w:t>
            </w:r>
          </w:p>
        </w:tc>
        <w:tc>
          <w:tcPr/>
          <w:p>
            <w:pPr>
              <w:pStyle w:val="Compact"/>
              <w:jc w:val="left"/>
            </w:pPr>
            <w:r>
              <w:t xml:space="preserve">40.0% (1,490,799)</w:t>
            </w:r>
          </w:p>
        </w:tc>
        <w:tc>
          <w:tcPr/>
          <w:p>
            <w:pPr>
              <w:pStyle w:val="Compact"/>
              <w:jc w:val="left"/>
            </w:pPr>
            <w:r>
              <w:t xml:space="preserve">40.1% (1,456,722)</w:t>
            </w:r>
          </w:p>
        </w:tc>
        <w:tc>
          <w:tcPr/>
          <w:p>
            <w:pPr>
              <w:pStyle w:val="Compact"/>
              <w:jc w:val="left"/>
            </w:pPr>
            <w:r>
              <w:t xml:space="preserve">38.6% (34,077)</w:t>
            </w:r>
          </w:p>
        </w:tc>
        <w:tc>
          <w:tcPr/>
          <w:p>
            <w:pPr>
              <w:pStyle w:val="Compact"/>
            </w:pPr>
          </w:p>
        </w:tc>
      </w:tr>
      <w:tr>
        <w:tc>
          <w:tcPr/>
          <w:p>
            <w:pPr>
              <w:pStyle w:val="Compact"/>
              <w:jc w:val="left"/>
            </w:pPr>
            <w:r>
              <w:t xml:space="preserve">Diabetes, uncomplicated, % (unweighted n)</w:t>
            </w:r>
          </w:p>
        </w:tc>
        <w:tc>
          <w:tcPr/>
          <w:p>
            <w:pPr>
              <w:pStyle w:val="Compact"/>
            </w:pPr>
          </w:p>
        </w:tc>
        <w:tc>
          <w:tcPr/>
          <w:p>
            <w:pPr>
              <w:pStyle w:val="Compact"/>
            </w:pPr>
          </w:p>
        </w:tc>
        <w:tc>
          <w:tcPr/>
          <w:p>
            <w:pPr>
              <w:pStyle w:val="Compact"/>
            </w:pPr>
          </w:p>
        </w:tc>
        <w:tc>
          <w:tcPr/>
          <w:p>
            <w:pPr>
              <w:pStyle w:val="Compact"/>
              <w:jc w:val="left"/>
            </w:pPr>
            <w:r>
              <w:t xml:space="preserve">0.054</w:t>
            </w:r>
          </w:p>
        </w:tc>
      </w:tr>
      <w:tr>
        <w:tc>
          <w:tcPr/>
          <w:p>
            <w:pPr>
              <w:pStyle w:val="Compact"/>
              <w:jc w:val="left"/>
            </w:pPr>
            <w:r>
              <w:t xml:space="preserve"> No</w:t>
            </w:r>
          </w:p>
        </w:tc>
        <w:tc>
          <w:tcPr/>
          <w:p>
            <w:pPr>
              <w:pStyle w:val="Compact"/>
              <w:jc w:val="left"/>
            </w:pPr>
            <w:r>
              <w:t xml:space="preserve">87.0% (3,283,468)</w:t>
            </w:r>
          </w:p>
        </w:tc>
        <w:tc>
          <w:tcPr/>
          <w:p>
            <w:pPr>
              <w:pStyle w:val="Compact"/>
              <w:jc w:val="left"/>
            </w:pPr>
            <w:r>
              <w:t xml:space="preserve">87.0% (3,205,570)</w:t>
            </w:r>
          </w:p>
        </w:tc>
        <w:tc>
          <w:tcPr/>
          <w:p>
            <w:pPr>
              <w:pStyle w:val="Compact"/>
              <w:jc w:val="left"/>
            </w:pPr>
            <w:r>
              <w:t xml:space="preserve">88.8% (77,898)</w:t>
            </w:r>
          </w:p>
        </w:tc>
        <w:tc>
          <w:tcPr/>
          <w:p>
            <w:pPr>
              <w:pStyle w:val="Compact"/>
            </w:pPr>
          </w:p>
        </w:tc>
      </w:tr>
      <w:tr>
        <w:tc>
          <w:tcPr/>
          <w:p>
            <w:pPr>
              <w:pStyle w:val="Compact"/>
              <w:jc w:val="left"/>
            </w:pPr>
            <w:r>
              <w:t xml:space="preserve"> Yes</w:t>
            </w:r>
          </w:p>
        </w:tc>
        <w:tc>
          <w:tcPr/>
          <w:p>
            <w:pPr>
              <w:pStyle w:val="Compact"/>
              <w:jc w:val="left"/>
            </w:pPr>
            <w:r>
              <w:t xml:space="preserve">13.0% (490,002)</w:t>
            </w:r>
          </w:p>
        </w:tc>
        <w:tc>
          <w:tcPr/>
          <w:p>
            <w:pPr>
              <w:pStyle w:val="Compact"/>
              <w:jc w:val="left"/>
            </w:pPr>
            <w:r>
              <w:t xml:space="preserve">13.0% (479,921)</w:t>
            </w:r>
          </w:p>
        </w:tc>
        <w:tc>
          <w:tcPr/>
          <w:p>
            <w:pPr>
              <w:pStyle w:val="Compact"/>
              <w:jc w:val="left"/>
            </w:pPr>
            <w:r>
              <w:t xml:space="preserve">11.2% (10,081)</w:t>
            </w:r>
          </w:p>
        </w:tc>
        <w:tc>
          <w:tcPr/>
          <w:p>
            <w:pPr>
              <w:pStyle w:val="Compact"/>
            </w:pPr>
          </w:p>
        </w:tc>
      </w:tr>
      <w:tr>
        <w:tc>
          <w:tcPr/>
          <w:p>
            <w:pPr>
              <w:pStyle w:val="Compact"/>
              <w:jc w:val="left"/>
            </w:pPr>
            <w:r>
              <w:t xml:space="preserve">Diabetes, complicated, % (unweighted n)</w:t>
            </w:r>
          </w:p>
        </w:tc>
        <w:tc>
          <w:tcPr/>
          <w:p>
            <w:pPr>
              <w:pStyle w:val="Compact"/>
            </w:pPr>
          </w:p>
        </w:tc>
        <w:tc>
          <w:tcPr/>
          <w:p>
            <w:pPr>
              <w:pStyle w:val="Compact"/>
            </w:pPr>
          </w:p>
        </w:tc>
        <w:tc>
          <w:tcPr/>
          <w:p>
            <w:pPr>
              <w:pStyle w:val="Compact"/>
            </w:pPr>
          </w:p>
        </w:tc>
        <w:tc>
          <w:tcPr/>
          <w:p>
            <w:pPr>
              <w:pStyle w:val="Compact"/>
              <w:jc w:val="left"/>
            </w:pPr>
            <w:r>
              <w:t xml:space="preserve">0.456</w:t>
            </w:r>
          </w:p>
        </w:tc>
      </w:tr>
      <w:tr>
        <w:tc>
          <w:tcPr/>
          <w:p>
            <w:pPr>
              <w:pStyle w:val="Compact"/>
              <w:jc w:val="left"/>
            </w:pPr>
            <w:r>
              <w:t xml:space="preserve"> No</w:t>
            </w:r>
          </w:p>
        </w:tc>
        <w:tc>
          <w:tcPr/>
          <w:p>
            <w:pPr>
              <w:pStyle w:val="Compact"/>
              <w:jc w:val="left"/>
            </w:pPr>
            <w:r>
              <w:t xml:space="preserve">61.9% (2,340,111)</w:t>
            </w:r>
          </w:p>
        </w:tc>
        <w:tc>
          <w:tcPr/>
          <w:p>
            <w:pPr>
              <w:pStyle w:val="Compact"/>
              <w:jc w:val="left"/>
            </w:pPr>
            <w:r>
              <w:t xml:space="preserve">61.5% (2,268,454)</w:t>
            </w:r>
          </w:p>
        </w:tc>
        <w:tc>
          <w:tcPr/>
          <w:p>
            <w:pPr>
              <w:pStyle w:val="Compact"/>
              <w:jc w:val="left"/>
            </w:pPr>
            <w:r>
              <w:t xml:space="preserve">81.5% (71,657)</w:t>
            </w:r>
          </w:p>
        </w:tc>
        <w:tc>
          <w:tcPr/>
          <w:p>
            <w:pPr>
              <w:pStyle w:val="Compact"/>
            </w:pPr>
          </w:p>
        </w:tc>
      </w:tr>
      <w:tr>
        <w:tc>
          <w:tcPr/>
          <w:p>
            <w:pPr>
              <w:pStyle w:val="Compact"/>
              <w:jc w:val="left"/>
            </w:pPr>
            <w:r>
              <w:t xml:space="preserve"> Yes</w:t>
            </w:r>
          </w:p>
        </w:tc>
        <w:tc>
          <w:tcPr/>
          <w:p>
            <w:pPr>
              <w:pStyle w:val="Compact"/>
              <w:jc w:val="left"/>
            </w:pPr>
            <w:r>
              <w:t xml:space="preserve">38.1% (1,433,359)</w:t>
            </w:r>
          </w:p>
        </w:tc>
        <w:tc>
          <w:tcPr/>
          <w:p>
            <w:pPr>
              <w:pStyle w:val="Compact"/>
              <w:jc w:val="left"/>
            </w:pPr>
            <w:r>
              <w:t xml:space="preserve">38.5% (1,417,037)</w:t>
            </w:r>
          </w:p>
        </w:tc>
        <w:tc>
          <w:tcPr/>
          <w:p>
            <w:pPr>
              <w:pStyle w:val="Compact"/>
              <w:jc w:val="left"/>
            </w:pPr>
            <w:r>
              <w:t xml:space="preserve">18.5% (16,322)</w:t>
            </w:r>
          </w:p>
        </w:tc>
        <w:tc>
          <w:tcPr/>
          <w:p>
            <w:pPr>
              <w:pStyle w:val="Compact"/>
            </w:pPr>
          </w:p>
        </w:tc>
      </w:tr>
      <w:tr>
        <w:tc>
          <w:tcPr/>
          <w:p>
            <w:pPr>
              <w:pStyle w:val="Compact"/>
              <w:jc w:val="left"/>
            </w:pPr>
            <w:r>
              <w:t xml:space="preserve">Renal failure, % (unweighted n)</w:t>
            </w:r>
          </w:p>
        </w:tc>
        <w:tc>
          <w:tcPr/>
          <w:p>
            <w:pPr>
              <w:pStyle w:val="Compact"/>
            </w:pPr>
          </w:p>
        </w:tc>
        <w:tc>
          <w:tcPr/>
          <w:p>
            <w:pPr>
              <w:pStyle w:val="Compact"/>
            </w:pPr>
          </w:p>
        </w:tc>
        <w:tc>
          <w:tcPr/>
          <w:p>
            <w:pPr>
              <w:pStyle w:val="Compact"/>
            </w:pPr>
          </w:p>
        </w:tc>
        <w:tc>
          <w:tcPr/>
          <w:p>
            <w:pPr>
              <w:pStyle w:val="Compact"/>
              <w:jc w:val="left"/>
            </w:pPr>
            <w:r>
              <w:t xml:space="preserve">0.520</w:t>
            </w:r>
          </w:p>
        </w:tc>
      </w:tr>
      <w:tr>
        <w:tc>
          <w:tcPr/>
          <w:p>
            <w:pPr>
              <w:pStyle w:val="Compact"/>
              <w:jc w:val="left"/>
            </w:pPr>
            <w:r>
              <w:t xml:space="preserve"> No</w:t>
            </w:r>
          </w:p>
        </w:tc>
        <w:tc>
          <w:tcPr/>
          <w:p>
            <w:pPr>
              <w:pStyle w:val="Compact"/>
              <w:jc w:val="left"/>
            </w:pPr>
            <w:r>
              <w:t xml:space="preserve">46.0% (1,740,718)</w:t>
            </w:r>
          </w:p>
        </w:tc>
        <w:tc>
          <w:tcPr/>
          <w:p>
            <w:pPr>
              <w:pStyle w:val="Compact"/>
              <w:jc w:val="left"/>
            </w:pPr>
            <w:r>
              <w:t xml:space="preserve">45.5% (1,679,242)</w:t>
            </w:r>
          </w:p>
        </w:tc>
        <w:tc>
          <w:tcPr/>
          <w:p>
            <w:pPr>
              <w:pStyle w:val="Compact"/>
              <w:jc w:val="left"/>
            </w:pPr>
            <w:r>
              <w:t xml:space="preserve">70.3% (61,476)</w:t>
            </w:r>
          </w:p>
        </w:tc>
        <w:tc>
          <w:tcPr/>
          <w:p>
            <w:pPr>
              <w:pStyle w:val="Compact"/>
            </w:pPr>
          </w:p>
        </w:tc>
      </w:tr>
      <w:tr>
        <w:tc>
          <w:tcPr/>
          <w:p>
            <w:pPr>
              <w:pStyle w:val="Compact"/>
              <w:jc w:val="left"/>
            </w:pPr>
            <w:r>
              <w:t xml:space="preserve"> Yes</w:t>
            </w:r>
          </w:p>
        </w:tc>
        <w:tc>
          <w:tcPr/>
          <w:p>
            <w:pPr>
              <w:pStyle w:val="Compact"/>
              <w:jc w:val="left"/>
            </w:pPr>
            <w:r>
              <w:t xml:space="preserve">54.0% (2,032,752)</w:t>
            </w:r>
          </w:p>
        </w:tc>
        <w:tc>
          <w:tcPr/>
          <w:p>
            <w:pPr>
              <w:pStyle w:val="Compact"/>
              <w:jc w:val="left"/>
            </w:pPr>
            <w:r>
              <w:t xml:space="preserve">54.5% (2,006,249)</w:t>
            </w:r>
          </w:p>
        </w:tc>
        <w:tc>
          <w:tcPr/>
          <w:p>
            <w:pPr>
              <w:pStyle w:val="Compact"/>
              <w:jc w:val="left"/>
            </w:pPr>
            <w:r>
              <w:t xml:space="preserve">29.7% (26,503)</w:t>
            </w:r>
          </w:p>
        </w:tc>
        <w:tc>
          <w:tcPr/>
          <w:p>
            <w:pPr>
              <w:pStyle w:val="Compact"/>
            </w:pPr>
          </w:p>
        </w:tc>
      </w:tr>
      <w:tr>
        <w:tc>
          <w:tcPr/>
          <w:p>
            <w:pPr>
              <w:pStyle w:val="Compact"/>
              <w:jc w:val="left"/>
            </w:pPr>
            <w:r>
              <w:t xml:space="preserve">Liver disease, % (unweighted n)</w:t>
            </w:r>
          </w:p>
        </w:tc>
        <w:tc>
          <w:tcPr/>
          <w:p>
            <w:pPr>
              <w:pStyle w:val="Compact"/>
            </w:pPr>
          </w:p>
        </w:tc>
        <w:tc>
          <w:tcPr/>
          <w:p>
            <w:pPr>
              <w:pStyle w:val="Compact"/>
            </w:pPr>
          </w:p>
        </w:tc>
        <w:tc>
          <w:tcPr/>
          <w:p>
            <w:pPr>
              <w:pStyle w:val="Compact"/>
            </w:pPr>
          </w:p>
        </w:tc>
        <w:tc>
          <w:tcPr/>
          <w:p>
            <w:pPr>
              <w:pStyle w:val="Compact"/>
              <w:jc w:val="left"/>
            </w:pPr>
            <w:r>
              <w:t xml:space="preserve">0.331</w:t>
            </w:r>
          </w:p>
        </w:tc>
      </w:tr>
      <w:tr>
        <w:tc>
          <w:tcPr/>
          <w:p>
            <w:pPr>
              <w:pStyle w:val="Compact"/>
              <w:jc w:val="left"/>
            </w:pPr>
            <w:r>
              <w:t xml:space="preserve"> No</w:t>
            </w:r>
          </w:p>
        </w:tc>
        <w:tc>
          <w:tcPr/>
          <w:p>
            <w:pPr>
              <w:pStyle w:val="Compact"/>
              <w:jc w:val="left"/>
            </w:pPr>
            <w:r>
              <w:t xml:space="preserve">95.2% (3,589,911)</w:t>
            </w:r>
          </w:p>
        </w:tc>
        <w:tc>
          <w:tcPr/>
          <w:p>
            <w:pPr>
              <w:pStyle w:val="Compact"/>
              <w:jc w:val="left"/>
            </w:pPr>
            <w:r>
              <w:t xml:space="preserve">95.4% (3,514,440)</w:t>
            </w:r>
          </w:p>
        </w:tc>
        <w:tc>
          <w:tcPr/>
          <w:p>
            <w:pPr>
              <w:pStyle w:val="Compact"/>
              <w:jc w:val="left"/>
            </w:pPr>
            <w:r>
              <w:t xml:space="preserve">85.9% (75,471)</w:t>
            </w:r>
          </w:p>
        </w:tc>
        <w:tc>
          <w:tcPr/>
          <w:p>
            <w:pPr>
              <w:pStyle w:val="Compact"/>
            </w:pPr>
          </w:p>
        </w:tc>
      </w:tr>
      <w:tr>
        <w:tc>
          <w:tcPr/>
          <w:p>
            <w:pPr>
              <w:pStyle w:val="Compact"/>
              <w:jc w:val="left"/>
            </w:pPr>
            <w:r>
              <w:t xml:space="preserve"> Yes</w:t>
            </w:r>
          </w:p>
        </w:tc>
        <w:tc>
          <w:tcPr/>
          <w:p>
            <w:pPr>
              <w:pStyle w:val="Compact"/>
              <w:jc w:val="left"/>
            </w:pPr>
            <w:r>
              <w:t xml:space="preserve">4.8% (183,559)</w:t>
            </w:r>
          </w:p>
        </w:tc>
        <w:tc>
          <w:tcPr/>
          <w:p>
            <w:pPr>
              <w:pStyle w:val="Compact"/>
              <w:jc w:val="left"/>
            </w:pPr>
            <w:r>
              <w:t xml:space="preserve">4.6% (171,051)</w:t>
            </w:r>
          </w:p>
        </w:tc>
        <w:tc>
          <w:tcPr/>
          <w:p>
            <w:pPr>
              <w:pStyle w:val="Compact"/>
              <w:jc w:val="left"/>
            </w:pPr>
            <w:r>
              <w:t xml:space="preserve">14.1% (12,508)</w:t>
            </w:r>
          </w:p>
        </w:tc>
        <w:tc>
          <w:tcPr/>
          <w:p>
            <w:pPr>
              <w:pStyle w:val="Compact"/>
            </w:pPr>
          </w:p>
        </w:tc>
      </w:tr>
      <w:tr>
        <w:tc>
          <w:tcPr/>
          <w:p>
            <w:pPr>
              <w:pStyle w:val="Compact"/>
              <w:jc w:val="left"/>
            </w:pPr>
            <w:r>
              <w:t xml:space="preserve">Obesity, % (unweighted n)</w:t>
            </w:r>
          </w:p>
        </w:tc>
        <w:tc>
          <w:tcPr/>
          <w:p>
            <w:pPr>
              <w:pStyle w:val="Compact"/>
            </w:pPr>
          </w:p>
        </w:tc>
        <w:tc>
          <w:tcPr/>
          <w:p>
            <w:pPr>
              <w:pStyle w:val="Compact"/>
            </w:pPr>
          </w:p>
        </w:tc>
        <w:tc>
          <w:tcPr/>
          <w:p>
            <w:pPr>
              <w:pStyle w:val="Compact"/>
            </w:pPr>
          </w:p>
        </w:tc>
        <w:tc>
          <w:tcPr/>
          <w:p>
            <w:pPr>
              <w:pStyle w:val="Compact"/>
              <w:jc w:val="left"/>
            </w:pPr>
            <w:r>
              <w:t xml:space="preserve">0.112</w:t>
            </w:r>
          </w:p>
        </w:tc>
      </w:tr>
      <w:tr>
        <w:tc>
          <w:tcPr/>
          <w:p>
            <w:pPr>
              <w:pStyle w:val="Compact"/>
              <w:jc w:val="left"/>
            </w:pPr>
            <w:r>
              <w:t xml:space="preserve"> No</w:t>
            </w:r>
          </w:p>
        </w:tc>
        <w:tc>
          <w:tcPr/>
          <w:p>
            <w:pPr>
              <w:pStyle w:val="Compact"/>
              <w:jc w:val="left"/>
            </w:pPr>
            <w:r>
              <w:t xml:space="preserve">72.1% (2,741,925)</w:t>
            </w:r>
          </w:p>
        </w:tc>
        <w:tc>
          <w:tcPr/>
          <w:p>
            <w:pPr>
              <w:pStyle w:val="Compact"/>
              <w:jc w:val="left"/>
            </w:pPr>
            <w:r>
              <w:t xml:space="preserve">72.0% (2,674,306)</w:t>
            </w:r>
          </w:p>
        </w:tc>
        <w:tc>
          <w:tcPr/>
          <w:p>
            <w:pPr>
              <w:pStyle w:val="Compact"/>
              <w:jc w:val="left"/>
            </w:pPr>
            <w:r>
              <w:t xml:space="preserve">76.9% (67,619)</w:t>
            </w:r>
          </w:p>
        </w:tc>
        <w:tc>
          <w:tcPr/>
          <w:p>
            <w:pPr>
              <w:pStyle w:val="Compact"/>
            </w:pPr>
          </w:p>
        </w:tc>
      </w:tr>
      <w:tr>
        <w:tc>
          <w:tcPr/>
          <w:p>
            <w:pPr>
              <w:pStyle w:val="Compact"/>
              <w:jc w:val="left"/>
            </w:pPr>
            <w:r>
              <w:t xml:space="preserve"> Yes</w:t>
            </w:r>
          </w:p>
        </w:tc>
        <w:tc>
          <w:tcPr/>
          <w:p>
            <w:pPr>
              <w:pStyle w:val="Compact"/>
              <w:jc w:val="left"/>
            </w:pPr>
            <w:r>
              <w:t xml:space="preserve">27.9% (1,031,545)</w:t>
            </w:r>
          </w:p>
        </w:tc>
        <w:tc>
          <w:tcPr/>
          <w:p>
            <w:pPr>
              <w:pStyle w:val="Compact"/>
              <w:jc w:val="left"/>
            </w:pPr>
            <w:r>
              <w:t xml:space="preserve">28.0% (1,011,185)</w:t>
            </w:r>
          </w:p>
        </w:tc>
        <w:tc>
          <w:tcPr/>
          <w:p>
            <w:pPr>
              <w:pStyle w:val="Compact"/>
              <w:jc w:val="left"/>
            </w:pPr>
            <w:r>
              <w:t xml:space="preserve">23.1% (20,360)</w:t>
            </w:r>
          </w:p>
        </w:tc>
        <w:tc>
          <w:tcPr/>
          <w:p>
            <w:pPr>
              <w:pStyle w:val="Compact"/>
            </w:pPr>
          </w:p>
        </w:tc>
      </w:tr>
      <w:tr>
        <w:tc>
          <w:tcPr/>
          <w:p>
            <w:pPr>
              <w:pStyle w:val="Compact"/>
              <w:jc w:val="left"/>
            </w:pPr>
            <w:r>
              <w:t xml:space="preserve">Fluid and electrolyte disorders, % (unweighted n)</w:t>
            </w:r>
          </w:p>
        </w:tc>
        <w:tc>
          <w:tcPr/>
          <w:p>
            <w:pPr>
              <w:pStyle w:val="Compact"/>
            </w:pPr>
          </w:p>
        </w:tc>
        <w:tc>
          <w:tcPr/>
          <w:p>
            <w:pPr>
              <w:pStyle w:val="Compact"/>
            </w:pPr>
          </w:p>
        </w:tc>
        <w:tc>
          <w:tcPr/>
          <w:p>
            <w:pPr>
              <w:pStyle w:val="Compact"/>
            </w:pPr>
          </w:p>
        </w:tc>
        <w:tc>
          <w:tcPr/>
          <w:p>
            <w:pPr>
              <w:pStyle w:val="Compact"/>
              <w:jc w:val="left"/>
            </w:pPr>
            <w:r>
              <w:t xml:space="preserve">0.130</w:t>
            </w:r>
          </w:p>
        </w:tc>
      </w:tr>
      <w:tr>
        <w:tc>
          <w:tcPr/>
          <w:p>
            <w:pPr>
              <w:pStyle w:val="Compact"/>
              <w:jc w:val="left"/>
            </w:pPr>
            <w:r>
              <w:t xml:space="preserve"> No</w:t>
            </w:r>
          </w:p>
        </w:tc>
        <w:tc>
          <w:tcPr/>
          <w:p>
            <w:pPr>
              <w:pStyle w:val="Compact"/>
              <w:jc w:val="left"/>
            </w:pPr>
            <w:r>
              <w:t xml:space="preserve">61.7% (2,330,962)</w:t>
            </w:r>
          </w:p>
        </w:tc>
        <w:tc>
          <w:tcPr/>
          <w:p>
            <w:pPr>
              <w:pStyle w:val="Compact"/>
              <w:jc w:val="left"/>
            </w:pPr>
            <w:r>
              <w:t xml:space="preserve">61.5% (2,271,089)</w:t>
            </w:r>
          </w:p>
        </w:tc>
        <w:tc>
          <w:tcPr/>
          <w:p>
            <w:pPr>
              <w:pStyle w:val="Compact"/>
              <w:jc w:val="left"/>
            </w:pPr>
            <w:r>
              <w:t xml:space="preserve">67.7% (59,873)</w:t>
            </w:r>
          </w:p>
        </w:tc>
        <w:tc>
          <w:tcPr/>
          <w:p>
            <w:pPr>
              <w:pStyle w:val="Compact"/>
            </w:pPr>
          </w:p>
        </w:tc>
      </w:tr>
      <w:tr>
        <w:tc>
          <w:tcPr/>
          <w:p>
            <w:pPr>
              <w:pStyle w:val="Compact"/>
              <w:jc w:val="left"/>
            </w:pPr>
            <w:r>
              <w:t xml:space="preserve"> Yes</w:t>
            </w:r>
          </w:p>
        </w:tc>
        <w:tc>
          <w:tcPr/>
          <w:p>
            <w:pPr>
              <w:pStyle w:val="Compact"/>
              <w:jc w:val="left"/>
            </w:pPr>
            <w:r>
              <w:t xml:space="preserve">38.3% (1,442,508)</w:t>
            </w:r>
          </w:p>
        </w:tc>
        <w:tc>
          <w:tcPr/>
          <w:p>
            <w:pPr>
              <w:pStyle w:val="Compact"/>
              <w:jc w:val="left"/>
            </w:pPr>
            <w:r>
              <w:t xml:space="preserve">38.5% (1,414,402)</w:t>
            </w:r>
          </w:p>
        </w:tc>
        <w:tc>
          <w:tcPr/>
          <w:p>
            <w:pPr>
              <w:pStyle w:val="Compact"/>
              <w:jc w:val="left"/>
            </w:pPr>
            <w:r>
              <w:t xml:space="preserve">32.3% (28,106)</w:t>
            </w:r>
          </w:p>
        </w:tc>
        <w:tc>
          <w:tcPr/>
          <w:p>
            <w:pPr>
              <w:pStyle w:val="Compact"/>
            </w:pPr>
          </w:p>
        </w:tc>
      </w:tr>
      <w:tr>
        <w:tc>
          <w:tcPr/>
          <w:p>
            <w:pPr>
              <w:pStyle w:val="Compact"/>
              <w:jc w:val="left"/>
            </w:pPr>
            <w:r>
              <w:t xml:space="preserve">Deficiency anaemia, % (unweighted n)</w:t>
            </w:r>
          </w:p>
        </w:tc>
        <w:tc>
          <w:tcPr/>
          <w:p>
            <w:pPr>
              <w:pStyle w:val="Compact"/>
            </w:pPr>
          </w:p>
        </w:tc>
        <w:tc>
          <w:tcPr/>
          <w:p>
            <w:pPr>
              <w:pStyle w:val="Compact"/>
            </w:pPr>
          </w:p>
        </w:tc>
        <w:tc>
          <w:tcPr/>
          <w:p>
            <w:pPr>
              <w:pStyle w:val="Compact"/>
            </w:pPr>
          </w:p>
        </w:tc>
        <w:tc>
          <w:tcPr/>
          <w:p>
            <w:pPr>
              <w:pStyle w:val="Compact"/>
              <w:jc w:val="left"/>
            </w:pPr>
            <w:r>
              <w:t xml:space="preserve">0.094</w:t>
            </w:r>
          </w:p>
        </w:tc>
      </w:tr>
      <w:tr>
        <w:tc>
          <w:tcPr/>
          <w:p>
            <w:pPr>
              <w:pStyle w:val="Compact"/>
              <w:jc w:val="left"/>
            </w:pPr>
            <w:r>
              <w:t xml:space="preserve"> No</w:t>
            </w:r>
          </w:p>
        </w:tc>
        <w:tc>
          <w:tcPr/>
          <w:p>
            <w:pPr>
              <w:pStyle w:val="Compact"/>
              <w:jc w:val="left"/>
            </w:pPr>
            <w:r>
              <w:t xml:space="preserve">91.2% (3,444,708)</w:t>
            </w:r>
          </w:p>
        </w:tc>
        <w:tc>
          <w:tcPr/>
          <w:p>
            <w:pPr>
              <w:pStyle w:val="Compact"/>
              <w:jc w:val="left"/>
            </w:pPr>
            <w:r>
              <w:t xml:space="preserve">91.1% (3,362,379)</w:t>
            </w:r>
          </w:p>
        </w:tc>
        <w:tc>
          <w:tcPr/>
          <w:p>
            <w:pPr>
              <w:pStyle w:val="Compact"/>
              <w:jc w:val="left"/>
            </w:pPr>
            <w:r>
              <w:t xml:space="preserve">93.6% (82,329)</w:t>
            </w:r>
          </w:p>
        </w:tc>
        <w:tc>
          <w:tcPr/>
          <w:p>
            <w:pPr>
              <w:pStyle w:val="Compact"/>
            </w:pPr>
          </w:p>
        </w:tc>
      </w:tr>
      <w:tr>
        <w:tc>
          <w:tcPr/>
          <w:p>
            <w:pPr>
              <w:pStyle w:val="Compact"/>
              <w:jc w:val="left"/>
            </w:pPr>
            <w:r>
              <w:t xml:space="preserve"> Yes</w:t>
            </w:r>
          </w:p>
        </w:tc>
        <w:tc>
          <w:tcPr/>
          <w:p>
            <w:pPr>
              <w:pStyle w:val="Compact"/>
              <w:jc w:val="left"/>
            </w:pPr>
            <w:r>
              <w:t xml:space="preserve">8.8% (328,762)</w:t>
            </w:r>
          </w:p>
        </w:tc>
        <w:tc>
          <w:tcPr/>
          <w:p>
            <w:pPr>
              <w:pStyle w:val="Compact"/>
              <w:jc w:val="left"/>
            </w:pPr>
            <w:r>
              <w:t xml:space="preserve">8.9% (323,112)</w:t>
            </w:r>
          </w:p>
        </w:tc>
        <w:tc>
          <w:tcPr/>
          <w:p>
            <w:pPr>
              <w:pStyle w:val="Compact"/>
              <w:jc w:val="left"/>
            </w:pPr>
            <w:r>
              <w:t xml:space="preserve">6.4% (5,650)</w:t>
            </w:r>
          </w:p>
        </w:tc>
        <w:tc>
          <w:tcPr/>
          <w:p>
            <w:pPr>
              <w:pStyle w:val="Compact"/>
            </w:pPr>
          </w:p>
        </w:tc>
      </w:tr>
      <w:tr>
        <w:tc>
          <w:tcPr/>
          <w:p>
            <w:pPr>
              <w:pStyle w:val="Compact"/>
              <w:jc w:val="left"/>
            </w:pPr>
            <w:r>
              <w:t xml:space="preserve">Coagulopathy, % (unweighted n)</w:t>
            </w:r>
          </w:p>
        </w:tc>
        <w:tc>
          <w:tcPr/>
          <w:p>
            <w:pPr>
              <w:pStyle w:val="Compact"/>
            </w:pPr>
          </w:p>
        </w:tc>
        <w:tc>
          <w:tcPr/>
          <w:p>
            <w:pPr>
              <w:pStyle w:val="Compact"/>
            </w:pPr>
          </w:p>
        </w:tc>
        <w:tc>
          <w:tcPr/>
          <w:p>
            <w:pPr>
              <w:pStyle w:val="Compact"/>
            </w:pPr>
          </w:p>
        </w:tc>
        <w:tc>
          <w:tcPr/>
          <w:p>
            <w:pPr>
              <w:pStyle w:val="Compact"/>
              <w:jc w:val="left"/>
            </w:pPr>
            <w:r>
              <w:t xml:space="preserve">0.101</w:t>
            </w:r>
          </w:p>
        </w:tc>
      </w:tr>
      <w:tr>
        <w:tc>
          <w:tcPr/>
          <w:p>
            <w:pPr>
              <w:pStyle w:val="Compact"/>
              <w:jc w:val="left"/>
            </w:pPr>
            <w:r>
              <w:t xml:space="preserve"> No</w:t>
            </w:r>
          </w:p>
        </w:tc>
        <w:tc>
          <w:tcPr/>
          <w:p>
            <w:pPr>
              <w:pStyle w:val="Compact"/>
              <w:jc w:val="left"/>
            </w:pPr>
            <w:r>
              <w:t xml:space="preserve">92.9% (3,498,068)</w:t>
            </w:r>
          </w:p>
        </w:tc>
        <w:tc>
          <w:tcPr/>
          <w:p>
            <w:pPr>
              <w:pStyle w:val="Compact"/>
              <w:jc w:val="left"/>
            </w:pPr>
            <w:r>
              <w:t xml:space="preserve">92.8% (3,414,385)</w:t>
            </w:r>
          </w:p>
        </w:tc>
        <w:tc>
          <w:tcPr/>
          <w:p>
            <w:pPr>
              <w:pStyle w:val="Compact"/>
              <w:jc w:val="left"/>
            </w:pPr>
            <w:r>
              <w:t xml:space="preserve">95.2% (83,683)</w:t>
            </w:r>
          </w:p>
        </w:tc>
        <w:tc>
          <w:tcPr/>
          <w:p>
            <w:pPr>
              <w:pStyle w:val="Compact"/>
            </w:pPr>
          </w:p>
        </w:tc>
      </w:tr>
      <w:tr>
        <w:tc>
          <w:tcPr/>
          <w:p>
            <w:pPr>
              <w:pStyle w:val="Compact"/>
              <w:jc w:val="left"/>
            </w:pPr>
            <w:r>
              <w:t xml:space="preserve"> Yes</w:t>
            </w:r>
          </w:p>
        </w:tc>
        <w:tc>
          <w:tcPr/>
          <w:p>
            <w:pPr>
              <w:pStyle w:val="Compact"/>
              <w:jc w:val="left"/>
            </w:pPr>
            <w:r>
              <w:t xml:space="preserve">7.1% (275,402)</w:t>
            </w:r>
          </w:p>
        </w:tc>
        <w:tc>
          <w:tcPr/>
          <w:p>
            <w:pPr>
              <w:pStyle w:val="Compact"/>
              <w:jc w:val="left"/>
            </w:pPr>
            <w:r>
              <w:t xml:space="preserve">7.2% (271,106)</w:t>
            </w:r>
          </w:p>
        </w:tc>
        <w:tc>
          <w:tcPr/>
          <w:p>
            <w:pPr>
              <w:pStyle w:val="Compact"/>
              <w:jc w:val="left"/>
            </w:pPr>
            <w:r>
              <w:t xml:space="preserve">4.8% (4,296)</w:t>
            </w:r>
          </w:p>
        </w:tc>
        <w:tc>
          <w:tcPr/>
          <w:p>
            <w:pPr>
              <w:pStyle w:val="Compact"/>
            </w:pPr>
          </w:p>
        </w:tc>
      </w:tr>
      <w:tr>
        <w:tc>
          <w:tcPr/>
          <w:p>
            <w:pPr>
              <w:pStyle w:val="Compact"/>
              <w:jc w:val="left"/>
            </w:pPr>
            <w:r>
              <w:t xml:space="preserve">Psychoses, % (unweighted n)</w:t>
            </w:r>
          </w:p>
        </w:tc>
        <w:tc>
          <w:tcPr/>
          <w:p>
            <w:pPr>
              <w:pStyle w:val="Compact"/>
            </w:pPr>
          </w:p>
        </w:tc>
        <w:tc>
          <w:tcPr/>
          <w:p>
            <w:pPr>
              <w:pStyle w:val="Compact"/>
            </w:pPr>
          </w:p>
        </w:tc>
        <w:tc>
          <w:tcPr/>
          <w:p>
            <w:pPr>
              <w:pStyle w:val="Compact"/>
            </w:pPr>
          </w:p>
        </w:tc>
        <w:tc>
          <w:tcPr/>
          <w:p>
            <w:pPr>
              <w:pStyle w:val="Compact"/>
              <w:jc w:val="left"/>
            </w:pPr>
            <w:r>
              <w:t xml:space="preserve">0.216</w:t>
            </w:r>
          </w:p>
        </w:tc>
      </w:tr>
      <w:tr>
        <w:tc>
          <w:tcPr/>
          <w:p>
            <w:pPr>
              <w:pStyle w:val="Compact"/>
              <w:jc w:val="left"/>
            </w:pPr>
            <w:r>
              <w:t xml:space="preserve"> No</w:t>
            </w:r>
          </w:p>
        </w:tc>
        <w:tc>
          <w:tcPr/>
          <w:p>
            <w:pPr>
              <w:pStyle w:val="Compact"/>
              <w:jc w:val="left"/>
            </w:pPr>
            <w:r>
              <w:t xml:space="preserve">98.8% (3,726,989)</w:t>
            </w:r>
          </w:p>
        </w:tc>
        <w:tc>
          <w:tcPr/>
          <w:p>
            <w:pPr>
              <w:pStyle w:val="Compact"/>
              <w:jc w:val="left"/>
            </w:pPr>
            <w:r>
              <w:t xml:space="preserve">98.9% (3,643,370)</w:t>
            </w:r>
          </w:p>
        </w:tc>
        <w:tc>
          <w:tcPr/>
          <w:p>
            <w:pPr>
              <w:pStyle w:val="Compact"/>
              <w:jc w:val="left"/>
            </w:pPr>
            <w:r>
              <w:t xml:space="preserve">95.2% (83,619)</w:t>
            </w:r>
          </w:p>
        </w:tc>
        <w:tc>
          <w:tcPr/>
          <w:p>
            <w:pPr>
              <w:pStyle w:val="Compact"/>
            </w:pPr>
          </w:p>
        </w:tc>
      </w:tr>
      <w:tr>
        <w:tc>
          <w:tcPr/>
          <w:p>
            <w:pPr>
              <w:pStyle w:val="Compact"/>
              <w:jc w:val="left"/>
            </w:pPr>
            <w:r>
              <w:t xml:space="preserve"> Yes</w:t>
            </w:r>
          </w:p>
        </w:tc>
        <w:tc>
          <w:tcPr/>
          <w:p>
            <w:pPr>
              <w:pStyle w:val="Compact"/>
              <w:jc w:val="left"/>
            </w:pPr>
            <w:r>
              <w:t xml:space="preserve">1.2% (46,481)</w:t>
            </w:r>
          </w:p>
        </w:tc>
        <w:tc>
          <w:tcPr/>
          <w:p>
            <w:pPr>
              <w:pStyle w:val="Compact"/>
              <w:jc w:val="left"/>
            </w:pPr>
            <w:r>
              <w:t xml:space="preserve">1.1% (42,121)</w:t>
            </w:r>
          </w:p>
        </w:tc>
        <w:tc>
          <w:tcPr/>
          <w:p>
            <w:pPr>
              <w:pStyle w:val="Compact"/>
              <w:jc w:val="left"/>
            </w:pPr>
            <w:r>
              <w:t xml:space="preserve">4.8% (4,360)</w:t>
            </w:r>
          </w:p>
        </w:tc>
        <w:tc>
          <w:tcPr/>
          <w:p>
            <w:pPr>
              <w:pStyle w:val="Compact"/>
            </w:pPr>
          </w:p>
        </w:tc>
      </w:tr>
      <w:tr>
        <w:tc>
          <w:tcPr/>
          <w:p>
            <w:pPr>
              <w:pStyle w:val="Compact"/>
              <w:jc w:val="left"/>
            </w:pPr>
            <w:r>
              <w:t xml:space="preserve">Depression, % (unweighted n)</w:t>
            </w:r>
          </w:p>
        </w:tc>
        <w:tc>
          <w:tcPr/>
          <w:p>
            <w:pPr>
              <w:pStyle w:val="Compact"/>
            </w:pPr>
          </w:p>
        </w:tc>
        <w:tc>
          <w:tcPr/>
          <w:p>
            <w:pPr>
              <w:pStyle w:val="Compact"/>
            </w:pPr>
          </w:p>
        </w:tc>
        <w:tc>
          <w:tcPr/>
          <w:p>
            <w:pPr>
              <w:pStyle w:val="Compact"/>
            </w:pPr>
          </w:p>
        </w:tc>
        <w:tc>
          <w:tcPr/>
          <w:p>
            <w:pPr>
              <w:pStyle w:val="Compact"/>
              <w:jc w:val="left"/>
            </w:pPr>
            <w:r>
              <w:t xml:space="preserve">0.031</w:t>
            </w:r>
          </w:p>
        </w:tc>
      </w:tr>
      <w:tr>
        <w:tc>
          <w:tcPr/>
          <w:p>
            <w:pPr>
              <w:pStyle w:val="Compact"/>
              <w:jc w:val="left"/>
            </w:pPr>
            <w:r>
              <w:t xml:space="preserve"> No</w:t>
            </w:r>
          </w:p>
        </w:tc>
        <w:tc>
          <w:tcPr/>
          <w:p>
            <w:pPr>
              <w:pStyle w:val="Compact"/>
              <w:jc w:val="left"/>
            </w:pPr>
            <w:r>
              <w:t xml:space="preserve">87.4% (3,313,419)</w:t>
            </w:r>
          </w:p>
        </w:tc>
        <w:tc>
          <w:tcPr/>
          <w:p>
            <w:pPr>
              <w:pStyle w:val="Compact"/>
              <w:jc w:val="left"/>
            </w:pPr>
            <w:r>
              <w:t xml:space="preserve">87.4% (3,235,173)</w:t>
            </w:r>
          </w:p>
        </w:tc>
        <w:tc>
          <w:tcPr/>
          <w:p>
            <w:pPr>
              <w:pStyle w:val="Compact"/>
              <w:jc w:val="left"/>
            </w:pPr>
            <w:r>
              <w:t xml:space="preserve">88.4% (78,246)</w:t>
            </w:r>
          </w:p>
        </w:tc>
        <w:tc>
          <w:tcPr/>
          <w:p>
            <w:pPr>
              <w:pStyle w:val="Compact"/>
            </w:pPr>
          </w:p>
        </w:tc>
      </w:tr>
      <w:tr>
        <w:tc>
          <w:tcPr/>
          <w:p>
            <w:pPr>
              <w:pStyle w:val="Compact"/>
              <w:jc w:val="left"/>
            </w:pPr>
            <w:r>
              <w:t xml:space="preserve"> Yes</w:t>
            </w:r>
          </w:p>
        </w:tc>
        <w:tc>
          <w:tcPr/>
          <w:p>
            <w:pPr>
              <w:pStyle w:val="Compact"/>
              <w:jc w:val="left"/>
            </w:pPr>
            <w:r>
              <w:t xml:space="preserve">12.6% (460,051)</w:t>
            </w:r>
          </w:p>
        </w:tc>
        <w:tc>
          <w:tcPr/>
          <w:p>
            <w:pPr>
              <w:pStyle w:val="Compact"/>
              <w:jc w:val="left"/>
            </w:pPr>
            <w:r>
              <w:t xml:space="preserve">12.6% (450,318)</w:t>
            </w:r>
          </w:p>
        </w:tc>
        <w:tc>
          <w:tcPr/>
          <w:p>
            <w:pPr>
              <w:pStyle w:val="Compact"/>
              <w:jc w:val="left"/>
            </w:pPr>
            <w:r>
              <w:t xml:space="preserve">11.6% (9,733)</w:t>
            </w:r>
          </w:p>
        </w:tc>
        <w:tc>
          <w:tcPr/>
          <w:p>
            <w:pPr>
              <w:pStyle w:val="Compact"/>
            </w:pPr>
          </w:p>
        </w:tc>
      </w:tr>
      <w:tr>
        <w:tc>
          <w:tcPr/>
          <w:p>
            <w:pPr>
              <w:pStyle w:val="Compact"/>
              <w:jc w:val="left"/>
            </w:pPr>
            <w:r>
              <w:t xml:space="preserve">Alcohol abuse (excluded from the model by pre-specification), % (unweighted n)</w:t>
            </w:r>
          </w:p>
        </w:tc>
        <w:tc>
          <w:tcPr/>
          <w:p>
            <w:pPr>
              <w:pStyle w:val="Compact"/>
            </w:pPr>
          </w:p>
        </w:tc>
        <w:tc>
          <w:tcPr/>
          <w:p>
            <w:pPr>
              <w:pStyle w:val="Compact"/>
            </w:pPr>
          </w:p>
        </w:tc>
        <w:tc>
          <w:tcPr/>
          <w:p>
            <w:pPr>
              <w:pStyle w:val="Compact"/>
            </w:pPr>
          </w:p>
        </w:tc>
        <w:tc>
          <w:tcPr/>
          <w:p>
            <w:pPr>
              <w:pStyle w:val="Compact"/>
              <w:jc w:val="left"/>
            </w:pPr>
            <w:r>
              <w:t xml:space="preserve">0.599</w:t>
            </w:r>
          </w:p>
        </w:tc>
      </w:tr>
      <w:tr>
        <w:tc>
          <w:tcPr/>
          <w:p>
            <w:pPr>
              <w:pStyle w:val="Compact"/>
              <w:jc w:val="left"/>
            </w:pPr>
            <w:r>
              <w:t xml:space="preserve"> No</w:t>
            </w:r>
          </w:p>
        </w:tc>
        <w:tc>
          <w:tcPr/>
          <w:p>
            <w:pPr>
              <w:pStyle w:val="Compact"/>
              <w:jc w:val="left"/>
            </w:pPr>
            <w:r>
              <w:t xml:space="preserve">99.3% (3,743,206)</w:t>
            </w:r>
          </w:p>
        </w:tc>
        <w:tc>
          <w:tcPr/>
          <w:p>
            <w:pPr>
              <w:pStyle w:val="Compact"/>
              <w:jc w:val="left"/>
            </w:pPr>
            <w:r>
              <w:t xml:space="preserve">99.6% (3,669,572)</w:t>
            </w:r>
          </w:p>
        </w:tc>
        <w:tc>
          <w:tcPr/>
          <w:p>
            <w:pPr>
              <w:pStyle w:val="Compact"/>
              <w:jc w:val="left"/>
            </w:pPr>
            <w:r>
              <w:t xml:space="preserve">83.7% (73,634)</w:t>
            </w:r>
          </w:p>
        </w:tc>
        <w:tc>
          <w:tcPr/>
          <w:p>
            <w:pPr>
              <w:pStyle w:val="Compact"/>
            </w:pPr>
          </w:p>
        </w:tc>
      </w:tr>
      <w:tr>
        <w:tc>
          <w:tcPr/>
          <w:p>
            <w:pPr>
              <w:pStyle w:val="Compact"/>
              <w:jc w:val="left"/>
            </w:pPr>
            <w:r>
              <w:t xml:space="preserve"> Yes</w:t>
            </w:r>
          </w:p>
        </w:tc>
        <w:tc>
          <w:tcPr/>
          <w:p>
            <w:pPr>
              <w:pStyle w:val="Compact"/>
              <w:jc w:val="left"/>
            </w:pPr>
            <w:r>
              <w:t xml:space="preserve">0.7% (30,264)</w:t>
            </w:r>
          </w:p>
        </w:tc>
        <w:tc>
          <w:tcPr/>
          <w:p>
            <w:pPr>
              <w:pStyle w:val="Compact"/>
              <w:jc w:val="left"/>
            </w:pPr>
            <w:r>
              <w:t xml:space="preserve">0.4% (15,919)</w:t>
            </w:r>
          </w:p>
        </w:tc>
        <w:tc>
          <w:tcPr/>
          <w:p>
            <w:pPr>
              <w:pStyle w:val="Compact"/>
              <w:jc w:val="left"/>
            </w:pPr>
            <w:r>
              <w:t xml:space="preserve">16.3% (14,345)</w:t>
            </w:r>
          </w:p>
        </w:tc>
        <w:tc>
          <w:tcPr/>
          <w:p>
            <w:pPr>
              <w:pStyle w:val="Compact"/>
            </w:pPr>
          </w:p>
        </w:tc>
      </w:tr>
      <w:tr>
        <w:tc>
          <w:tcPr/>
          <w:p>
            <w:pPr>
              <w:pStyle w:val="Compact"/>
              <w:jc w:val="left"/>
            </w:pPr>
            <w:r>
              <w:t xml:space="preserve">Drug abuse (excluded from the model by pre-specification), % (unweighted n)</w:t>
            </w:r>
          </w:p>
        </w:tc>
        <w:tc>
          <w:tcPr/>
          <w:p>
            <w:pPr>
              <w:pStyle w:val="Compact"/>
            </w:pPr>
          </w:p>
        </w:tc>
        <w:tc>
          <w:tcPr/>
          <w:p>
            <w:pPr>
              <w:pStyle w:val="Compact"/>
            </w:pPr>
          </w:p>
        </w:tc>
        <w:tc>
          <w:tcPr/>
          <w:p>
            <w:pPr>
              <w:pStyle w:val="Compact"/>
            </w:pPr>
          </w:p>
        </w:tc>
        <w:tc>
          <w:tcPr/>
          <w:p>
            <w:pPr>
              <w:pStyle w:val="Compact"/>
              <w:jc w:val="left"/>
            </w:pPr>
            <w:r>
              <w:t xml:space="preserve">233.826</w:t>
            </w:r>
          </w:p>
        </w:tc>
      </w:tr>
      <w:tr>
        <w:tc>
          <w:tcPr/>
          <w:p>
            <w:pPr>
              <w:pStyle w:val="Compact"/>
              <w:jc w:val="left"/>
            </w:pPr>
            <w:r>
              <w:t xml:space="preserve"> No</w:t>
            </w:r>
          </w:p>
        </w:tc>
        <w:tc>
          <w:tcPr/>
          <w:p>
            <w:pPr>
              <w:pStyle w:val="Compact"/>
              <w:jc w:val="left"/>
            </w:pPr>
            <w:r>
              <w:t xml:space="preserve">98.0% (3,685,349)</w:t>
            </w:r>
          </w:p>
        </w:tc>
        <w:tc>
          <w:tcPr/>
          <w:p>
            <w:pPr>
              <w:pStyle w:val="Compact"/>
              <w:jc w:val="left"/>
            </w:pPr>
            <w:r>
              <w:t xml:space="preserve">100.0% (3,685,349)</w:t>
            </w:r>
          </w:p>
        </w:tc>
        <w:tc>
          <w:tcPr/>
          <w:p>
            <w:pPr>
              <w:pStyle w:val="Compact"/>
              <w:jc w:val="left"/>
            </w:pPr>
            <w:r>
              <w:t xml:space="preserve">&lt;11 (suppressed)</w:t>
            </w:r>
          </w:p>
        </w:tc>
        <w:tc>
          <w:tcPr/>
          <w:p>
            <w:pPr>
              <w:pStyle w:val="Compact"/>
            </w:pPr>
          </w:p>
        </w:tc>
      </w:tr>
      <w:tr>
        <w:tc>
          <w:tcPr/>
          <w:p>
            <w:pPr>
              <w:pStyle w:val="Compact"/>
              <w:jc w:val="left"/>
            </w:pPr>
            <w:r>
              <w:t xml:space="preserve"> Yes</w:t>
            </w:r>
          </w:p>
        </w:tc>
        <w:tc>
          <w:tcPr/>
          <w:p>
            <w:pPr>
              <w:pStyle w:val="Compact"/>
              <w:jc w:val="left"/>
            </w:pPr>
            <w:r>
              <w:t xml:space="preserve">2.0% (88,121)</w:t>
            </w:r>
          </w:p>
        </w:tc>
        <w:tc>
          <w:tcPr/>
          <w:p>
            <w:pPr>
              <w:pStyle w:val="Compact"/>
              <w:jc w:val="left"/>
            </w:pPr>
            <w:r>
              <w:t xml:space="preserve">0.0% (142)</w:t>
            </w:r>
          </w:p>
        </w:tc>
        <w:tc>
          <w:tcPr/>
          <w:p>
            <w:pPr>
              <w:pStyle w:val="Compact"/>
              <w:jc w:val="left"/>
            </w:pPr>
            <w:r>
              <w:t xml:space="preserve">100.0% (87,979)</w:t>
            </w:r>
          </w:p>
        </w:tc>
        <w:tc>
          <w:tcPr/>
          <w:p>
            <w:pPr>
              <w:pStyle w:val="Compact"/>
            </w:pP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saada\AppData\Local\Programs\Positron\resources\app\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Weighted percentages are design-based national estimates using the HCUP discharge weight; unweighted n is the actual NRD sample size. Continuous variables are reported as design-weighted mean (SD). Standardized mean differences are reported in place of p-values because with 3,773,470 observations every p-value would be &lt;0.001 and would convey nothing about the magnitude of an imbalance; for a categorical variable the SMD shown is the maximum across its levels. 32 of 42 characteristics show |SMD| &gt;= 0.10: Age, years, mean (SD); Age group, % (unweighted n); Sex, % (unweighted n); Primary expected payer, % (unweighted n); Median household income quartile (patient ZIP code), % (unweighted n); Patient residence (NCHS urban-rural classification), % (unweighted n); Admission type, % (unweighted n); Discharge year, % (unweighted n); Hospital bed size, % (unweighted n); Hospital location and teaching status, % (unweighted n); Hospital ownership, % (unweighted n); Heart failure phenotype (any-listed I50 subtype), % (unweighted n); Cardiogenic shock at index, % (unweighted n); Chronic dialysis dependence, % (unweighted n); Cardiac implantable electronic device in situ, % (unweighted n); Cardiomyopathy, % (unweighted n); Acute myocardial infarction at index, % (unweighted n); Housing instability (Z59.x), % (unweighted n); Nicotine dependence (F17.2x), % (unweighted n); Cardiac arrhythmias, % (unweighted n); Valvular disease, % (unweighted n); Peripheral vascular disorders, % (unweighted n); Hypertension, complicated, % (unweighted n); Diabetes, complicated, % (unweighted n); Renal failure, % (unweighted n); Liver disease, % (unweighted n); Obesity, % (unweighted n); Fluid and electrolyte disorders, % (unweighted n); Coagulopathy, % (unweighted n); Psychoses, % (unweighted n); Alcohol abuse (excluded from the model by pre-specification), % (unweighted n); Drug abuse (excluded from the model by pre-specification), % (unweighted n). Any cell representing fewer than 11 unweighted discharges is suppressed in accordance with the HCUP Data Use Agreement.</w:t>
            </w:r>
          </w:p>
          <w:p/>
        </w:tc>
      </w:tr>
    </w:tbl>
    <w:bookmarkEnd w:id="33"/>
    <w:bookmarkStart w:id="36" w:name="unadjusted-outcomes"/>
    <w:p>
      <w:pPr>
        <w:pStyle w:val="Heading2"/>
      </w:pPr>
      <w:r>
        <w:t xml:space="preserve">3.2 Unadjusted outcomes</w:t>
      </w:r>
    </w:p>
    <w:p>
      <w:pPr>
        <w:pStyle w:val="TableCaption"/>
      </w:pPr>
      <w:r>
        <w:t xml:space="preserve">Table 2. Unadjusted outcomes, by exposure.</w:t>
      </w:r>
    </w:p>
    <w:tbl>
      <w:tblPr>
        <w:tblStyle w:val="Table"/>
        <w:tblW w:type="pct" w:w="5000"/>
        <w:tblLayout w:type="fixed"/>
        <w:tblLook w:firstRow="1" w:lastRow="0" w:firstColumn="0" w:lastColumn="0" w:noHBand="0" w:noVBand="0" w:val="0020"/>
        <w:tblCaption w:val="Table 2. Unadjusted outcomes, by exposure."/>
      </w:tblPr>
      <w:tblGrid>
        <w:gridCol w:w="2940"/>
        <w:gridCol w:w="1680"/>
        <w:gridCol w:w="1680"/>
        <w:gridCol w:w="1620"/>
      </w:tblGrid>
      <w:tr>
        <w:trPr>
          <w:tblHeader w:val="on"/>
        </w:trPr>
        <w:tc>
          <w:tcPr/>
          <w:p>
            <w:pPr>
              <w:pStyle w:val="Compact"/>
              <w:jc w:val="left"/>
            </w:pPr>
            <w:r>
              <w:t xml:space="preserve">Outcome</w:t>
            </w:r>
          </w:p>
        </w:tc>
        <w:tc>
          <w:tcPr/>
          <w:p>
            <w:pPr>
              <w:pStyle w:val="Compact"/>
              <w:jc w:val="left"/>
            </w:pPr>
            <w:r>
              <w:t xml:space="preserve">Overall</w:t>
            </w:r>
          </w:p>
        </w:tc>
        <w:tc>
          <w:tcPr/>
          <w:p>
            <w:pPr>
              <w:pStyle w:val="Compact"/>
              <w:jc w:val="left"/>
            </w:pPr>
            <w:r>
              <w:t xml:space="preserve">Unexposed</w:t>
            </w:r>
          </w:p>
        </w:tc>
        <w:tc>
          <w:tcPr/>
          <w:p>
            <w:pPr>
              <w:pStyle w:val="Compact"/>
              <w:jc w:val="left"/>
            </w:pPr>
            <w:r>
              <w:t xml:space="preserve">Exposed</w:t>
            </w:r>
          </w:p>
        </w:tc>
      </w:tr>
      <w:tr>
        <w:tc>
          <w:tcPr/>
          <w:p>
            <w:pPr>
              <w:pStyle w:val="Compact"/>
              <w:jc w:val="left"/>
            </w:pPr>
            <w:r>
              <w:t xml:space="preserve">30-day all-cause readmission, % (95% CI) [n]</w:t>
            </w:r>
          </w:p>
        </w:tc>
        <w:tc>
          <w:tcPr/>
          <w:p>
            <w:pPr>
              <w:pStyle w:val="Compact"/>
              <w:jc w:val="left"/>
            </w:pPr>
            <w:r>
              <w:t xml:space="preserve">22.9% (22.8–23.0) (868,724)</w:t>
            </w:r>
          </w:p>
        </w:tc>
        <w:tc>
          <w:tcPr/>
          <w:p>
            <w:pPr>
              <w:pStyle w:val="Compact"/>
              <w:jc w:val="left"/>
            </w:pPr>
            <w:r>
              <w:t xml:space="preserve">22.7% (22.7–22.8) (840,675)</w:t>
            </w:r>
          </w:p>
        </w:tc>
        <w:tc>
          <w:tcPr/>
          <w:p>
            <w:pPr>
              <w:pStyle w:val="Compact"/>
              <w:jc w:val="left"/>
            </w:pPr>
            <w:r>
              <w:t xml:space="preserve">31.5% (31.0–31.9) (28,049)</w:t>
            </w:r>
          </w:p>
        </w:tc>
      </w:tr>
      <w:tr>
        <w:tc>
          <w:tcPr/>
          <w:p>
            <w:pPr>
              <w:pStyle w:val="Compact"/>
              <w:jc w:val="left"/>
            </w:pPr>
            <w:r>
              <w:t xml:space="preserve">Non-home discharge, % (95% CI) [n]</w:t>
            </w:r>
          </w:p>
        </w:tc>
        <w:tc>
          <w:tcPr/>
          <w:p>
            <w:pPr>
              <w:pStyle w:val="Compact"/>
              <w:jc w:val="left"/>
            </w:pPr>
            <w:r>
              <w:t xml:space="preserve">20.2% (20.1–20.3) (752,328)</w:t>
            </w:r>
          </w:p>
        </w:tc>
        <w:tc>
          <w:tcPr/>
          <w:p>
            <w:pPr>
              <w:pStyle w:val="Compact"/>
              <w:jc w:val="left"/>
            </w:pPr>
            <w:r>
              <w:t xml:space="preserve">20.3% (20.1–20.4) (737,135)</w:t>
            </w:r>
          </w:p>
        </w:tc>
        <w:tc>
          <w:tcPr/>
          <w:p>
            <w:pPr>
              <w:pStyle w:val="Compact"/>
              <w:jc w:val="left"/>
            </w:pPr>
            <w:r>
              <w:t xml:space="preserve">17.1% (16.7–17.4) (15,193)</w:t>
            </w:r>
          </w:p>
        </w:tc>
      </w:tr>
      <w:tr>
        <w:tc>
          <w:tcPr/>
          <w:p>
            <w:pPr>
              <w:pStyle w:val="Compact"/>
              <w:jc w:val="left"/>
            </w:pPr>
            <w:r>
              <w:t xml:space="preserve">Discharge against medical advice, % (95% CI) [n]</w:t>
            </w:r>
          </w:p>
        </w:tc>
        <w:tc>
          <w:tcPr/>
          <w:p>
            <w:pPr>
              <w:pStyle w:val="Compact"/>
              <w:jc w:val="left"/>
            </w:pPr>
            <w:r>
              <w:t xml:space="preserve">1.7% (1.7–1.8) (69,420)</w:t>
            </w:r>
          </w:p>
        </w:tc>
        <w:tc>
          <w:tcPr/>
          <w:p>
            <w:pPr>
              <w:pStyle w:val="Compact"/>
              <w:jc w:val="left"/>
            </w:pPr>
            <w:r>
              <w:t xml:space="preserve">1.5% (1.5–1.5) (57,820)</w:t>
            </w:r>
          </w:p>
        </w:tc>
        <w:tc>
          <w:tcPr/>
          <w:p>
            <w:pPr>
              <w:pStyle w:val="Compact"/>
              <w:jc w:val="left"/>
            </w:pPr>
            <w:r>
              <w:t xml:space="preserve">13.1% (12.8–13.5) (11,600)</w:t>
            </w:r>
          </w:p>
        </w:tc>
      </w:tr>
      <w:tr>
        <w:tc>
          <w:tcPr/>
          <w:p>
            <w:pPr>
              <w:pStyle w:val="Compact"/>
              <w:jc w:val="left"/>
            </w:pPr>
            <w:r>
              <w:t xml:space="preserve">Length of stay, days, median (IQR)</w:t>
            </w:r>
          </w:p>
        </w:tc>
        <w:tc>
          <w:tcPr/>
          <w:p>
            <w:pPr>
              <w:pStyle w:val="Compact"/>
              <w:jc w:val="left"/>
            </w:pPr>
            <w:r>
              <w:t xml:space="preserve">4 (3–7)</w:t>
            </w:r>
          </w:p>
        </w:tc>
        <w:tc>
          <w:tcPr/>
          <w:p>
            <w:pPr>
              <w:pStyle w:val="Compact"/>
              <w:jc w:val="left"/>
            </w:pPr>
            <w:r>
              <w:t xml:space="preserve">4 (3–7)</w:t>
            </w:r>
          </w:p>
        </w:tc>
        <w:tc>
          <w:tcPr/>
          <w:p>
            <w:pPr>
              <w:pStyle w:val="Compact"/>
              <w:jc w:val="left"/>
            </w:pPr>
            <w:r>
              <w:t xml:space="preserve">3 (2–5)</w:t>
            </w:r>
          </w:p>
        </w:tc>
      </w:tr>
      <w:tr>
        <w:tc>
          <w:tcPr/>
          <w:p>
            <w:pPr>
              <w:pStyle w:val="Compact"/>
              <w:jc w:val="left"/>
            </w:pPr>
            <w:r>
              <w:t xml:space="preserve">Total cost, median (IQR), 2022 US$</w:t>
            </w:r>
          </w:p>
        </w:tc>
        <w:tc>
          <w:tcPr/>
          <w:p>
            <w:pPr>
              <w:pStyle w:val="Compact"/>
              <w:jc w:val="left"/>
            </w:pPr>
            <w:r>
              <w:t xml:space="preserve">$9,791 ($6,250–$16,267)</w:t>
            </w:r>
          </w:p>
        </w:tc>
        <w:tc>
          <w:tcPr/>
          <w:p>
            <w:pPr>
              <w:pStyle w:val="Compact"/>
              <w:jc w:val="left"/>
            </w:pPr>
            <w:r>
              <w:t xml:space="preserve">$9,772 ($6,238–$16,246)</w:t>
            </w:r>
          </w:p>
        </w:tc>
        <w:tc>
          <w:tcPr/>
          <w:p>
            <w:pPr>
              <w:pStyle w:val="Compact"/>
              <w:jc w:val="left"/>
            </w:pPr>
            <w:r>
              <w:t xml:space="preserve">$10,731 ($6,899–</w:t>
            </w:r>
            <m:oMath>
              <m:r>
                <m:t>17</m:t>
              </m:r>
              <m:r>
                <m:rPr>
                  <m:sty m:val="p"/>
                </m:rPr>
                <m:t>,</m:t>
              </m:r>
              <m:r>
                <m:t>246</m:t>
              </m:r>
              <m:r>
                <m:rPr>
                  <m:sty m:val="p"/>
                </m:rPr>
                <m:t>)</m:t>
              </m:r>
              <m:r>
                <m:rPr>
                  <m:sty m:val="p"/>
                </m:rPr>
                <m:t>|</m:t>
              </m:r>
              <m:r>
                <m:rPr>
                  <m:sty m:val="p"/>
                </m:rPr>
                <m:t>|</m:t>
              </m:r>
              <m:r>
                <m:t>T</m:t>
              </m:r>
              <m:r>
                <m:t>o</m:t>
              </m:r>
              <m:r>
                <m:t>t</m:t>
              </m:r>
              <m:r>
                <m:t>a</m:t>
              </m:r>
              <m:r>
                <m:t>l</m:t>
              </m:r>
              <m:r>
                <m:t>c</m:t>
              </m:r>
              <m:r>
                <m:t>h</m:t>
              </m:r>
              <m:r>
                <m:t>a</m:t>
              </m:r>
              <m:r>
                <m:t>r</m:t>
              </m:r>
              <m:r>
                <m:t>g</m:t>
              </m:r>
              <m:r>
                <m:t>e</m:t>
              </m:r>
              <m:r>
                <m:t>s</m:t>
              </m:r>
              <m:r>
                <m:rPr>
                  <m:sty m:val="p"/>
                </m:rPr>
                <m:t>,</m:t>
              </m:r>
              <m:r>
                <m:t>m</m:t>
              </m:r>
              <m:r>
                <m:t>e</m:t>
              </m:r>
              <m:r>
                <m:t>d</m:t>
              </m:r>
              <m:r>
                <m:t>i</m:t>
              </m:r>
              <m:r>
                <m:t>a</m:t>
              </m:r>
              <m:r>
                <m:t>n</m:t>
              </m:r>
              <m:r>
                <m:rPr>
                  <m:sty m:val="p"/>
                </m:rPr>
                <m:t>(</m:t>
              </m:r>
              <m:r>
                <m:t>I</m:t>
              </m:r>
              <m:r>
                <m:t>Q</m:t>
              </m:r>
              <m:r>
                <m:t>R</m:t>
              </m:r>
              <m:r>
                <m:rPr>
                  <m:sty m:val="p"/>
                </m:rPr>
                <m:t>)</m:t>
              </m:r>
              <m:r>
                <m:rPr>
                  <m:sty m:val="p"/>
                </m:rPr>
                <m:t>,</m:t>
              </m:r>
              <m:r>
                <m:t>2022</m:t>
              </m:r>
              <m:r>
                <m:t>U</m:t>
              </m:r>
              <m:r>
                <m:t>S</m:t>
              </m:r>
            </m:oMath>
          </w:p>
        </w:tc>
      </w:tr>
    </w:tbl>
    <w:p>
      <w:pPr>
        <w:pStyle w:val="BodyText"/>
      </w:pPr>
      <w:r>
        <w:t xml:space="preserve"> </w:t>
      </w:r>
    </w:p>
    <w:p>
      <w:pPr>
        <w:pStyle w:val="TableCaption"/>
      </w:pPr>
      <w:r>
        <w:t xml:space="preserve">Table 2b. In-hospital mortality during the index admission, computed before the survivor restriction.</w:t>
      </w:r>
    </w:p>
    <w:tbl>
      <w:tblPr>
        <w:tblStyle w:val="Table"/>
        <w:tblW w:type="pct" w:w="5000"/>
        <w:tblLayout w:type="fixed"/>
        <w:tblLook w:firstRow="1" w:lastRow="0" w:firstColumn="0" w:lastColumn="0" w:noHBand="0" w:noVBand="0" w:val="0020"/>
        <w:tblCaption w:val="Table 2b. In-hospital mortality during the index admission, computed before the survivor restriction."/>
      </w:tblPr>
      <w:tblGrid>
        <w:gridCol w:w="2684"/>
        <w:gridCol w:w="872"/>
        <w:gridCol w:w="738"/>
        <w:gridCol w:w="2282"/>
        <w:gridCol w:w="1342"/>
      </w:tblGrid>
      <w:tr>
        <w:trPr>
          <w:tblHeader w:val="on"/>
        </w:trPr>
        <w:tc>
          <w:tcPr/>
          <w:p>
            <w:pPr>
              <w:pStyle w:val="Compact"/>
              <w:jc w:val="left"/>
            </w:pPr>
            <w:r>
              <w:t xml:space="preserve">Group</w:t>
            </w:r>
          </w:p>
        </w:tc>
        <w:tc>
          <w:tcPr/>
          <w:p>
            <w:pPr>
              <w:pStyle w:val="Compact"/>
              <w:jc w:val="left"/>
            </w:pPr>
            <w:r>
              <w:t xml:space="preserve">Unweighted n</w:t>
            </w:r>
          </w:p>
        </w:tc>
        <w:tc>
          <w:tcPr/>
          <w:p>
            <w:pPr>
              <w:pStyle w:val="Compact"/>
              <w:jc w:val="left"/>
            </w:pPr>
            <w:r>
              <w:t xml:space="preserve">Weighted N</w:t>
            </w:r>
          </w:p>
        </w:tc>
        <w:tc>
          <w:tcPr/>
          <w:p>
            <w:pPr>
              <w:pStyle w:val="Compact"/>
              <w:jc w:val="left"/>
            </w:pPr>
            <w:r>
              <w:t xml:space="preserve">In-hospital mortality, % (95% CI)</w:t>
            </w:r>
          </w:p>
        </w:tc>
        <w:tc>
          <w:tcPr/>
          <w:p>
            <w:pPr>
              <w:pStyle w:val="Compact"/>
              <w:jc w:val="left"/>
            </w:pPr>
            <w:r>
              <w:t xml:space="preserve">Deaths (unweighted)</w:t>
            </w:r>
          </w:p>
        </w:tc>
      </w:tr>
      <w:tr>
        <w:tc>
          <w:tcPr/>
          <w:p>
            <w:pPr>
              <w:pStyle w:val="Compact"/>
              <w:jc w:val="left"/>
            </w:pPr>
            <w:r>
              <w:t xml:space="preserve">Overall</w:t>
            </w:r>
          </w:p>
        </w:tc>
        <w:tc>
          <w:tcPr/>
          <w:p>
            <w:pPr>
              <w:pStyle w:val="Compact"/>
              <w:jc w:val="left"/>
            </w:pPr>
            <w:r>
              <w:t xml:space="preserve">4,335,685</w:t>
            </w:r>
          </w:p>
        </w:tc>
        <w:tc>
          <w:tcPr/>
          <w:p>
            <w:pPr>
              <w:pStyle w:val="Compact"/>
              <w:jc w:val="left"/>
            </w:pPr>
            <w:r>
              <w:t xml:space="preserve">7,930,807</w:t>
            </w:r>
          </w:p>
        </w:tc>
        <w:tc>
          <w:tcPr/>
          <w:p>
            <w:pPr>
              <w:pStyle w:val="Compact"/>
              <w:jc w:val="left"/>
            </w:pPr>
            <w:r>
              <w:t xml:space="preserve">3.1% (3.0–3.1)</w:t>
            </w:r>
          </w:p>
        </w:tc>
        <w:tc>
          <w:tcPr/>
          <w:p>
            <w:pPr>
              <w:pStyle w:val="Compact"/>
              <w:jc w:val="left"/>
            </w:pPr>
            <w:r>
              <w:t xml:space="preserve">133,959</w:t>
            </w:r>
          </w:p>
        </w:tc>
      </w:tr>
      <w:tr>
        <w:tc>
          <w:tcPr/>
          <w:p>
            <w:pPr>
              <w:pStyle w:val="Compact"/>
              <w:jc w:val="left"/>
            </w:pPr>
            <w:r>
              <w:t xml:space="preserve">No substance use disorder</w:t>
            </w:r>
          </w:p>
        </w:tc>
        <w:tc>
          <w:tcPr/>
          <w:p>
            <w:pPr>
              <w:pStyle w:val="Compact"/>
              <w:jc w:val="left"/>
            </w:pPr>
            <w:r>
              <w:t xml:space="preserve">4,229,535</w:t>
            </w:r>
          </w:p>
        </w:tc>
        <w:tc>
          <w:tcPr/>
          <w:p>
            <w:pPr>
              <w:pStyle w:val="Compact"/>
              <w:jc w:val="left"/>
            </w:pPr>
            <w:r>
              <w:t xml:space="preserve">7,762,388</w:t>
            </w:r>
          </w:p>
        </w:tc>
        <w:tc>
          <w:tcPr/>
          <w:p>
            <w:pPr>
              <w:pStyle w:val="Compact"/>
              <w:jc w:val="left"/>
            </w:pPr>
            <w:r>
              <w:t xml:space="preserve">3.1% (3.1–3.1)</w:t>
            </w:r>
          </w:p>
        </w:tc>
        <w:tc>
          <w:tcPr/>
          <w:p>
            <w:pPr>
              <w:pStyle w:val="Compact"/>
              <w:jc w:val="left"/>
            </w:pPr>
            <w:r>
              <w:t xml:space="preserve">132,431</w:t>
            </w:r>
          </w:p>
        </w:tc>
      </w:tr>
      <w:tr>
        <w:tc>
          <w:tcPr/>
          <w:p>
            <w:pPr>
              <w:pStyle w:val="Compact"/>
              <w:jc w:val="left"/>
            </w:pPr>
            <w:r>
              <w:t xml:space="preserve">Amphetamine-type stimulant use disorder</w:t>
            </w:r>
          </w:p>
        </w:tc>
        <w:tc>
          <w:tcPr/>
          <w:p>
            <w:pPr>
              <w:pStyle w:val="Compact"/>
              <w:jc w:val="left"/>
            </w:pPr>
            <w:r>
              <w:t xml:space="preserve">99,187</w:t>
            </w:r>
          </w:p>
        </w:tc>
        <w:tc>
          <w:tcPr/>
          <w:p>
            <w:pPr>
              <w:pStyle w:val="Compact"/>
              <w:jc w:val="left"/>
            </w:pPr>
            <w:r>
              <w:t xml:space="preserve">157,325</w:t>
            </w:r>
          </w:p>
        </w:tc>
        <w:tc>
          <w:tcPr/>
          <w:p>
            <w:pPr>
              <w:pStyle w:val="Compact"/>
              <w:jc w:val="left"/>
            </w:pPr>
            <w:r>
              <w:t xml:space="preserve">1.5% (1.4–1.5)</w:t>
            </w:r>
          </w:p>
        </w:tc>
        <w:tc>
          <w:tcPr/>
          <w:p>
            <w:pPr>
              <w:pStyle w:val="Compact"/>
              <w:jc w:val="left"/>
            </w:pPr>
            <w:r>
              <w:t xml:space="preserve">1,426</w:t>
            </w:r>
          </w:p>
        </w:tc>
      </w:tr>
    </w:tbl>
    <w:p>
      <w:pPr>
        <w:pStyle w:val="BodyText"/>
      </w:pPr>
      <w:r>
        <w:t xml:space="preserve"> </w:t>
      </w:r>
    </w:p>
    <w:p>
      <w:pPr>
        <w:pStyle w:val="TableCaption"/>
      </w:pPr>
      <w:r>
        <w:t xml:space="preserve">Table 2c. Characteristics of the readmission, among index admissions followed by a 30-day readmission.</w:t>
      </w:r>
    </w:p>
    <w:tbl>
      <w:tblPr>
        <w:tblStyle w:val="Table"/>
        <w:tblW w:type="pct" w:w="5000"/>
        <w:tblLayout w:type="fixed"/>
        <w:tblLook w:firstRow="1" w:lastRow="0" w:firstColumn="0" w:lastColumn="0" w:noHBand="0" w:noVBand="0" w:val="0020"/>
        <w:tblCaption w:val="Table 2c. Characteristics of the readmission, among index admissions followed by a 30-day readmission."/>
      </w:tblPr>
      <w:tblGrid>
        <w:gridCol w:w="3706"/>
        <w:gridCol w:w="1421"/>
        <w:gridCol w:w="1421"/>
        <w:gridCol w:w="1370"/>
      </w:tblGrid>
      <w:tr>
        <w:trPr>
          <w:tblHeader w:val="on"/>
        </w:trPr>
        <w:tc>
          <w:tcPr/>
          <w:p>
            <w:pPr>
              <w:pStyle w:val="Compact"/>
              <w:jc w:val="left"/>
            </w:pPr>
            <w:r>
              <w:t xml:space="preserve">Outcome</w:t>
            </w:r>
          </w:p>
        </w:tc>
        <w:tc>
          <w:tcPr/>
          <w:p>
            <w:pPr>
              <w:pStyle w:val="Compact"/>
              <w:jc w:val="left"/>
            </w:pPr>
            <w:r>
              <w:t xml:space="preserve">Overall</w:t>
            </w:r>
          </w:p>
        </w:tc>
        <w:tc>
          <w:tcPr/>
          <w:p>
            <w:pPr>
              <w:pStyle w:val="Compact"/>
              <w:jc w:val="left"/>
            </w:pPr>
            <w:r>
              <w:t xml:space="preserve">Unexposed</w:t>
            </w:r>
          </w:p>
        </w:tc>
        <w:tc>
          <w:tcPr/>
          <w:p>
            <w:pPr>
              <w:pStyle w:val="Compact"/>
              <w:jc w:val="left"/>
            </w:pPr>
            <w:r>
              <w:t xml:space="preserve">Exposed</w:t>
            </w:r>
          </w:p>
        </w:tc>
      </w:tr>
      <w:tr>
        <w:tc>
          <w:tcPr/>
          <w:p>
            <w:pPr>
              <w:pStyle w:val="Compact"/>
              <w:jc w:val="left"/>
            </w:pPr>
            <w:r>
              <w:t xml:space="preserve">Time from index discharge to readmission, days, median (IQR)</w:t>
            </w:r>
          </w:p>
        </w:tc>
        <w:tc>
          <w:tcPr/>
          <w:p>
            <w:pPr>
              <w:pStyle w:val="Compact"/>
              <w:jc w:val="left"/>
            </w:pPr>
            <w:r>
              <w:t xml:space="preserve">12 (6–20)</w:t>
            </w:r>
          </w:p>
        </w:tc>
        <w:tc>
          <w:tcPr/>
          <w:p>
            <w:pPr>
              <w:pStyle w:val="Compact"/>
              <w:jc w:val="left"/>
            </w:pPr>
            <w:r>
              <w:t xml:space="preserve">12 (6–20)</w:t>
            </w:r>
          </w:p>
        </w:tc>
        <w:tc>
          <w:tcPr/>
          <w:p>
            <w:pPr>
              <w:pStyle w:val="Compact"/>
              <w:jc w:val="left"/>
            </w:pPr>
            <w:r>
              <w:t xml:space="preserve">12 (6–19)</w:t>
            </w:r>
          </w:p>
        </w:tc>
      </w:tr>
      <w:tr>
        <w:tc>
          <w:tcPr/>
          <w:p>
            <w:pPr>
              <w:pStyle w:val="Compact"/>
              <w:jc w:val="left"/>
            </w:pPr>
            <w:r>
              <w:t xml:space="preserve">Readmission length of stay, days, median (IQR)</w:t>
            </w:r>
          </w:p>
        </w:tc>
        <w:tc>
          <w:tcPr/>
          <w:p>
            <w:pPr>
              <w:pStyle w:val="Compact"/>
              <w:jc w:val="left"/>
            </w:pPr>
            <w:r>
              <w:t xml:space="preserve">5 (3–8)</w:t>
            </w:r>
          </w:p>
        </w:tc>
        <w:tc>
          <w:tcPr/>
          <w:p>
            <w:pPr>
              <w:pStyle w:val="Compact"/>
              <w:jc w:val="left"/>
            </w:pPr>
            <w:r>
              <w:t xml:space="preserve">5 (3–8)</w:t>
            </w:r>
          </w:p>
        </w:tc>
        <w:tc>
          <w:tcPr/>
          <w:p>
            <w:pPr>
              <w:pStyle w:val="Compact"/>
              <w:jc w:val="left"/>
            </w:pPr>
            <w:r>
              <w:t xml:space="preserve">4 (2–6)</w:t>
            </w:r>
          </w:p>
        </w:tc>
      </w:tr>
      <w:tr>
        <w:tc>
          <w:tcPr/>
          <w:p>
            <w:pPr>
              <w:pStyle w:val="Compact"/>
              <w:jc w:val="left"/>
            </w:pPr>
            <w:r>
              <w:t xml:space="preserve">Unplanned (non-elective) readmission, % (95% CI) [n]</w:t>
            </w:r>
          </w:p>
        </w:tc>
        <w:tc>
          <w:tcPr/>
          <w:p>
            <w:pPr>
              <w:pStyle w:val="Compact"/>
              <w:jc w:val="left"/>
            </w:pPr>
            <w:r>
              <w:t xml:space="preserve">94.6% (94.5–94.7) (825,167)</w:t>
            </w:r>
          </w:p>
        </w:tc>
        <w:tc>
          <w:tcPr/>
          <w:p>
            <w:pPr>
              <w:pStyle w:val="Compact"/>
              <w:jc w:val="left"/>
            </w:pPr>
            <w:r>
              <w:t xml:space="preserve">94.5% (94.4–94.6) (797,512)</w:t>
            </w:r>
          </w:p>
        </w:tc>
        <w:tc>
          <w:tcPr/>
          <w:p>
            <w:pPr>
              <w:pStyle w:val="Compact"/>
              <w:jc w:val="left"/>
            </w:pPr>
            <w:r>
              <w:t xml:space="preserve">98.4% (98.3–98.6) (27,655)</w:t>
            </w:r>
          </w:p>
        </w:tc>
      </w:tr>
      <w:tr>
        <w:tc>
          <w:tcPr/>
          <w:p>
            <w:pPr>
              <w:pStyle w:val="Compact"/>
              <w:jc w:val="left"/>
            </w:pPr>
            <w:r>
              <w:t xml:space="preserve">In-hospital death at readmission, % (95% CI) [n]</w:t>
            </w:r>
          </w:p>
        </w:tc>
        <w:tc>
          <w:tcPr/>
          <w:p>
            <w:pPr>
              <w:pStyle w:val="Compact"/>
              <w:jc w:val="left"/>
            </w:pPr>
            <w:r>
              <w:t xml:space="preserve">6.7% (6.7–6.8) (59,163)</w:t>
            </w:r>
          </w:p>
        </w:tc>
        <w:tc>
          <w:tcPr/>
          <w:p>
            <w:pPr>
              <w:pStyle w:val="Compact"/>
              <w:jc w:val="left"/>
            </w:pPr>
            <w:r>
              <w:t xml:space="preserve">6.8% (6.8–6.9) (58,318)</w:t>
            </w:r>
          </w:p>
        </w:tc>
        <w:tc>
          <w:tcPr/>
          <w:p>
            <w:pPr>
              <w:pStyle w:val="Compact"/>
              <w:jc w:val="left"/>
            </w:pPr>
            <w:r>
              <w:t xml:space="preserve">3.0% (2.8–3.2) (845)</w:t>
            </w:r>
          </w:p>
        </w:tc>
      </w:tr>
      <w:tr>
        <w:tc>
          <w:tcPr/>
          <w:p>
            <w:pPr>
              <w:pStyle w:val="Compact"/>
              <w:jc w:val="left"/>
            </w:pPr>
            <w:r>
              <w:t xml:space="preserve">Readmission with a heart failure principal diagnosis, % (95% CI) [n]</w:t>
            </w:r>
          </w:p>
        </w:tc>
        <w:tc>
          <w:tcPr/>
          <w:p>
            <w:pPr>
              <w:pStyle w:val="Compact"/>
              <w:jc w:val="left"/>
            </w:pPr>
            <w:r>
              <w:t xml:space="preserve">36.8% (36.7–37.0) (319,829)</w:t>
            </w:r>
          </w:p>
        </w:tc>
        <w:tc>
          <w:tcPr/>
          <w:p>
            <w:pPr>
              <w:pStyle w:val="Compact"/>
              <w:jc w:val="left"/>
            </w:pPr>
            <w:r>
              <w:t xml:space="preserve">36.2% (36.1–36.4) (303,796)</w:t>
            </w:r>
          </w:p>
        </w:tc>
        <w:tc>
          <w:tcPr/>
          <w:p>
            <w:pPr>
              <w:pStyle w:val="Compact"/>
              <w:jc w:val="left"/>
            </w:pPr>
            <w:r>
              <w:t xml:space="preserve">57.1% (56.4–57.8) (16,033)</w:t>
            </w:r>
          </w:p>
        </w:tc>
      </w:tr>
      <w:tr>
        <w:tc>
          <w:tcPr/>
          <w:p>
            <w:pPr>
              <w:pStyle w:val="Compact"/>
              <w:jc w:val="left"/>
            </w:pPr>
            <w:r>
              <w:t xml:space="preserve">Readmission with a substance-related principal diagnosis, % (95% CI) [n]</w:t>
            </w:r>
          </w:p>
        </w:tc>
        <w:tc>
          <w:tcPr/>
          <w:p>
            <w:pPr>
              <w:pStyle w:val="Compact"/>
              <w:jc w:val="left"/>
            </w:pPr>
            <w:r>
              <w:t xml:space="preserve">0.1% (0.1–0.1) (558)</w:t>
            </w:r>
          </w:p>
        </w:tc>
        <w:tc>
          <w:tcPr/>
          <w:p>
            <w:pPr>
              <w:pStyle w:val="Compact"/>
              <w:jc w:val="left"/>
            </w:pPr>
            <w:r>
              <w:t xml:space="preserve">0.0% (0.0–0.0) (365)</w:t>
            </w:r>
          </w:p>
        </w:tc>
        <w:tc>
          <w:tcPr/>
          <w:p>
            <w:pPr>
              <w:pStyle w:val="Compact"/>
              <w:jc w:val="left"/>
            </w:pPr>
            <w:r>
              <w:t xml:space="preserve">0.7% (0.6–0.9) (193)</w:t>
            </w:r>
          </w:p>
        </w:tc>
      </w:tr>
      <w:tr>
        <w:tc>
          <w:tcPr/>
          <w:p>
            <w:pPr>
              <w:pStyle w:val="Compact"/>
              <w:jc w:val="left"/>
            </w:pPr>
            <w:r>
              <w:t xml:space="preserve">Readmission cost, median (IQR), 2022 US$</w:t>
            </w:r>
          </w:p>
        </w:tc>
        <w:tc>
          <w:tcPr/>
          <w:p>
            <w:pPr>
              <w:pStyle w:val="Compact"/>
              <w:jc w:val="left"/>
            </w:pPr>
            <w:r>
              <w:t xml:space="preserve">$11,352 ($6,686–$21,322)</w:t>
            </w:r>
          </w:p>
        </w:tc>
        <w:tc>
          <w:tcPr/>
          <w:p>
            <w:pPr>
              <w:pStyle w:val="Compact"/>
              <w:jc w:val="left"/>
            </w:pPr>
            <w:r>
              <w:t xml:space="preserve">$11,360 ($6,686–$21,372)</w:t>
            </w:r>
          </w:p>
        </w:tc>
        <w:tc>
          <w:tcPr/>
          <w:p>
            <w:pPr>
              <w:pStyle w:val="Compact"/>
              <w:jc w:val="left"/>
            </w:pPr>
            <w:r>
              <w:t xml:space="preserve">$11,075 ($6,698–$19,706)</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saada\AppData\Local\Programs\Positron\resources\app\quarto\share\formats\docx\note.png" id="35"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All percentages are design-based national estimates with 95% confidence intervals from the survey design; the bracketed figure is the unweighted event count. Readmission, length of stay, cost and disposition are computed on the index cohort (discharge survivors with a complete 30-day window); in-hospital mortality is computed on the full heart failure cohort, which retains in-hospital deaths, because that is the only denominator on which a mortality rate is interpretable. The two denominators are reported separately and are never mixed. Readmission characteristics are computed on index admissions that were followed by a readmission. These are unadjusted comparisons; the adjusted estimates are in Table 3.</w:t>
            </w:r>
          </w:p>
          <w:p/>
        </w:tc>
      </w:tr>
    </w:tbl>
    <w:bookmarkEnd w:id="36"/>
    <w:bookmarkStart w:id="45" w:name="sec-primary"/>
    <w:p>
      <w:pPr>
        <w:pStyle w:val="Heading2"/>
      </w:pPr>
      <w:r>
        <w:t xml:space="preserve">3.3 Primary analysis</w:t>
      </w:r>
    </w:p>
    <w:p>
      <w:pPr>
        <w:pStyle w:val="TableCaption"/>
      </w:pPr>
      <w:r>
        <w:t xml:space="preserve">Table 3. Primary analysis: adjusted association between amphetamine-type stimulant use disorder and 30-day all-cause readmission.</w:t>
      </w:r>
    </w:p>
    <w:tbl>
      <w:tblPr>
        <w:tblStyle w:val="Table"/>
        <w:tblW w:type="pct" w:w="5000"/>
        <w:tblLayout w:type="fixed"/>
        <w:tblLook w:firstRow="1" w:lastRow="0" w:firstColumn="0" w:lastColumn="0" w:noHBand="0" w:noVBand="0" w:val="0020"/>
        <w:tblCaption w:val="Table 3. Primary analysis: adjusted association between amphetamine-type stimulant use disorder and 30-day all-cause readmission."/>
      </w:tblPr>
      <w:tblGrid>
        <w:gridCol w:w="5497"/>
        <w:gridCol w:w="1677"/>
        <w:gridCol w:w="745"/>
      </w:tblGrid>
      <w:tr>
        <w:trPr>
          <w:tblHeader w:val="on"/>
        </w:trPr>
        <w:tc>
          <w:tcPr/>
          <w:p>
            <w:pPr>
              <w:pStyle w:val="Compact"/>
              <w:jc w:val="left"/>
            </w:pPr>
            <w:r>
              <w:t xml:space="preserve">Quantity</w:t>
            </w:r>
          </w:p>
        </w:tc>
        <w:tc>
          <w:tcPr/>
          <w:p>
            <w:pPr>
              <w:pStyle w:val="Compact"/>
              <w:jc w:val="left"/>
            </w:pPr>
            <w:r>
              <w:t xml:space="preserve">Estimate (95% CI)</w:t>
            </w:r>
          </w:p>
        </w:tc>
        <w:tc>
          <w:tcPr/>
          <w:p>
            <w:pPr>
              <w:pStyle w:val="Compact"/>
              <w:jc w:val="left"/>
            </w:pPr>
            <w:r>
              <w:t xml:space="preserve">p value</w:t>
            </w:r>
          </w:p>
        </w:tc>
      </w:tr>
      <w:tr>
        <w:tc>
          <w:tcPr/>
          <w:p>
            <w:pPr>
              <w:pStyle w:val="Compact"/>
              <w:jc w:val="left"/>
            </w:pPr>
            <w:r>
              <w:t xml:space="preserve">Adjusted risk, No substance use disorder</w:t>
            </w:r>
          </w:p>
        </w:tc>
        <w:tc>
          <w:tcPr/>
          <w:p>
            <w:pPr>
              <w:pStyle w:val="Compact"/>
              <w:jc w:val="left"/>
            </w:pPr>
            <w:r>
              <w:t xml:space="preserve">22.8% (22.7–22.9)</w:t>
            </w:r>
          </w:p>
        </w:tc>
        <w:tc>
          <w:tcPr/>
          <w:p>
            <w:pPr>
              <w:pStyle w:val="Compact"/>
            </w:pPr>
          </w:p>
        </w:tc>
      </w:tr>
      <w:tr>
        <w:tc>
          <w:tcPr/>
          <w:p>
            <w:pPr>
              <w:pStyle w:val="Compact"/>
              <w:jc w:val="left"/>
            </w:pPr>
            <w:r>
              <w:t xml:space="preserve">Adjusted risk, Amphetamine-type stimulant use disorder</w:t>
            </w:r>
          </w:p>
        </w:tc>
        <w:tc>
          <w:tcPr/>
          <w:p>
            <w:pPr>
              <w:pStyle w:val="Compact"/>
              <w:jc w:val="left"/>
            </w:pPr>
            <w:r>
              <w:t xml:space="preserve">28.4% (28.0–28.8)</w:t>
            </w:r>
          </w:p>
        </w:tc>
        <w:tc>
          <w:tcPr/>
          <w:p>
            <w:pPr>
              <w:pStyle w:val="Compact"/>
            </w:pPr>
          </w:p>
        </w:tc>
      </w:tr>
      <w:tr>
        <w:tc>
          <w:tcPr/>
          <w:p>
            <w:pPr>
              <w:pStyle w:val="Compact"/>
              <w:jc w:val="left"/>
            </w:pPr>
            <w:r>
              <w:t xml:space="preserve">Adjusted risk difference (percentage points)</w:t>
            </w:r>
          </w:p>
        </w:tc>
        <w:tc>
          <w:tcPr/>
          <w:p>
            <w:pPr>
              <w:pStyle w:val="Compact"/>
              <w:jc w:val="left"/>
            </w:pPr>
            <w:r>
              <w:t xml:space="preserve">5.64 (5.23–6.04)</w:t>
            </w:r>
          </w:p>
        </w:tc>
        <w:tc>
          <w:tcPr/>
          <w:p>
            <w:pPr>
              <w:pStyle w:val="Compact"/>
              <w:jc w:val="left"/>
            </w:pPr>
            <w:r>
              <w:t xml:space="preserve">&lt;0.001</w:t>
            </w:r>
          </w:p>
        </w:tc>
      </w:tr>
      <w:tr>
        <w:tc>
          <w:tcPr/>
          <w:p>
            <w:pPr>
              <w:pStyle w:val="Compact"/>
              <w:jc w:val="left"/>
            </w:pPr>
            <w:r>
              <w:t xml:space="preserve">Adjusted risk ratio</w:t>
            </w:r>
          </w:p>
        </w:tc>
        <w:tc>
          <w:tcPr/>
          <w:p>
            <w:pPr>
              <w:pStyle w:val="Compact"/>
              <w:jc w:val="left"/>
            </w:pPr>
            <w:r>
              <w:t xml:space="preserve">1.25 (1.23–1.27)</w:t>
            </w:r>
          </w:p>
        </w:tc>
        <w:tc>
          <w:tcPr/>
          <w:p>
            <w:pPr>
              <w:pStyle w:val="Compact"/>
            </w:pPr>
          </w:p>
        </w:tc>
      </w:tr>
      <w:tr>
        <w:tc>
          <w:tcPr/>
          <w:p>
            <w:pPr>
              <w:pStyle w:val="Compact"/>
              <w:jc w:val="left"/>
            </w:pPr>
            <w:r>
              <w:t xml:space="preserve">Adjusted odds ratio</w:t>
            </w:r>
          </w:p>
        </w:tc>
        <w:tc>
          <w:tcPr/>
          <w:p>
            <w:pPr>
              <w:pStyle w:val="Compact"/>
              <w:jc w:val="left"/>
            </w:pPr>
            <w:r>
              <w:t xml:space="preserve">1.35 (1.33–1.38)</w:t>
            </w:r>
          </w:p>
        </w:tc>
        <w:tc>
          <w:tcPr/>
          <w:p>
            <w:pPr>
              <w:pStyle w:val="Compact"/>
              <w:jc w:val="left"/>
            </w:pPr>
            <w:r>
              <w:t xml:space="preserve">&lt;0.001</w:t>
            </w:r>
          </w:p>
        </w:tc>
      </w:tr>
      <w:tr>
        <w:tc>
          <w:tcPr/>
          <w:p>
            <w:pPr>
              <w:pStyle w:val="Compact"/>
              <w:jc w:val="left"/>
            </w:pPr>
            <w:r>
              <w:t xml:space="preserve">Number needed to be exposed for one additional readmission</w:t>
            </w:r>
          </w:p>
        </w:tc>
        <w:tc>
          <w:tcPr/>
          <w:p>
            <w:pPr>
              <w:pStyle w:val="Compact"/>
              <w:jc w:val="left"/>
            </w:pPr>
            <w:r>
              <w:t xml:space="preserve">18</w:t>
            </w:r>
          </w:p>
        </w:tc>
        <w:tc>
          <w:tcPr/>
          <w:p>
            <w:pPr>
              <w:pStyle w:val="Compact"/>
            </w:pPr>
          </w:p>
        </w:tc>
      </w:tr>
    </w:tbl>
    <w:p>
      <w:pPr>
        <w:pStyle w:val="CaptionedFigure"/>
      </w:pPr>
      <w:r>
        <w:drawing>
          <wp:inline>
            <wp:extent cx="5334000" cy="3809999"/>
            <wp:effectExtent b="0" l="0" r="0" t="0"/>
            <wp:docPr descr="Figure 2. Unadjusted rate and adjusted standardized risk of 30-day readmission, by exposure." title="" id="38" name="Picture"/>
            <a:graphic>
              <a:graphicData uri="http://schemas.openxmlformats.org/drawingml/2006/picture">
                <pic:pic>
                  <pic:nvPicPr>
                    <pic:cNvPr descr="index_files/figure-docx/fig2-show-1.png" id="39" name="Picture"/>
                    <pic:cNvPicPr>
                      <a:picLocks noChangeArrowheads="1" noChangeAspect="1"/>
                    </pic:cNvPicPr>
                  </pic:nvPicPr>
                  <pic:blipFill>
                    <a:blip r:embed="rId37"/>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2. Unadjusted rate and adjusted standardized risk of 30-day readmission, by exposure.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C:\Users\saada\AppData\Local\Programs\Positron\resources\app\quarto\share\formats\docx\note.png" id="41"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primary model is a survey-weighted logistic regression of 30-day all-cause readmission on amphetamine-type stimulant use disorder, adjusted for the pre-specified covariate blocks: age modelled as a restricted cubic spline with four knots, sex, primary payer, ZIP-code income quartile, NCHS urban-rural residence, weekend admission, admission type, hospital bed size, location and teaching status, ownership, discharge year, the Elixhauser comorbidity set excluding the drug-abuse and alcohol-abuse flags, heart failure phenotype, cardiogenic shock, mechanical ventilation, chronic dialysis dependence, cardiac device in situ, cardiomyopathy, and housing instability. Adjusted absolute risks were obtained by marginal standardization over the whole analytic cohort with delta-method variance on the design-based covariance matrix and t critical values on 15936 design degrees of freedom. The following pre-specified covariates were removed by the sparse-cell guard because their smallest outcome cell fell below 11 unweighted discharges, which would otherwise cause quasi-complete separation: elix_chf. The Elixhauser drug-abuse and alcohol-abuse flags were excluded by pre-specification, not after inspection, because they are collinear with the exposure by construction. Nicotine dependence was deliberately not adjusted for: it is a near-universal co-code in the exposed arm and conditioning on it would be over-adjustment on a proxy of the exposure. Sequential Models 1 to 4 are NOT monotone – check whether a covariate has been misclassified as a mediator. The Model 4 to Model 5 change is attenuation consistent with mediation and is not an adjusted estimate.</w:t>
            </w:r>
          </w:p>
          <w:p/>
        </w:tc>
      </w:tr>
    </w:tbl>
    <w:bookmarkStart w:id="42" w:name="sec-evalue"/>
    <w:p>
      <w:pPr>
        <w:pStyle w:val="Heading3"/>
      </w:pPr>
      <w:r>
        <w:t xml:space="preserve">3.3.1 Unmeasured confounding</w:t>
      </w:r>
    </w:p>
    <w:p>
      <w:pPr>
        <w:pStyle w:val="FirstParagraph"/>
      </w:pPr>
      <w:r>
        <w:t xml:space="preserve">An unmeasured confounder would need to be associated with both amphetamine-type stimulant use disorder and 30-day readmission by a risk ratio of at least 1.80 each, above and beyond the measured covariates, to explain away the observed adjusted risk ratio of 1.25; to move the confidence limit closest to the null to 1.00 the required association is 1.76. The most plausible such confounder here is housing instability, which is partly but not completely captured by the Z59.x diagnosis code included in the model.</w:t>
      </w:r>
    </w:p>
    <w:bookmarkEnd w:id="42"/>
    <w:bookmarkStart w:id="43" w:name="sec-housing"/>
    <w:p>
      <w:pPr>
        <w:pStyle w:val="Heading3"/>
      </w:pPr>
      <w:r>
        <w:t xml:space="preserve">3.3.2 Housing instability</w:t>
      </w:r>
    </w:p>
    <w:p>
      <w:pPr>
        <w:pStyle w:val="TableCaption"/>
      </w:pPr>
      <w:r>
        <w:t xml:space="preserve">Table 3b. Primary estimate with and without adjustment for housing instability (Z59.x).</w:t>
      </w:r>
    </w:p>
    <w:tbl>
      <w:tblPr>
        <w:tblStyle w:val="Table"/>
        <w:tblW w:type="pct" w:w="5000"/>
        <w:tblLayout w:type="fixed"/>
        <w:tblLook w:firstRow="1" w:lastRow="0" w:firstColumn="0" w:lastColumn="0" w:noHBand="0" w:noVBand="0" w:val="0020"/>
        <w:tblCaption w:val="Table 3b. Primary estimate with and without adjustment for housing instability (Z59.x)."/>
      </w:tblPr>
      <w:tblGrid>
        <w:gridCol w:w="2712"/>
        <w:gridCol w:w="1139"/>
        <w:gridCol w:w="433"/>
        <w:gridCol w:w="2061"/>
        <w:gridCol w:w="1573"/>
      </w:tblGrid>
      <w:tr>
        <w:trPr>
          <w:tblHeader w:val="on"/>
        </w:trPr>
        <w:tc>
          <w:tcPr/>
          <w:p>
            <w:pPr>
              <w:pStyle w:val="Compact"/>
              <w:jc w:val="left"/>
            </w:pPr>
            <w:r>
              <w:t xml:space="preserve">Analysis</w:t>
            </w:r>
          </w:p>
        </w:tc>
        <w:tc>
          <w:tcPr/>
          <w:p>
            <w:pPr>
              <w:pStyle w:val="Compact"/>
              <w:jc w:val="left"/>
            </w:pPr>
            <w:r>
              <w:t xml:space="preserve">Adjusted OR (95% CI)</w:t>
            </w:r>
          </w:p>
        </w:tc>
        <w:tc>
          <w:tcPr/>
          <w:p>
            <w:pPr>
              <w:pStyle w:val="Compact"/>
              <w:jc w:val="left"/>
            </w:pPr>
            <w:r>
              <w:t xml:space="preserve">p value</w:t>
            </w:r>
          </w:p>
        </w:tc>
        <w:tc>
          <w:tcPr/>
          <w:p>
            <w:pPr>
              <w:pStyle w:val="Compact"/>
              <w:jc w:val="left"/>
            </w:pPr>
            <w:r>
              <w:t xml:space="preserve">Adjusted risk difference, pp (95% CI)</w:t>
            </w:r>
          </w:p>
        </w:tc>
        <w:tc>
          <w:tcPr/>
          <w:p>
            <w:pPr>
              <w:pStyle w:val="Compact"/>
              <w:jc w:val="left"/>
            </w:pPr>
            <w:r>
              <w:t xml:space="preserve">Adjusted risk ratio (95% CI)</w:t>
            </w:r>
          </w:p>
        </w:tc>
      </w:tr>
      <w:tr>
        <w:tc>
          <w:tcPr/>
          <w:p>
            <w:pPr>
              <w:pStyle w:val="Compact"/>
              <w:jc w:val="left"/>
            </w:pPr>
            <w:r>
              <w:t xml:space="preserve">Without housing instability (Z59.x)</w:t>
            </w:r>
          </w:p>
        </w:tc>
        <w:tc>
          <w:tcPr/>
          <w:p>
            <w:pPr>
              <w:pStyle w:val="Compact"/>
              <w:jc w:val="left"/>
            </w:pPr>
            <w:r>
              <w:t xml:space="preserve">1.40 (1.37–1.43)</w:t>
            </w:r>
          </w:p>
        </w:tc>
        <w:tc>
          <w:tcPr/>
          <w:p>
            <w:pPr>
              <w:pStyle w:val="Compact"/>
              <w:jc w:val="left"/>
            </w:pPr>
            <w:r>
              <w:t xml:space="preserve">&lt;0.001</w:t>
            </w:r>
          </w:p>
        </w:tc>
        <w:tc>
          <w:tcPr/>
          <w:p>
            <w:pPr>
              <w:pStyle w:val="Compact"/>
              <w:jc w:val="left"/>
            </w:pPr>
            <w:r>
              <w:t xml:space="preserve">6.27 (5.86–6.67)</w:t>
            </w:r>
          </w:p>
        </w:tc>
        <w:tc>
          <w:tcPr/>
          <w:p>
            <w:pPr>
              <w:pStyle w:val="Compact"/>
              <w:jc w:val="left"/>
            </w:pPr>
            <w:r>
              <w:t xml:space="preserve">1.28 (1.26–1.29)</w:t>
            </w:r>
          </w:p>
        </w:tc>
      </w:tr>
      <w:tr>
        <w:tc>
          <w:tcPr/>
          <w:p>
            <w:pPr>
              <w:pStyle w:val="Compact"/>
              <w:jc w:val="left"/>
            </w:pPr>
            <w:r>
              <w:t xml:space="preserve">With housing instability (Z59.x) – PRIMARY MODEL</w:t>
            </w:r>
          </w:p>
        </w:tc>
        <w:tc>
          <w:tcPr/>
          <w:p>
            <w:pPr>
              <w:pStyle w:val="Compact"/>
              <w:jc w:val="left"/>
            </w:pPr>
            <w:r>
              <w:t xml:space="preserve">1.35 (1.33–1.38)</w:t>
            </w:r>
          </w:p>
        </w:tc>
        <w:tc>
          <w:tcPr/>
          <w:p>
            <w:pPr>
              <w:pStyle w:val="Compact"/>
              <w:jc w:val="left"/>
            </w:pPr>
            <w:r>
              <w:t xml:space="preserve">&lt;0.001</w:t>
            </w:r>
          </w:p>
        </w:tc>
        <w:tc>
          <w:tcPr/>
          <w:p>
            <w:pPr>
              <w:pStyle w:val="Compact"/>
              <w:jc w:val="left"/>
            </w:pPr>
            <w:r>
              <w:t xml:space="preserve">5.64 (5.23–6.04)</w:t>
            </w:r>
          </w:p>
        </w:tc>
        <w:tc>
          <w:tcPr/>
          <w:p>
            <w:pPr>
              <w:pStyle w:val="Compact"/>
              <w:jc w:val="left"/>
            </w:pPr>
            <w:r>
              <w:t xml:space="preserve">1.25 (1.23–1.27)</w:t>
            </w:r>
          </w:p>
        </w:tc>
      </w:tr>
    </w:tbl>
    <w:bookmarkEnd w:id="43"/>
    <w:bookmarkStart w:id="44" w:name="sec-crosscheck"/>
    <w:p>
      <w:pPr>
        <w:pStyle w:val="Heading3"/>
      </w:pPr>
      <w:r>
        <w:t xml:space="preserve">3.3.3 Numerical cross-check of the g-computation</w:t>
      </w:r>
    </w:p>
    <w:p>
      <w:pPr>
        <w:pStyle w:val="TableCaption"/>
      </w:pPr>
      <w:r>
        <w:t xml:space="preserve">Table S5. Independent re-computation of the adjusted risk difference.</w:t>
      </w:r>
    </w:p>
    <w:tbl>
      <w:tblPr>
        <w:tblStyle w:val="Table"/>
        <w:tblW w:type="pct" w:w="5000"/>
        <w:tblLayout w:type="fixed"/>
        <w:tblLook w:firstRow="1" w:lastRow="0" w:firstColumn="0" w:lastColumn="0" w:noHBand="0" w:noVBand="0" w:val="0020"/>
        <w:tblCaption w:val="Table S5. Independent re-computation of the adjusted risk difference."/>
      </w:tblPr>
      <w:tblGrid>
        <w:gridCol w:w="2121"/>
        <w:gridCol w:w="707"/>
        <w:gridCol w:w="1650"/>
        <w:gridCol w:w="942"/>
        <w:gridCol w:w="2498"/>
      </w:tblGrid>
      <w:tr>
        <w:trPr>
          <w:tblHeader w:val="on"/>
        </w:trPr>
        <w:tc>
          <w:tcPr/>
          <w:p>
            <w:pPr>
              <w:pStyle w:val="Compact"/>
              <w:jc w:val="left"/>
            </w:pPr>
            <w:r>
              <w:t xml:space="preserve">Quantity</w:t>
            </w:r>
          </w:p>
        </w:tc>
        <w:tc>
          <w:tcPr/>
          <w:p>
            <w:pPr>
              <w:pStyle w:val="Compact"/>
              <w:jc w:val="left"/>
            </w:pPr>
            <w:r>
              <w:t xml:space="preserve">svy_std_risk()</w:t>
            </w:r>
          </w:p>
        </w:tc>
        <w:tc>
          <w:tcPr/>
          <w:p>
            <w:pPr>
              <w:pStyle w:val="Compact"/>
              <w:jc w:val="left"/>
            </w:pPr>
            <w:r>
              <w:t xml:space="preserve">marginaleffects::avg_comparisons()</w:t>
            </w:r>
          </w:p>
        </w:tc>
        <w:tc>
          <w:tcPr/>
          <w:p>
            <w:pPr>
              <w:pStyle w:val="Compact"/>
              <w:jc w:val="left"/>
            </w:pPr>
            <w:r>
              <w:t xml:space="preserve">Absolute difference</w:t>
            </w:r>
          </w:p>
        </w:tc>
        <w:tc>
          <w:tcPr/>
          <w:p>
            <w:pPr>
              <w:pStyle w:val="Compact"/>
              <w:jc w:val="left"/>
            </w:pPr>
            <w:r>
              <w:t xml:space="preserve">Agreement</w:t>
            </w:r>
          </w:p>
        </w:tc>
      </w:tr>
      <w:tr>
        <w:tc>
          <w:tcPr/>
          <w:p>
            <w:pPr>
              <w:pStyle w:val="Compact"/>
              <w:jc w:val="left"/>
            </w:pPr>
            <w:r>
              <w:t xml:space="preserve">Adjusted risk difference (percentage points)</w:t>
            </w:r>
          </w:p>
        </w:tc>
        <w:tc>
          <w:tcPr/>
          <w:p>
            <w:pPr>
              <w:pStyle w:val="Compact"/>
              <w:jc w:val="left"/>
            </w:pPr>
            <w:r>
              <w:t xml:space="preserve">5.6370</w:t>
            </w:r>
          </w:p>
        </w:tc>
        <w:tc>
          <w:tcPr/>
          <w:p>
            <w:pPr>
              <w:pStyle w:val="Compact"/>
              <w:jc w:val="left"/>
            </w:pPr>
            <w:r>
              <w:t xml:space="preserve">5.6370</w:t>
            </w:r>
          </w:p>
        </w:tc>
        <w:tc>
          <w:tcPr/>
          <w:p>
            <w:pPr>
              <w:pStyle w:val="Compact"/>
              <w:jc w:val="left"/>
            </w:pPr>
            <w:r>
              <w:t xml:space="preserve">0.000000</w:t>
            </w:r>
          </w:p>
        </w:tc>
        <w:tc>
          <w:tcPr/>
          <w:p>
            <w:pPr>
              <w:pStyle w:val="Compact"/>
              <w:jc w:val="left"/>
            </w:pPr>
            <w:r>
              <w:t xml:space="preserve">AGREE (within the pre-specified numerical tolerance)</w:t>
            </w:r>
          </w:p>
        </w:tc>
      </w:tr>
    </w:tbl>
    <w:bookmarkEnd w:id="44"/>
    <w:bookmarkEnd w:id="45"/>
    <w:bookmarkStart w:id="52" w:name="sec-sequential"/>
    <w:p>
      <w:pPr>
        <w:pStyle w:val="Heading2"/>
      </w:pPr>
      <w:r>
        <w:t xml:space="preserve">3.4 Sequential adjustment</w:t>
      </w:r>
    </w:p>
    <w:p>
      <w:pPr>
        <w:pStyle w:val="TableCaption"/>
      </w:pPr>
      <w:r>
        <w:t xml:space="preserve">Table 4. Effect of sequential covariate adjustment on the exposure estimate.</w:t>
      </w:r>
    </w:p>
    <w:tbl>
      <w:tblPr>
        <w:tblStyle w:val="Table"/>
        <w:tblW w:type="pct" w:w="5000"/>
        <w:tblLayout w:type="fixed"/>
        <w:tblLook w:firstRow="1" w:lastRow="0" w:firstColumn="0" w:lastColumn="0" w:noHBand="0" w:noVBand="0" w:val="0020"/>
        <w:tblCaption w:val="Table 4. Effect of sequential covariate adjustment on the exposure estimate."/>
      </w:tblPr>
      <w:tblGrid>
        <w:gridCol w:w="3499"/>
        <w:gridCol w:w="966"/>
        <w:gridCol w:w="368"/>
        <w:gridCol w:w="1749"/>
        <w:gridCol w:w="1335"/>
      </w:tblGrid>
      <w:tr>
        <w:trPr>
          <w:tblHeader w:val="on"/>
        </w:trPr>
        <w:tc>
          <w:tcPr/>
          <w:p>
            <w:pPr>
              <w:pStyle w:val="Compact"/>
              <w:jc w:val="left"/>
            </w:pPr>
            <w:r>
              <w:t xml:space="preserve">Analysis</w:t>
            </w:r>
          </w:p>
        </w:tc>
        <w:tc>
          <w:tcPr/>
          <w:p>
            <w:pPr>
              <w:pStyle w:val="Compact"/>
              <w:jc w:val="left"/>
            </w:pPr>
            <w:r>
              <w:t xml:space="preserve">Adjusted OR (95% CI)</w:t>
            </w:r>
          </w:p>
        </w:tc>
        <w:tc>
          <w:tcPr/>
          <w:p>
            <w:pPr>
              <w:pStyle w:val="Compact"/>
              <w:jc w:val="left"/>
            </w:pPr>
            <w:r>
              <w:t xml:space="preserve">p value</w:t>
            </w:r>
          </w:p>
        </w:tc>
        <w:tc>
          <w:tcPr/>
          <w:p>
            <w:pPr>
              <w:pStyle w:val="Compact"/>
              <w:jc w:val="left"/>
            </w:pPr>
            <w:r>
              <w:t xml:space="preserve">Adjusted risk difference, pp (95% CI)</w:t>
            </w:r>
          </w:p>
        </w:tc>
        <w:tc>
          <w:tcPr/>
          <w:p>
            <w:pPr>
              <w:pStyle w:val="Compact"/>
              <w:jc w:val="left"/>
            </w:pPr>
            <w:r>
              <w:t xml:space="preserve">Adjusted risk ratio (95% CI)</w:t>
            </w:r>
          </w:p>
        </w:tc>
      </w:tr>
      <w:tr>
        <w:tc>
          <w:tcPr/>
          <w:p>
            <w:pPr>
              <w:pStyle w:val="Compact"/>
              <w:jc w:val="left"/>
            </w:pPr>
            <w:r>
              <w:t xml:space="preserve">Model 1: unadjusted</w:t>
            </w:r>
          </w:p>
        </w:tc>
        <w:tc>
          <w:tcPr/>
          <w:p>
            <w:pPr>
              <w:pStyle w:val="Compact"/>
              <w:jc w:val="left"/>
            </w:pPr>
            <w:r>
              <w:t xml:space="preserve">1.56 (1.53–1.59)</w:t>
            </w:r>
          </w:p>
        </w:tc>
        <w:tc>
          <w:tcPr/>
          <w:p>
            <w:pPr>
              <w:pStyle w:val="Compact"/>
              <w:jc w:val="left"/>
            </w:pPr>
            <w:r>
              <w:t xml:space="preserve">&lt;0.001</w:t>
            </w:r>
          </w:p>
        </w:tc>
        <w:tc>
          <w:tcPr/>
          <w:p>
            <w:pPr>
              <w:pStyle w:val="Compact"/>
              <w:jc w:val="left"/>
            </w:pPr>
            <w:r>
              <w:t xml:space="preserve">8.73 (8.31–9.15)</w:t>
            </w:r>
          </w:p>
        </w:tc>
        <w:tc>
          <w:tcPr/>
          <w:p>
            <w:pPr>
              <w:pStyle w:val="Compact"/>
              <w:jc w:val="left"/>
            </w:pPr>
            <w:r>
              <w:t xml:space="preserve">1.38 (1.37–1.40)</w:t>
            </w:r>
          </w:p>
        </w:tc>
      </w:tr>
      <w:tr>
        <w:tc>
          <w:tcPr/>
          <w:p>
            <w:pPr>
              <w:pStyle w:val="Compact"/>
              <w:jc w:val="left"/>
            </w:pPr>
            <w:r>
              <w:t xml:space="preserve">Model 2: + demographic and administrative covariates</w:t>
            </w:r>
          </w:p>
        </w:tc>
        <w:tc>
          <w:tcPr/>
          <w:p>
            <w:pPr>
              <w:pStyle w:val="Compact"/>
              <w:jc w:val="left"/>
            </w:pPr>
            <w:r>
              <w:t xml:space="preserve">1.25 (1.23–1.28)</w:t>
            </w:r>
          </w:p>
        </w:tc>
        <w:tc>
          <w:tcPr/>
          <w:p>
            <w:pPr>
              <w:pStyle w:val="Compact"/>
              <w:jc w:val="left"/>
            </w:pPr>
            <w:r>
              <w:t xml:space="preserve">&lt;0.001</w:t>
            </w:r>
          </w:p>
        </w:tc>
        <w:tc>
          <w:tcPr/>
          <w:p>
            <w:pPr>
              <w:pStyle w:val="Compact"/>
              <w:jc w:val="left"/>
            </w:pPr>
            <w:r>
              <w:t xml:space="preserve">4.16 (3.76–4.55)</w:t>
            </w:r>
          </w:p>
        </w:tc>
        <w:tc>
          <w:tcPr/>
          <w:p>
            <w:pPr>
              <w:pStyle w:val="Compact"/>
              <w:jc w:val="left"/>
            </w:pPr>
            <w:r>
              <w:t xml:space="preserve">1.18 (1.16–1.20)</w:t>
            </w:r>
          </w:p>
        </w:tc>
      </w:tr>
      <w:tr>
        <w:tc>
          <w:tcPr/>
          <w:p>
            <w:pPr>
              <w:pStyle w:val="Compact"/>
              <w:jc w:val="left"/>
            </w:pPr>
            <w:r>
              <w:t xml:space="preserve">Model 3: + hospital covariates</w:t>
            </w:r>
          </w:p>
        </w:tc>
        <w:tc>
          <w:tcPr/>
          <w:p>
            <w:pPr>
              <w:pStyle w:val="Compact"/>
              <w:jc w:val="left"/>
            </w:pPr>
            <w:r>
              <w:t xml:space="preserve">1.26 (1.24–1.29)</w:t>
            </w:r>
          </w:p>
        </w:tc>
        <w:tc>
          <w:tcPr/>
          <w:p>
            <w:pPr>
              <w:pStyle w:val="Compact"/>
              <w:jc w:val="left"/>
            </w:pPr>
            <w:r>
              <w:t xml:space="preserve">&lt;0.001</w:t>
            </w:r>
          </w:p>
        </w:tc>
        <w:tc>
          <w:tcPr/>
          <w:p>
            <w:pPr>
              <w:pStyle w:val="Compact"/>
              <w:jc w:val="left"/>
            </w:pPr>
            <w:r>
              <w:t xml:space="preserve">4.33 (3.93–4.72)</w:t>
            </w:r>
          </w:p>
        </w:tc>
        <w:tc>
          <w:tcPr/>
          <w:p>
            <w:pPr>
              <w:pStyle w:val="Compact"/>
              <w:jc w:val="left"/>
            </w:pPr>
            <w:r>
              <w:t xml:space="preserve">1.19 (1.17–1.21)</w:t>
            </w:r>
          </w:p>
        </w:tc>
      </w:tr>
      <w:tr>
        <w:tc>
          <w:tcPr/>
          <w:p>
            <w:pPr>
              <w:pStyle w:val="Compact"/>
              <w:jc w:val="left"/>
            </w:pPr>
            <w:r>
              <w:t xml:space="preserve">Model 4: + comorbidity and clinical covariates (PRIMARY MODEL)</w:t>
            </w:r>
          </w:p>
        </w:tc>
        <w:tc>
          <w:tcPr/>
          <w:p>
            <w:pPr>
              <w:pStyle w:val="Compact"/>
              <w:jc w:val="left"/>
            </w:pPr>
            <w:r>
              <w:t xml:space="preserve">1.35 (1.33–1.38)</w:t>
            </w:r>
          </w:p>
        </w:tc>
        <w:tc>
          <w:tcPr/>
          <w:p>
            <w:pPr>
              <w:pStyle w:val="Compact"/>
              <w:jc w:val="left"/>
            </w:pPr>
            <w:r>
              <w:t xml:space="preserve">&lt;0.001</w:t>
            </w:r>
          </w:p>
        </w:tc>
        <w:tc>
          <w:tcPr/>
          <w:p>
            <w:pPr>
              <w:pStyle w:val="Compact"/>
              <w:jc w:val="left"/>
            </w:pPr>
            <w:r>
              <w:t xml:space="preserve">5.64 (5.23–6.04)</w:t>
            </w:r>
          </w:p>
        </w:tc>
        <w:tc>
          <w:tcPr/>
          <w:p>
            <w:pPr>
              <w:pStyle w:val="Compact"/>
              <w:jc w:val="left"/>
            </w:pPr>
            <w:r>
              <w:t xml:space="preserve">1.25 (1.23–1.27)</w:t>
            </w:r>
          </w:p>
        </w:tc>
      </w:tr>
      <w:tr>
        <w:tc>
          <w:tcPr/>
          <w:p>
            <w:pPr>
              <w:pStyle w:val="Compact"/>
              <w:jc w:val="left"/>
            </w:pPr>
            <w:r>
              <w:t xml:space="preserve">Model 5: + mediators (length of stay, discharge disposition, AMA discharge)</w:t>
            </w:r>
          </w:p>
        </w:tc>
        <w:tc>
          <w:tcPr/>
          <w:p>
            <w:pPr>
              <w:pStyle w:val="Compact"/>
              <w:jc w:val="left"/>
            </w:pPr>
            <w:r>
              <w:t xml:space="preserve">1.29 (1.26–1.31)</w:t>
            </w:r>
          </w:p>
        </w:tc>
        <w:tc>
          <w:tcPr/>
          <w:p>
            <w:pPr>
              <w:pStyle w:val="Compact"/>
              <w:jc w:val="left"/>
            </w:pPr>
            <w:r>
              <w:t xml:space="preserve">&lt;0.001</w:t>
            </w:r>
          </w:p>
        </w:tc>
        <w:tc>
          <w:tcPr/>
          <w:p>
            <w:pPr>
              <w:pStyle w:val="Compact"/>
              <w:jc w:val="left"/>
            </w:pPr>
            <w:r>
              <w:t xml:space="preserve">4.61 (4.22–5.01)</w:t>
            </w:r>
          </w:p>
        </w:tc>
        <w:tc>
          <w:tcPr/>
          <w:p>
            <w:pPr>
              <w:pStyle w:val="Compact"/>
              <w:jc w:val="left"/>
            </w:pPr>
            <w:r>
              <w:t xml:space="preserve">1.20 (1.18–1.22)</w:t>
            </w:r>
          </w:p>
        </w:tc>
      </w:tr>
    </w:tbl>
    <w:p>
      <w:pPr>
        <w:pStyle w:val="CaptionedFigure"/>
      </w:pPr>
      <w:r>
        <w:drawing>
          <wp:inline>
            <wp:extent cx="5334000" cy="3809999"/>
            <wp:effectExtent b="0" l="0" r="0" t="0"/>
            <wp:docPr descr="Figure 5. Effect of sequential covariate adjustment." title="" id="47" name="Picture"/>
            <a:graphic>
              <a:graphicData uri="http://schemas.openxmlformats.org/drawingml/2006/picture">
                <pic:pic>
                  <pic:nvPicPr>
                    <pic:cNvPr descr="index_files/figure-docx/fig5-show-1.png" id="48" name="Picture"/>
                    <pic:cNvPicPr>
                      <a:picLocks noChangeArrowheads="1" noChangeAspect="1"/>
                    </pic:cNvPicPr>
                  </pic:nvPicPr>
                  <pic:blipFill>
                    <a:blip r:embed="rId46"/>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5. Effect of sequential covariate adjustment.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saada\AppData\Local\Programs\Positron\resources\app\quarto\share\formats\docx\warning.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Model 4 is the primary specification.</w:t>
            </w:r>
            <w:r>
              <w:t xml:space="preserve"> </w:t>
            </w:r>
            <w:r>
              <w:rPr>
                <w:b/>
                <w:bCs/>
              </w:rPr>
              <w:t xml:space="preserve">Model 5 is over-adjusted</w:t>
            </w:r>
            <w:r>
              <w:t xml:space="preserve">: it</w:t>
            </w:r>
            <w:r>
              <w:t xml:space="preserve"> </w:t>
            </w:r>
            <w:r>
              <w:t xml:space="preserve">conditions on length of stay, discharge disposition and discharge against</w:t>
            </w:r>
            <w:r>
              <w:t xml:space="preserve"> </w:t>
            </w:r>
            <w:r>
              <w:t xml:space="preserve">medical advice, which are mediators. It is shown to demonstrate mediation and</w:t>
            </w:r>
            <w:r>
              <w:t xml:space="preserve"> </w:t>
            </w:r>
            <w:r>
              <w:t xml:space="preserve">must not be reported as the adjusted estimate.</w:t>
            </w:r>
          </w:p>
          <w:p/>
        </w:tc>
      </w:tr>
    </w:tbl>
    <w:bookmarkEnd w:id="52"/>
    <w:bookmarkStart w:id="56" w:name="sec-secondary"/>
    <w:p>
      <w:pPr>
        <w:pStyle w:val="Heading2"/>
      </w:pPr>
      <w:r>
        <w:t xml:space="preserve">3.5 Secondary outcomes</w:t>
      </w:r>
    </w:p>
    <w:p>
      <w:pPr>
        <w:pStyle w:val="TableCaption"/>
      </w:pPr>
      <w:r>
        <w:t xml:space="preserve">Table 4b. Secondary outcomes. One Benjamini-Hochberg family; the primary outcome is not a member of it.</w:t>
      </w:r>
    </w:p>
    <w:tbl>
      <w:tblPr>
        <w:tblStyle w:val="Table"/>
        <w:tblW w:type="pct" w:w="5000"/>
        <w:tblLayout w:type="fixed"/>
        <w:tblLook w:firstRow="1" w:lastRow="0" w:firstColumn="0" w:lastColumn="0" w:noHBand="0" w:noVBand="0" w:val="0020"/>
        <w:tblCaption w:val="Table 4b. Secondary outcomes. One Benjamini-Hochberg family; the primary outcome is not a member of it."/>
      </w:tblPr>
      <w:tblGrid>
        <w:gridCol w:w="4024"/>
        <w:gridCol w:w="1298"/>
        <w:gridCol w:w="1363"/>
        <w:gridCol w:w="519"/>
        <w:gridCol w:w="714"/>
      </w:tblGrid>
      <w:tr>
        <w:trPr>
          <w:tblHeader w:val="on"/>
        </w:trPr>
        <w:tc>
          <w:tcPr/>
          <w:p>
            <w:pPr>
              <w:pStyle w:val="Compact"/>
              <w:jc w:val="left"/>
            </w:pPr>
            <w:r>
              <w:t xml:space="preserve">Secondary outcome</w:t>
            </w:r>
          </w:p>
        </w:tc>
        <w:tc>
          <w:tcPr/>
          <w:p>
            <w:pPr>
              <w:pStyle w:val="Compact"/>
              <w:jc w:val="left"/>
            </w:pPr>
            <w:r>
              <w:t xml:space="preserve">Events (unweighted)</w:t>
            </w:r>
          </w:p>
        </w:tc>
        <w:tc>
          <w:tcPr/>
          <w:p>
            <w:pPr>
              <w:pStyle w:val="Compact"/>
              <w:jc w:val="left"/>
            </w:pPr>
            <w:r>
              <w:t xml:space="preserve">Adjusted OR (95% CI)</w:t>
            </w:r>
          </w:p>
        </w:tc>
        <w:tc>
          <w:tcPr/>
          <w:p>
            <w:pPr>
              <w:pStyle w:val="Compact"/>
              <w:jc w:val="left"/>
            </w:pPr>
            <w:r>
              <w:t xml:space="preserve">p value</w:t>
            </w:r>
          </w:p>
        </w:tc>
        <w:tc>
          <w:tcPr/>
          <w:p>
            <w:pPr>
              <w:pStyle w:val="Compact"/>
              <w:jc w:val="left"/>
            </w:pPr>
            <w:r>
              <w:t xml:space="preserve">BH q value</w:t>
            </w:r>
          </w:p>
        </w:tc>
      </w:tr>
      <w:tr>
        <w:tc>
          <w:tcPr/>
          <w:p>
            <w:pPr>
              <w:pStyle w:val="Compact"/>
              <w:jc w:val="left"/>
            </w:pPr>
            <w:r>
              <w:t xml:space="preserve">Heart failure readmission (CCSR CIR019)</w:t>
            </w:r>
          </w:p>
        </w:tc>
        <w:tc>
          <w:tcPr/>
          <w:p>
            <w:pPr>
              <w:pStyle w:val="Compact"/>
              <w:jc w:val="left"/>
            </w:pPr>
            <w:r>
              <w:t xml:space="preserve">319,829</w:t>
            </w:r>
          </w:p>
        </w:tc>
        <w:tc>
          <w:tcPr/>
          <w:p>
            <w:pPr>
              <w:pStyle w:val="Compact"/>
              <w:jc w:val="left"/>
            </w:pPr>
            <w:r>
              <w:t xml:space="preserve">1.38 (1.34–1.43)</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Substance-related readmission (CCSR MBD substance categories)</w:t>
            </w:r>
          </w:p>
        </w:tc>
        <w:tc>
          <w:tcPr/>
          <w:p>
            <w:pPr>
              <w:pStyle w:val="Compact"/>
              <w:jc w:val="left"/>
            </w:pPr>
            <w:r>
              <w:t xml:space="preserve">558</w:t>
            </w:r>
          </w:p>
        </w:tc>
        <w:tc>
          <w:tcPr/>
          <w:p>
            <w:pPr>
              <w:pStyle w:val="Compact"/>
              <w:jc w:val="left"/>
            </w:pPr>
            <w:r>
              <w:t xml:space="preserve">4.13 (3.07–5.56)</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Unplanned (non-elective) readmission</w:t>
            </w:r>
          </w:p>
        </w:tc>
        <w:tc>
          <w:tcPr/>
          <w:p>
            <w:pPr>
              <w:pStyle w:val="Compact"/>
              <w:jc w:val="left"/>
            </w:pPr>
            <w:r>
              <w:t xml:space="preserve">825,167</w:t>
            </w:r>
          </w:p>
        </w:tc>
        <w:tc>
          <w:tcPr/>
          <w:p>
            <w:pPr>
              <w:pStyle w:val="Compact"/>
              <w:jc w:val="left"/>
            </w:pPr>
            <w:r>
              <w:t xml:space="preserve">2.49 (2.22–2.81)</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In-hospital death at readmission</w:t>
            </w:r>
          </w:p>
        </w:tc>
        <w:tc>
          <w:tcPr/>
          <w:p>
            <w:pPr>
              <w:pStyle w:val="Compact"/>
              <w:jc w:val="left"/>
            </w:pPr>
            <w:r>
              <w:t xml:space="preserve">59,163</w:t>
            </w:r>
          </w:p>
        </w:tc>
        <w:tc>
          <w:tcPr/>
          <w:p>
            <w:pPr>
              <w:pStyle w:val="Compact"/>
              <w:jc w:val="left"/>
            </w:pPr>
            <w:r>
              <w:t xml:space="preserve">0.83 (0.76–0.89)</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Non-home discharge at index</w:t>
            </w:r>
          </w:p>
        </w:tc>
        <w:tc>
          <w:tcPr/>
          <w:p>
            <w:pPr>
              <w:pStyle w:val="Compact"/>
              <w:jc w:val="left"/>
            </w:pPr>
            <w:r>
              <w:t xml:space="preserve">752,328</w:t>
            </w:r>
          </w:p>
        </w:tc>
        <w:tc>
          <w:tcPr/>
          <w:p>
            <w:pPr>
              <w:pStyle w:val="Compact"/>
              <w:jc w:val="left"/>
            </w:pPr>
            <w:r>
              <w:t xml:space="preserve">1.84 (1.79–1.89)</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Discharge against medical advice at index</w:t>
            </w:r>
          </w:p>
        </w:tc>
        <w:tc>
          <w:tcPr/>
          <w:p>
            <w:pPr>
              <w:pStyle w:val="Compact"/>
              <w:jc w:val="left"/>
            </w:pPr>
            <w:r>
              <w:t xml:space="preserve">69,420</w:t>
            </w:r>
          </w:p>
        </w:tc>
        <w:tc>
          <w:tcPr/>
          <w:p>
            <w:pPr>
              <w:pStyle w:val="Compact"/>
              <w:jc w:val="left"/>
            </w:pPr>
            <w:r>
              <w:t xml:space="preserve">2.47 (2.39–2.56)</w:t>
            </w:r>
          </w:p>
        </w:tc>
        <w:tc>
          <w:tcPr/>
          <w:p>
            <w:pPr>
              <w:pStyle w:val="Compact"/>
              <w:jc w:val="left"/>
            </w:pPr>
            <w:r>
              <w:t xml:space="preserve">&lt;0.001</w:t>
            </w:r>
          </w:p>
        </w:tc>
        <w:tc>
          <w:tcPr/>
          <w:p>
            <w:pPr>
              <w:pStyle w:val="Compact"/>
              <w:jc w:val="left"/>
            </w:pPr>
            <w:r>
              <w:t xml:space="preserve">&lt;0.001</w:t>
            </w:r>
          </w:p>
        </w:tc>
      </w:tr>
    </w:tbl>
    <w:p>
      <w:pPr>
        <w:pStyle w:val="CaptionedFigure"/>
      </w:pPr>
      <w:r>
        <w:drawing>
          <wp:inline>
            <wp:extent cx="5334000" cy="3809999"/>
            <wp:effectExtent b="0" l="0" r="0" t="0"/>
            <wp:docPr descr="Figure S2. Secondary outcomes." title="" id="54" name="Picture"/>
            <a:graphic>
              <a:graphicData uri="http://schemas.openxmlformats.org/drawingml/2006/picture">
                <pic:pic>
                  <pic:nvPicPr>
                    <pic:cNvPr descr="index_files/figure-docx/figS2-show-1.png" id="55" name="Picture"/>
                    <pic:cNvPicPr>
                      <a:picLocks noChangeArrowheads="1" noChangeAspect="1"/>
                    </pic:cNvPicPr>
                  </pic:nvPicPr>
                  <pic:blipFill>
                    <a:blip r:embed="rId53"/>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S2. Secondary outcomes.</w:t>
      </w:r>
    </w:p>
    <w:bookmarkEnd w:id="56"/>
    <w:bookmarkStart w:id="62" w:name="sec-causes"/>
    <w:p>
      <w:pPr>
        <w:pStyle w:val="Heading2"/>
      </w:pPr>
      <w:r>
        <w:t xml:space="preserve">3.6 Cause of readmission</w:t>
      </w:r>
    </w:p>
    <w:p>
      <w:pPr>
        <w:pStyle w:val="TableCaption"/>
      </w:pPr>
      <w:r>
        <w:t xml:space="preserve">Table 5. Principal diagnosis category of the first 30-day readmission, by exposure.</w:t>
      </w:r>
    </w:p>
    <w:tbl>
      <w:tblPr>
        <w:tblStyle w:val="Table"/>
        <w:tblW w:type="pct" w:w="5000"/>
        <w:tblLayout w:type="fixed"/>
        <w:tblLook w:firstRow="1" w:lastRow="0" w:firstColumn="0" w:lastColumn="0" w:noHBand="0" w:noVBand="0" w:val="0020"/>
        <w:tblCaption w:val="Table 5. Principal diagnosis category of the first 30-day readmission, by exposure."/>
      </w:tblPr>
      <w:tblGrid>
        <w:gridCol w:w="3730"/>
        <w:gridCol w:w="720"/>
        <w:gridCol w:w="1112"/>
        <w:gridCol w:w="1112"/>
        <w:gridCol w:w="523"/>
        <w:gridCol w:w="720"/>
      </w:tblGrid>
      <w:tr>
        <w:trPr>
          <w:tblHeader w:val="on"/>
        </w:trPr>
        <w:tc>
          <w:tcPr/>
          <w:p>
            <w:pPr>
              <w:pStyle w:val="Compact"/>
              <w:jc w:val="left"/>
            </w:pPr>
            <w:r>
              <w:t xml:space="preserve">Cause of readmission (DXCCSR category)</w:t>
            </w:r>
          </w:p>
        </w:tc>
        <w:tc>
          <w:tcPr/>
          <w:p>
            <w:pPr>
              <w:pStyle w:val="Compact"/>
              <w:jc w:val="left"/>
            </w:pPr>
            <w:r>
              <w:t xml:space="preserve">Overall, %</w:t>
            </w:r>
          </w:p>
        </w:tc>
        <w:tc>
          <w:tcPr/>
          <w:p>
            <w:pPr>
              <w:pStyle w:val="Compact"/>
              <w:jc w:val="left"/>
            </w:pPr>
            <w:r>
              <w:t xml:space="preserve">Unexposed, % (n)</w:t>
            </w:r>
          </w:p>
        </w:tc>
        <w:tc>
          <w:tcPr/>
          <w:p>
            <w:pPr>
              <w:pStyle w:val="Compact"/>
              <w:jc w:val="left"/>
            </w:pPr>
            <w:r>
              <w:t xml:space="preserve">Stimulant, % (n)</w:t>
            </w:r>
          </w:p>
        </w:tc>
        <w:tc>
          <w:tcPr/>
          <w:p>
            <w:pPr>
              <w:pStyle w:val="Compact"/>
              <w:jc w:val="left"/>
            </w:pPr>
            <w:r>
              <w:t xml:space="preserve">p value</w:t>
            </w:r>
          </w:p>
        </w:tc>
        <w:tc>
          <w:tcPr/>
          <w:p>
            <w:pPr>
              <w:pStyle w:val="Compact"/>
              <w:jc w:val="left"/>
            </w:pPr>
            <w:r>
              <w:t xml:space="preserve">BH q value</w:t>
            </w:r>
          </w:p>
        </w:tc>
      </w:tr>
      <w:tr>
        <w:tc>
          <w:tcPr/>
          <w:p>
            <w:pPr>
              <w:pStyle w:val="Compact"/>
              <w:jc w:val="left"/>
            </w:pPr>
            <w:r>
              <w:t xml:space="preserve">Heart failure</w:t>
            </w:r>
          </w:p>
        </w:tc>
        <w:tc>
          <w:tcPr/>
          <w:p>
            <w:pPr>
              <w:pStyle w:val="Compact"/>
              <w:jc w:val="left"/>
            </w:pPr>
            <w:r>
              <w:t xml:space="preserve">36.8%</w:t>
            </w:r>
          </w:p>
        </w:tc>
        <w:tc>
          <w:tcPr/>
          <w:p>
            <w:pPr>
              <w:pStyle w:val="Compact"/>
              <w:jc w:val="left"/>
            </w:pPr>
            <w:r>
              <w:t xml:space="preserve">36.2% (303,796)</w:t>
            </w:r>
          </w:p>
        </w:tc>
        <w:tc>
          <w:tcPr/>
          <w:p>
            <w:pPr>
              <w:pStyle w:val="Compact"/>
              <w:jc w:val="left"/>
            </w:pPr>
            <w:r>
              <w:t xml:space="preserve">57.1% (16,033)</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Septicemia</w:t>
            </w:r>
          </w:p>
        </w:tc>
        <w:tc>
          <w:tcPr/>
          <w:p>
            <w:pPr>
              <w:pStyle w:val="Compact"/>
              <w:jc w:val="left"/>
            </w:pPr>
            <w:r>
              <w:t xml:space="preserve">6.9%</w:t>
            </w:r>
          </w:p>
        </w:tc>
        <w:tc>
          <w:tcPr/>
          <w:p>
            <w:pPr>
              <w:pStyle w:val="Compact"/>
              <w:jc w:val="left"/>
            </w:pPr>
            <w:r>
              <w:t xml:space="preserve">6.9% ( 59,237)</w:t>
            </w:r>
          </w:p>
        </w:tc>
        <w:tc>
          <w:tcPr/>
          <w:p>
            <w:pPr>
              <w:pStyle w:val="Compact"/>
              <w:jc w:val="left"/>
            </w:pPr>
            <w:r>
              <w:t xml:space="preserve">6.2% ( 1,784)</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Chronic kidney disease</w:t>
            </w:r>
          </w:p>
        </w:tc>
        <w:tc>
          <w:tcPr/>
          <w:p>
            <w:pPr>
              <w:pStyle w:val="Compact"/>
              <w:jc w:val="left"/>
            </w:pPr>
            <w:r>
              <w:t xml:space="preserve">4.8%</w:t>
            </w:r>
          </w:p>
        </w:tc>
        <w:tc>
          <w:tcPr/>
          <w:p>
            <w:pPr>
              <w:pStyle w:val="Compact"/>
              <w:jc w:val="left"/>
            </w:pPr>
            <w:r>
              <w:t xml:space="preserve">4.8% ( 41,520)</w:t>
            </w:r>
          </w:p>
        </w:tc>
        <w:tc>
          <w:tcPr/>
          <w:p>
            <w:pPr>
              <w:pStyle w:val="Compact"/>
              <w:jc w:val="left"/>
            </w:pPr>
            <w:r>
              <w:t xml:space="preserve">1.6% ( 454)</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Acute and unspecified renal failure</w:t>
            </w:r>
          </w:p>
        </w:tc>
        <w:tc>
          <w:tcPr/>
          <w:p>
            <w:pPr>
              <w:pStyle w:val="Compact"/>
              <w:jc w:val="left"/>
            </w:pPr>
            <w:r>
              <w:t xml:space="preserve">4.4%</w:t>
            </w:r>
          </w:p>
        </w:tc>
        <w:tc>
          <w:tcPr/>
          <w:p>
            <w:pPr>
              <w:pStyle w:val="Compact"/>
              <w:jc w:val="left"/>
            </w:pPr>
            <w:r>
              <w:t xml:space="preserve">4.5% ( 37,656)</w:t>
            </w:r>
          </w:p>
        </w:tc>
        <w:tc>
          <w:tcPr/>
          <w:p>
            <w:pPr>
              <w:pStyle w:val="Compact"/>
              <w:jc w:val="left"/>
            </w:pPr>
            <w:r>
              <w:t xml:space="preserve">1.4% ( 380)</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Respiratory failure; insufficiency; arrest</w:t>
            </w:r>
          </w:p>
        </w:tc>
        <w:tc>
          <w:tcPr/>
          <w:p>
            <w:pPr>
              <w:pStyle w:val="Compact"/>
              <w:jc w:val="left"/>
            </w:pPr>
            <w:r>
              <w:t xml:space="preserve">3.7%</w:t>
            </w:r>
          </w:p>
        </w:tc>
        <w:tc>
          <w:tcPr/>
          <w:p>
            <w:pPr>
              <w:pStyle w:val="Compact"/>
              <w:jc w:val="left"/>
            </w:pPr>
            <w:r>
              <w:t xml:space="preserve">3.8% ( 30,983)</w:t>
            </w:r>
          </w:p>
        </w:tc>
        <w:tc>
          <w:tcPr/>
          <w:p>
            <w:pPr>
              <w:pStyle w:val="Compact"/>
              <w:jc w:val="left"/>
            </w:pPr>
            <w:r>
              <w:t xml:space="preserve">2.4% ( 687)</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Cardiac dysrhythmias</w:t>
            </w:r>
          </w:p>
        </w:tc>
        <w:tc>
          <w:tcPr/>
          <w:p>
            <w:pPr>
              <w:pStyle w:val="Compact"/>
              <w:jc w:val="left"/>
            </w:pPr>
            <w:r>
              <w:t xml:space="preserve">3.2%</w:t>
            </w:r>
          </w:p>
        </w:tc>
        <w:tc>
          <w:tcPr/>
          <w:p>
            <w:pPr>
              <w:pStyle w:val="Compact"/>
              <w:jc w:val="left"/>
            </w:pPr>
            <w:r>
              <w:t xml:space="preserve">3.2% ( 27,092)</w:t>
            </w:r>
          </w:p>
        </w:tc>
        <w:tc>
          <w:tcPr/>
          <w:p>
            <w:pPr>
              <w:pStyle w:val="Compact"/>
              <w:jc w:val="left"/>
            </w:pPr>
            <w:r>
              <w:t xml:space="preserve">2.6% ( 703)</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Pneumonia (except that caused by tuberculosis)</w:t>
            </w:r>
          </w:p>
        </w:tc>
        <w:tc>
          <w:tcPr/>
          <w:p>
            <w:pPr>
              <w:pStyle w:val="Compact"/>
              <w:jc w:val="left"/>
            </w:pPr>
            <w:r>
              <w:t xml:space="preserve">2.3%</w:t>
            </w:r>
          </w:p>
        </w:tc>
        <w:tc>
          <w:tcPr/>
          <w:p>
            <w:pPr>
              <w:pStyle w:val="Compact"/>
              <w:jc w:val="left"/>
            </w:pPr>
            <w:r>
              <w:t xml:space="preserve">2.4% ( 19,179)</w:t>
            </w:r>
          </w:p>
        </w:tc>
        <w:tc>
          <w:tcPr/>
          <w:p>
            <w:pPr>
              <w:pStyle w:val="Compact"/>
              <w:jc w:val="left"/>
            </w:pPr>
            <w:r>
              <w:t xml:space="preserve">1.4% ( 376)</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Chronic obstructive pulmonary disease and bronchiectasis</w:t>
            </w:r>
          </w:p>
        </w:tc>
        <w:tc>
          <w:tcPr/>
          <w:p>
            <w:pPr>
              <w:pStyle w:val="Compact"/>
              <w:jc w:val="left"/>
            </w:pPr>
            <w:r>
              <w:t xml:space="preserve">2.0%</w:t>
            </w:r>
          </w:p>
        </w:tc>
        <w:tc>
          <w:tcPr/>
          <w:p>
            <w:pPr>
              <w:pStyle w:val="Compact"/>
              <w:jc w:val="left"/>
            </w:pPr>
            <w:r>
              <w:t xml:space="preserve">2.0% ( 16,826)</w:t>
            </w:r>
          </w:p>
        </w:tc>
        <w:tc>
          <w:tcPr/>
          <w:p>
            <w:pPr>
              <w:pStyle w:val="Compact"/>
              <w:jc w:val="left"/>
            </w:pPr>
            <w:r>
              <w:t xml:space="preserve">1.5% ( 412)</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Fluid and electrolyte disorders</w:t>
            </w:r>
          </w:p>
        </w:tc>
        <w:tc>
          <w:tcPr/>
          <w:p>
            <w:pPr>
              <w:pStyle w:val="Compact"/>
              <w:jc w:val="left"/>
            </w:pPr>
            <w:r>
              <w:t xml:space="preserve">1.9%</w:t>
            </w:r>
          </w:p>
        </w:tc>
        <w:tc>
          <w:tcPr/>
          <w:p>
            <w:pPr>
              <w:pStyle w:val="Compact"/>
              <w:jc w:val="left"/>
            </w:pPr>
            <w:r>
              <w:t xml:space="preserve">1.9% ( 16,239)</w:t>
            </w:r>
          </w:p>
        </w:tc>
        <w:tc>
          <w:tcPr/>
          <w:p>
            <w:pPr>
              <w:pStyle w:val="Compact"/>
              <w:jc w:val="left"/>
            </w:pPr>
            <w:r>
              <w:t xml:space="preserve">0.8% ( 229)</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Acute myocardial infarction</w:t>
            </w:r>
          </w:p>
        </w:tc>
        <w:tc>
          <w:tcPr/>
          <w:p>
            <w:pPr>
              <w:pStyle w:val="Compact"/>
              <w:jc w:val="left"/>
            </w:pPr>
            <w:r>
              <w:t xml:space="preserve">1.8%</w:t>
            </w:r>
          </w:p>
        </w:tc>
        <w:tc>
          <w:tcPr/>
          <w:p>
            <w:pPr>
              <w:pStyle w:val="Compact"/>
              <w:jc w:val="left"/>
            </w:pPr>
            <w:r>
              <w:t xml:space="preserve">1.8% ( 15,797)</w:t>
            </w:r>
          </w:p>
        </w:tc>
        <w:tc>
          <w:tcPr/>
          <w:p>
            <w:pPr>
              <w:pStyle w:val="Compact"/>
              <w:jc w:val="left"/>
            </w:pPr>
            <w:r>
              <w:t xml:space="preserve">2.0% ( 579)</w:t>
            </w:r>
          </w:p>
        </w:tc>
        <w:tc>
          <w:tcPr/>
          <w:p>
            <w:pPr>
              <w:pStyle w:val="Compact"/>
              <w:jc w:val="left"/>
            </w:pPr>
            <w:r>
              <w:t xml:space="preserve">0.037</w:t>
            </w:r>
          </w:p>
        </w:tc>
        <w:tc>
          <w:tcPr/>
          <w:p>
            <w:pPr>
              <w:pStyle w:val="Compact"/>
              <w:jc w:val="left"/>
            </w:pPr>
            <w:r>
              <w:t xml:space="preserve">0.037</w:t>
            </w:r>
          </w:p>
        </w:tc>
      </w:tr>
      <w:tr>
        <w:tc>
          <w:tcPr/>
          <w:p>
            <w:pPr>
              <w:pStyle w:val="Compact"/>
              <w:jc w:val="left"/>
            </w:pPr>
            <w:r>
              <w:t xml:space="preserve">Other</w:t>
            </w:r>
          </w:p>
        </w:tc>
        <w:tc>
          <w:tcPr/>
          <w:p>
            <w:pPr>
              <w:pStyle w:val="Compact"/>
              <w:jc w:val="left"/>
            </w:pPr>
            <w:r>
              <w:t xml:space="preserve">32.1%</w:t>
            </w:r>
          </w:p>
        </w:tc>
        <w:tc>
          <w:tcPr/>
          <w:p>
            <w:pPr>
              <w:pStyle w:val="Compact"/>
              <w:jc w:val="left"/>
            </w:pPr>
            <w:r>
              <w:t xml:space="preserve">32.3% (272,350)</w:t>
            </w:r>
          </w:p>
        </w:tc>
        <w:tc>
          <w:tcPr/>
          <w:p>
            <w:pPr>
              <w:pStyle w:val="Compact"/>
              <w:jc w:val="left"/>
            </w:pPr>
            <w:r>
              <w:t xml:space="preserve">23.1% ( 6,412)</w:t>
            </w:r>
          </w:p>
        </w:tc>
        <w:tc>
          <w:tcPr/>
          <w:p>
            <w:pPr>
              <w:pStyle w:val="Compact"/>
              <w:jc w:val="left"/>
            </w:pPr>
            <w:r>
              <w:t xml:space="preserve">&lt;0.001</w:t>
            </w:r>
          </w:p>
        </w:tc>
        <w:tc>
          <w:tcPr/>
          <w:p>
            <w:pPr>
              <w:pStyle w:val="Compact"/>
              <w:jc w:val="left"/>
            </w:pPr>
            <w:r>
              <w:t xml:space="preserve">—</w:t>
            </w:r>
          </w:p>
        </w:tc>
      </w:tr>
    </w:tbl>
    <w:p>
      <w:pPr>
        <w:pStyle w:val="CaptionedFigure"/>
      </w:pPr>
      <w:r>
        <w:drawing>
          <wp:inline>
            <wp:extent cx="5334000" cy="3809999"/>
            <wp:effectExtent b="0" l="0" r="0" t="0"/>
            <wp:docPr descr="Figure 4. Principal cause of the first 30-day readmission, by exposure." title="" id="58" name="Picture"/>
            <a:graphic>
              <a:graphicData uri="http://schemas.openxmlformats.org/drawingml/2006/picture">
                <pic:pic>
                  <pic:nvPicPr>
                    <pic:cNvPr descr="index_files/figure-docx/fig4-show-1.png" id="59" name="Picture"/>
                    <pic:cNvPicPr>
                      <a:picLocks noChangeArrowheads="1" noChangeAspect="1"/>
                    </pic:cNvPicPr>
                  </pic:nvPicPr>
                  <pic:blipFill>
                    <a:blip r:embed="rId57"/>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4. Principal cause of the first 30-day readmission, by exposure.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C:\Users\saada\AppData\Local\Programs\Positron\resources\app\quarto\share\formats\docx\note.png" id="61"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Based on 868,724 unweighted 30-day readmissions with a recorded principal diagnosis, mapped to the AHRQ DXCCSR v2025.1 default inpatient category. 804 readmission principal diagnosis code(s) had no default CCSR assignment and are grouped under</w:t>
            </w:r>
            <w:r>
              <w:t xml:space="preserve"> </w:t>
            </w:r>
            <w:r>
              <w:t xml:space="preserve">‘Other’</w:t>
            </w:r>
            <w:r>
              <w:t xml:space="preserve">. The top 10 categories by overall weighted share are reported; all remaining categories are folded into</w:t>
            </w:r>
            <w:r>
              <w:t xml:space="preserve"> </w:t>
            </w:r>
            <w:r>
              <w:t xml:space="preserve">‘Other’</w:t>
            </w:r>
            <w:r>
              <w:t xml:space="preserve">, as are 0 categories that fell below the 11 unweighted discharge threshold in at least one exposure arm. Percentages are within-arm shares of all readmissions in that arm and therefore sum to 100% down each column. P values are design-based Wald tests from survey-weighted logistic regression of the category indicator on exposure; q values are Benjamini-Hochberg adjusted across the reported categories.</w:t>
            </w:r>
          </w:p>
          <w:p/>
        </w:tc>
      </w:tr>
    </w:tbl>
    <w:bookmarkEnd w:id="62"/>
    <w:bookmarkStart w:id="69" w:name="sec-subgroups"/>
    <w:p>
      <w:pPr>
        <w:pStyle w:val="Heading2"/>
      </w:pPr>
      <w:r>
        <w:t xml:space="preserve">3.7 Exploratory subgroups</w:t>
      </w:r>
    </w:p>
    <w:p>
      <w:pPr>
        <w:pStyle w:val="TableCaption"/>
      </w:pPr>
      <w:r>
        <w:t xml:space="preserve">Table 5b. Exploratory subgroup analyses.</w:t>
      </w:r>
    </w:p>
    <w:tbl>
      <w:tblPr>
        <w:tblStyle w:val="Table"/>
        <w:tblW w:type="pct" w:w="5000"/>
        <w:tblLayout w:type="fixed"/>
        <w:tblLook w:firstRow="1" w:lastRow="0" w:firstColumn="0" w:lastColumn="0" w:noHBand="0" w:noVBand="0" w:val="0020"/>
        <w:tblCaption w:val="Table 5b. Exploratory subgroup analyses."/>
      </w:tblPr>
      <w:tblGrid>
        <w:gridCol w:w="2141"/>
        <w:gridCol w:w="846"/>
        <w:gridCol w:w="647"/>
        <w:gridCol w:w="1295"/>
        <w:gridCol w:w="1046"/>
        <w:gridCol w:w="1245"/>
        <w:gridCol w:w="697"/>
      </w:tblGrid>
      <w:tr>
        <w:trPr>
          <w:tblHeader w:val="on"/>
        </w:trPr>
        <w:tc>
          <w:tcPr/>
          <w:p>
            <w:pPr>
              <w:pStyle w:val="Compact"/>
              <w:jc w:val="left"/>
            </w:pPr>
            <w:r>
              <w:t xml:space="preserve">Subgroup</w:t>
            </w:r>
          </w:p>
        </w:tc>
        <w:tc>
          <w:tcPr/>
          <w:p>
            <w:pPr>
              <w:pStyle w:val="Compact"/>
              <w:jc w:val="left"/>
            </w:pPr>
            <w:r>
              <w:t xml:space="preserve">Level</w:t>
            </w:r>
          </w:p>
        </w:tc>
        <w:tc>
          <w:tcPr/>
          <w:p>
            <w:pPr>
              <w:pStyle w:val="Compact"/>
              <w:jc w:val="left"/>
            </w:pPr>
            <w:r>
              <w:t xml:space="preserve">Unweighted n</w:t>
            </w:r>
          </w:p>
        </w:tc>
        <w:tc>
          <w:tcPr/>
          <w:p>
            <w:pPr>
              <w:pStyle w:val="Compact"/>
              <w:jc w:val="left"/>
            </w:pPr>
            <w:r>
              <w:t xml:space="preserve">Readmissions (unweighted)</w:t>
            </w:r>
          </w:p>
        </w:tc>
        <w:tc>
          <w:tcPr/>
          <w:p>
            <w:pPr>
              <w:pStyle w:val="Compact"/>
              <w:jc w:val="left"/>
            </w:pPr>
            <w:r>
              <w:t xml:space="preserve">Adjusted OR (95% CI)</w:t>
            </w:r>
          </w:p>
        </w:tc>
        <w:tc>
          <w:tcPr/>
          <w:p>
            <w:pPr>
              <w:pStyle w:val="Compact"/>
              <w:jc w:val="left"/>
            </w:pPr>
            <w:r>
              <w:t xml:space="preserve">Adjusted RD, pp (95% CI)</w:t>
            </w:r>
          </w:p>
        </w:tc>
        <w:tc>
          <w:tcPr/>
          <w:p>
            <w:pPr>
              <w:pStyle w:val="Compact"/>
              <w:jc w:val="left"/>
            </w:pPr>
            <w:r>
              <w:t xml:space="preserve">Interaction p</w:t>
            </w:r>
          </w:p>
        </w:tc>
      </w:tr>
      <w:tr>
        <w:tc>
          <w:tcPr/>
          <w:p>
            <w:pPr>
              <w:pStyle w:val="Compact"/>
              <w:jc w:val="left"/>
            </w:pPr>
            <w:r>
              <w:t xml:space="preserve">Overall (primary model)</w:t>
            </w:r>
          </w:p>
        </w:tc>
        <w:tc>
          <w:tcPr/>
          <w:p>
            <w:pPr>
              <w:pStyle w:val="Compact"/>
            </w:pPr>
          </w:p>
        </w:tc>
        <w:tc>
          <w:tcPr/>
          <w:p>
            <w:pPr>
              <w:pStyle w:val="Compact"/>
              <w:jc w:val="left"/>
            </w:pPr>
            <w:r>
              <w:t xml:space="preserve">3,773,470</w:t>
            </w:r>
          </w:p>
        </w:tc>
        <w:tc>
          <w:tcPr/>
          <w:p>
            <w:pPr>
              <w:pStyle w:val="Compact"/>
              <w:jc w:val="left"/>
            </w:pPr>
            <w:r>
              <w:t xml:space="preserve">868,724</w:t>
            </w:r>
          </w:p>
        </w:tc>
        <w:tc>
          <w:tcPr/>
          <w:p>
            <w:pPr>
              <w:pStyle w:val="Compact"/>
              <w:jc w:val="left"/>
            </w:pPr>
            <w:r>
              <w:t xml:space="preserve">1.35 (1.33–1.38)</w:t>
            </w:r>
          </w:p>
        </w:tc>
        <w:tc>
          <w:tcPr/>
          <w:p>
            <w:pPr>
              <w:pStyle w:val="Compact"/>
              <w:jc w:val="left"/>
            </w:pPr>
            <w:r>
              <w:t xml:space="preserve">5.64 (5.23–6.04)</w:t>
            </w:r>
          </w:p>
        </w:tc>
        <w:tc>
          <w:tcPr/>
          <w:p>
            <w:pPr>
              <w:pStyle w:val="Compact"/>
            </w:pPr>
          </w:p>
        </w:tc>
      </w:tr>
      <w:tr>
        <w:tc>
          <w:tcPr/>
          <w:p>
            <w:pPr>
              <w:pStyle w:val="Compact"/>
              <w:jc w:val="left"/>
            </w:pPr>
            <w:r>
              <w:t xml:space="preserve">Age &lt;55 vs ≥55 years</w:t>
            </w:r>
          </w:p>
        </w:tc>
        <w:tc>
          <w:tcPr/>
          <w:p>
            <w:pPr>
              <w:pStyle w:val="Compact"/>
              <w:jc w:val="left"/>
            </w:pPr>
            <w:r>
              <w:t xml:space="preserve">≥55 years</w:t>
            </w:r>
          </w:p>
        </w:tc>
        <w:tc>
          <w:tcPr/>
          <w:p>
            <w:pPr>
              <w:pStyle w:val="Compact"/>
              <w:jc w:val="left"/>
            </w:pPr>
            <w:r>
              <w:t xml:space="preserve">3,325,445</w:t>
            </w:r>
          </w:p>
        </w:tc>
        <w:tc>
          <w:tcPr/>
          <w:p>
            <w:pPr>
              <w:pStyle w:val="Compact"/>
              <w:jc w:val="left"/>
            </w:pPr>
            <w:r>
              <w:t xml:space="preserve">756,939</w:t>
            </w:r>
          </w:p>
        </w:tc>
        <w:tc>
          <w:tcPr/>
          <w:p>
            <w:pPr>
              <w:pStyle w:val="Compact"/>
              <w:jc w:val="left"/>
            </w:pPr>
            <w:r>
              <w:t xml:space="preserve">1.31 (1.27–1.35)</w:t>
            </w:r>
          </w:p>
        </w:tc>
        <w:tc>
          <w:tcPr/>
          <w:p>
            <w:pPr>
              <w:pStyle w:val="Compact"/>
              <w:jc w:val="left"/>
            </w:pPr>
            <w:r>
              <w:t xml:space="preserve">4.97 (4.40–5.54)</w:t>
            </w:r>
          </w:p>
        </w:tc>
        <w:tc>
          <w:tcPr/>
          <w:p>
            <w:pPr>
              <w:pStyle w:val="Compact"/>
              <w:jc w:val="left"/>
            </w:pPr>
            <w:r>
              <w:t xml:space="preserve">0.004</w:t>
            </w:r>
          </w:p>
        </w:tc>
      </w:tr>
      <w:tr>
        <w:tc>
          <w:tcPr/>
          <w:p>
            <w:pPr>
              <w:pStyle w:val="Compact"/>
            </w:pPr>
          </w:p>
        </w:tc>
        <w:tc>
          <w:tcPr/>
          <w:p>
            <w:pPr>
              <w:pStyle w:val="Compact"/>
              <w:jc w:val="left"/>
            </w:pPr>
            <w:r>
              <w:t xml:space="preserve">&lt;55 years</w:t>
            </w:r>
          </w:p>
        </w:tc>
        <w:tc>
          <w:tcPr/>
          <w:p>
            <w:pPr>
              <w:pStyle w:val="Compact"/>
              <w:jc w:val="left"/>
            </w:pPr>
            <w:r>
              <w:t xml:space="preserve">448,025</w:t>
            </w:r>
          </w:p>
        </w:tc>
        <w:tc>
          <w:tcPr/>
          <w:p>
            <w:pPr>
              <w:pStyle w:val="Compact"/>
              <w:jc w:val="left"/>
            </w:pPr>
            <w:r>
              <w:t xml:space="preserve">111,785</w:t>
            </w:r>
          </w:p>
        </w:tc>
        <w:tc>
          <w:tcPr/>
          <w:p>
            <w:pPr>
              <w:pStyle w:val="Compact"/>
              <w:jc w:val="left"/>
            </w:pPr>
            <w:r>
              <w:t xml:space="preserve">1.46 (1.42–1.50)</w:t>
            </w:r>
          </w:p>
        </w:tc>
        <w:tc>
          <w:tcPr/>
          <w:p>
            <w:pPr>
              <w:pStyle w:val="Compact"/>
              <w:jc w:val="left"/>
            </w:pPr>
            <w:r>
              <w:t xml:space="preserve">7.06 (6.51–7.61)</w:t>
            </w:r>
          </w:p>
        </w:tc>
        <w:tc>
          <w:tcPr/>
          <w:p>
            <w:pPr>
              <w:pStyle w:val="Compact"/>
            </w:pPr>
          </w:p>
        </w:tc>
      </w:tr>
      <w:tr>
        <w:tc>
          <w:tcPr/>
          <w:p>
            <w:pPr>
              <w:pStyle w:val="Compact"/>
              <w:jc w:val="left"/>
            </w:pPr>
            <w:r>
              <w:t xml:space="preserve">HFrEF vs HFpEF</w:t>
            </w:r>
          </w:p>
        </w:tc>
        <w:tc>
          <w:tcPr/>
          <w:p>
            <w:pPr>
              <w:pStyle w:val="Compact"/>
              <w:jc w:val="left"/>
            </w:pPr>
            <w:r>
              <w:t xml:space="preserve">HFrEF</w:t>
            </w:r>
          </w:p>
        </w:tc>
        <w:tc>
          <w:tcPr/>
          <w:p>
            <w:pPr>
              <w:pStyle w:val="Compact"/>
              <w:jc w:val="left"/>
            </w:pPr>
            <w:r>
              <w:t xml:space="preserve">1,289,961</w:t>
            </w:r>
          </w:p>
        </w:tc>
        <w:tc>
          <w:tcPr/>
          <w:p>
            <w:pPr>
              <w:pStyle w:val="Compact"/>
              <w:jc w:val="left"/>
            </w:pPr>
            <w:r>
              <w:t xml:space="preserve">301,144</w:t>
            </w:r>
          </w:p>
        </w:tc>
        <w:tc>
          <w:tcPr/>
          <w:p>
            <w:pPr>
              <w:pStyle w:val="Compact"/>
              <w:jc w:val="left"/>
            </w:pPr>
            <w:r>
              <w:t xml:space="preserve">1.40 (1.36–1.43)</w:t>
            </w:r>
          </w:p>
        </w:tc>
        <w:tc>
          <w:tcPr/>
          <w:p>
            <w:pPr>
              <w:pStyle w:val="Compact"/>
              <w:jc w:val="left"/>
            </w:pPr>
            <w:r>
              <w:t xml:space="preserve">6.23 (5.71–6.75)</w:t>
            </w:r>
          </w:p>
        </w:tc>
        <w:tc>
          <w:tcPr/>
          <w:p>
            <w:pPr>
              <w:pStyle w:val="Compact"/>
              <w:jc w:val="left"/>
            </w:pPr>
            <w:r>
              <w:t xml:space="preserve">0.004</w:t>
            </w:r>
          </w:p>
        </w:tc>
      </w:tr>
      <w:tr>
        <w:tc>
          <w:tcPr/>
          <w:p>
            <w:pPr>
              <w:pStyle w:val="Compact"/>
            </w:pPr>
          </w:p>
        </w:tc>
        <w:tc>
          <w:tcPr/>
          <w:p>
            <w:pPr>
              <w:pStyle w:val="Compact"/>
              <w:jc w:val="left"/>
            </w:pPr>
            <w:r>
              <w:t xml:space="preserve">HFpEF</w:t>
            </w:r>
          </w:p>
        </w:tc>
        <w:tc>
          <w:tcPr/>
          <w:p>
            <w:pPr>
              <w:pStyle w:val="Compact"/>
              <w:jc w:val="left"/>
            </w:pPr>
            <w:r>
              <w:t xml:space="preserve">1,564,180</w:t>
            </w:r>
          </w:p>
        </w:tc>
        <w:tc>
          <w:tcPr/>
          <w:p>
            <w:pPr>
              <w:pStyle w:val="Compact"/>
              <w:jc w:val="left"/>
            </w:pPr>
            <w:r>
              <w:t xml:space="preserve">349,620</w:t>
            </w:r>
          </w:p>
        </w:tc>
        <w:tc>
          <w:tcPr/>
          <w:p>
            <w:pPr>
              <w:pStyle w:val="Compact"/>
              <w:jc w:val="left"/>
            </w:pPr>
            <w:r>
              <w:t xml:space="preserve">1.28 (1.21–1.36)</w:t>
            </w:r>
          </w:p>
        </w:tc>
        <w:tc>
          <w:tcPr/>
          <w:p>
            <w:pPr>
              <w:pStyle w:val="Compact"/>
              <w:jc w:val="left"/>
            </w:pPr>
            <w:r>
              <w:t xml:space="preserve">4.47 (3.37–5.58)</w:t>
            </w:r>
          </w:p>
        </w:tc>
        <w:tc>
          <w:tcPr/>
          <w:p>
            <w:pPr>
              <w:pStyle w:val="Compact"/>
            </w:pPr>
          </w:p>
        </w:tc>
      </w:tr>
      <w:tr>
        <w:tc>
          <w:tcPr/>
          <w:p>
            <w:pPr>
              <w:pStyle w:val="Compact"/>
              <w:jc w:val="left"/>
            </w:pPr>
            <w:r>
              <w:t xml:space="preserve">Medicaid vs other payer</w:t>
            </w:r>
          </w:p>
        </w:tc>
        <w:tc>
          <w:tcPr/>
          <w:p>
            <w:pPr>
              <w:pStyle w:val="Compact"/>
              <w:jc w:val="left"/>
            </w:pPr>
            <w:r>
              <w:t xml:space="preserve">Other payer</w:t>
            </w:r>
          </w:p>
        </w:tc>
        <w:tc>
          <w:tcPr/>
          <w:p>
            <w:pPr>
              <w:pStyle w:val="Compact"/>
              <w:jc w:val="left"/>
            </w:pPr>
            <w:r>
              <w:t xml:space="preserve">3,379,792</w:t>
            </w:r>
          </w:p>
        </w:tc>
        <w:tc>
          <w:tcPr/>
          <w:p>
            <w:pPr>
              <w:pStyle w:val="Compact"/>
              <w:jc w:val="left"/>
            </w:pPr>
            <w:r>
              <w:t xml:space="preserve">760,046</w:t>
            </w:r>
          </w:p>
        </w:tc>
        <w:tc>
          <w:tcPr/>
          <w:p>
            <w:pPr>
              <w:pStyle w:val="Compact"/>
              <w:jc w:val="left"/>
            </w:pPr>
            <w:r>
              <w:t xml:space="preserve">1.38 (1.34–1.42)</w:t>
            </w:r>
          </w:p>
        </w:tc>
        <w:tc>
          <w:tcPr/>
          <w:p>
            <w:pPr>
              <w:pStyle w:val="Compact"/>
              <w:jc w:val="left"/>
            </w:pPr>
            <w:r>
              <w:t xml:space="preserve">5.93 (5.33–6.53)</w:t>
            </w:r>
          </w:p>
        </w:tc>
        <w:tc>
          <w:tcPr/>
          <w:p>
            <w:pPr>
              <w:pStyle w:val="Compact"/>
              <w:jc w:val="left"/>
            </w:pPr>
            <w:r>
              <w:t xml:space="preserve">0.802</w:t>
            </w:r>
          </w:p>
        </w:tc>
      </w:tr>
      <w:tr>
        <w:tc>
          <w:tcPr/>
          <w:p>
            <w:pPr>
              <w:pStyle w:val="Compact"/>
            </w:pPr>
          </w:p>
        </w:tc>
        <w:tc>
          <w:tcPr/>
          <w:p>
            <w:pPr>
              <w:pStyle w:val="Compact"/>
              <w:jc w:val="left"/>
            </w:pPr>
            <w:r>
              <w:t xml:space="preserve">Medicaid</w:t>
            </w:r>
          </w:p>
        </w:tc>
        <w:tc>
          <w:tcPr/>
          <w:p>
            <w:pPr>
              <w:pStyle w:val="Compact"/>
              <w:jc w:val="left"/>
            </w:pPr>
            <w:r>
              <w:t xml:space="preserve">393,678</w:t>
            </w:r>
          </w:p>
        </w:tc>
        <w:tc>
          <w:tcPr/>
          <w:p>
            <w:pPr>
              <w:pStyle w:val="Compact"/>
              <w:jc w:val="left"/>
            </w:pPr>
            <w:r>
              <w:t xml:space="preserve">108,678</w:t>
            </w:r>
          </w:p>
        </w:tc>
        <w:tc>
          <w:tcPr/>
          <w:p>
            <w:pPr>
              <w:pStyle w:val="Compact"/>
              <w:jc w:val="left"/>
            </w:pPr>
            <w:r>
              <w:t xml:space="preserve">1.37 (1.33–1.41)</w:t>
            </w:r>
          </w:p>
        </w:tc>
        <w:tc>
          <w:tcPr/>
          <w:p>
            <w:pPr>
              <w:pStyle w:val="Compact"/>
              <w:jc w:val="left"/>
            </w:pPr>
            <w:r>
              <w:t xml:space="preserve">6.35 (5.77–6.92)</w:t>
            </w:r>
          </w:p>
        </w:tc>
        <w:tc>
          <w:tcPr/>
          <w:p>
            <w:pPr>
              <w:pStyle w:val="Compact"/>
            </w:pPr>
          </w:p>
        </w:tc>
      </w:tr>
      <w:tr>
        <w:tc>
          <w:tcPr/>
          <w:p>
            <w:pPr>
              <w:pStyle w:val="Compact"/>
              <w:jc w:val="left"/>
            </w:pPr>
            <w:r>
              <w:t xml:space="preserve">Metropolitan vs non-metropolitan residence</w:t>
            </w:r>
          </w:p>
        </w:tc>
        <w:tc>
          <w:tcPr/>
          <w:p>
            <w:pPr>
              <w:pStyle w:val="Compact"/>
              <w:jc w:val="left"/>
            </w:pPr>
            <w:r>
              <w:t xml:space="preserve">Metropolitan</w:t>
            </w:r>
          </w:p>
        </w:tc>
        <w:tc>
          <w:tcPr/>
          <w:p>
            <w:pPr>
              <w:pStyle w:val="Compact"/>
              <w:jc w:val="left"/>
            </w:pPr>
            <w:r>
              <w:t xml:space="preserve">3,199,329</w:t>
            </w:r>
          </w:p>
        </w:tc>
        <w:tc>
          <w:tcPr/>
          <w:p>
            <w:pPr>
              <w:pStyle w:val="Compact"/>
              <w:jc w:val="left"/>
            </w:pPr>
            <w:r>
              <w:t xml:space="preserve">740,916</w:t>
            </w:r>
          </w:p>
        </w:tc>
        <w:tc>
          <w:tcPr/>
          <w:p>
            <w:pPr>
              <w:pStyle w:val="Compact"/>
              <w:jc w:val="left"/>
            </w:pPr>
            <w:r>
              <w:t xml:space="preserve">1.39 (1.36–1.42)</w:t>
            </w:r>
          </w:p>
        </w:tc>
        <w:tc>
          <w:tcPr/>
          <w:p>
            <w:pPr>
              <w:pStyle w:val="Compact"/>
              <w:jc w:val="left"/>
            </w:pPr>
            <w:r>
              <w:t xml:space="preserve">6.20 (5.74–6.65)</w:t>
            </w:r>
          </w:p>
        </w:tc>
        <w:tc>
          <w:tcPr/>
          <w:p>
            <w:pPr>
              <w:pStyle w:val="Compact"/>
              <w:jc w:val="left"/>
            </w:pPr>
            <w:r>
              <w:t xml:space="preserve">&lt;0.001</w:t>
            </w:r>
          </w:p>
        </w:tc>
      </w:tr>
      <w:tr>
        <w:tc>
          <w:tcPr/>
          <w:p>
            <w:pPr>
              <w:pStyle w:val="Compact"/>
            </w:pPr>
          </w:p>
        </w:tc>
        <w:tc>
          <w:tcPr/>
          <w:p>
            <w:pPr>
              <w:pStyle w:val="Compact"/>
              <w:jc w:val="left"/>
            </w:pPr>
            <w:r>
              <w:t xml:space="preserve">Non-metropolitan</w:t>
            </w:r>
          </w:p>
        </w:tc>
        <w:tc>
          <w:tcPr/>
          <w:p>
            <w:pPr>
              <w:pStyle w:val="Compact"/>
              <w:jc w:val="left"/>
            </w:pPr>
            <w:r>
              <w:t xml:space="preserve">550,386</w:t>
            </w:r>
          </w:p>
        </w:tc>
        <w:tc>
          <w:tcPr/>
          <w:p>
            <w:pPr>
              <w:pStyle w:val="Compact"/>
              <w:jc w:val="left"/>
            </w:pPr>
            <w:r>
              <w:t xml:space="preserve">118,540</w:t>
            </w:r>
          </w:p>
        </w:tc>
        <w:tc>
          <w:tcPr/>
          <w:p>
            <w:pPr>
              <w:pStyle w:val="Compact"/>
              <w:jc w:val="left"/>
            </w:pPr>
            <w:r>
              <w:t xml:space="preserve">1.18 (1.11–1.25)</w:t>
            </w:r>
          </w:p>
        </w:tc>
        <w:tc>
          <w:tcPr/>
          <w:p>
            <w:pPr>
              <w:pStyle w:val="Compact"/>
              <w:jc w:val="left"/>
            </w:pPr>
            <w:r>
              <w:t xml:space="preserve">2.81 (1.74–3.88)</w:t>
            </w:r>
          </w:p>
        </w:tc>
        <w:tc>
          <w:tcPr/>
          <w:p>
            <w:pPr>
              <w:pStyle w:val="Compact"/>
            </w:pPr>
          </w:p>
        </w:tc>
      </w:tr>
    </w:tbl>
    <w:p>
      <w:pPr>
        <w:pStyle w:val="CaptionedFigure"/>
      </w:pPr>
      <w:r>
        <w:drawing>
          <wp:inline>
            <wp:extent cx="5334000" cy="3809999"/>
            <wp:effectExtent b="0" l="0" r="0" t="0"/>
            <wp:docPr descr="Figure 3. Exploratory subgroup analyses." title="" id="64" name="Picture"/>
            <a:graphic>
              <a:graphicData uri="http://schemas.openxmlformats.org/drawingml/2006/picture">
                <pic:pic>
                  <pic:nvPicPr>
                    <pic:cNvPr descr="index_files/figure-docx/fig3-show-1.png" id="65" name="Picture"/>
                    <pic:cNvPicPr>
                      <a:picLocks noChangeArrowheads="1" noChangeAspect="1"/>
                    </pic:cNvPicPr>
                  </pic:nvPicPr>
                  <pic:blipFill>
                    <a:blip r:embed="rId63"/>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3. Exploratory subgroup analyses.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C:\Users\saada\AppData\Local\Programs\Positron\resources\app\quarto\share\formats\docx\important.png" id="68" name="Picture"/>
                          <pic:cNvPicPr>
                            <a:picLocks noChangeArrowheads="1" noChangeAspect="1"/>
                          </pic:cNvPicPr>
                        </pic:nvPicPr>
                        <pic:blipFill>
                          <a:blip r:embed="rId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ALL SUBGROUP RESULTS ARE EXPLORATORY and are not adjusted for multiplicity. Each estimate is the adjusted association between amphetamine-type stimulant use disorder and 30-day readmission, refitted within that subgroup using the primary covariate block. Effect modification is assessed by a design-based Wald test on the whole interaction block, fitted on the rows with a non-missing modifier; the modifier’s deterministic parent covariate is removed from that model so that no coefficient is aliased (payer group for primary payer, residence group for NCHS category, phenotype for the HFrEF/HFpEF comparison). Non-overlapping subgroup confidence intervals are NOT evidence of interaction and are not interpreted as such. Terms that became constant or sparse inside a subgroup were dropped from that fit and are listed in the render log. No subgroup finding appears in the Conclusions.</w:t>
            </w:r>
          </w:p>
          <w:p/>
        </w:tc>
      </w:tr>
    </w:tbl>
    <w:bookmarkEnd w:id="69"/>
    <w:bookmarkStart w:id="75" w:name="sec-sensitivity"/>
    <w:p>
      <w:pPr>
        <w:pStyle w:val="Heading2"/>
      </w:pPr>
      <w:r>
        <w:t xml:space="preserve">3.8 Sensitivity analyses</w:t>
      </w:r>
    </w:p>
    <w:p>
      <w:pPr>
        <w:pStyle w:val="TableCaption"/>
      </w:pPr>
      <w:r>
        <w:t xml:space="preserve">Table 6. Sensitivity analyses. Exposure estimate only.</w:t>
      </w:r>
    </w:p>
    <w:tbl>
      <w:tblPr>
        <w:tblStyle w:val="Table"/>
        <w:tblW w:type="pct" w:w="5000"/>
        <w:tblLayout w:type="fixed"/>
        <w:tblLook w:firstRow="1" w:lastRow="0" w:firstColumn="0" w:lastColumn="0" w:noHBand="0" w:noVBand="0" w:val="0020"/>
        <w:tblCaption w:val="Table 6. Sensitivity analyses. Exposure estimate only."/>
      </w:tblPr>
      <w:tblGrid>
        <w:gridCol w:w="2887"/>
        <w:gridCol w:w="819"/>
        <w:gridCol w:w="312"/>
        <w:gridCol w:w="1482"/>
        <w:gridCol w:w="2418"/>
      </w:tblGrid>
      <w:tr>
        <w:trPr>
          <w:tblHeader w:val="on"/>
        </w:trPr>
        <w:tc>
          <w:tcPr/>
          <w:p>
            <w:pPr>
              <w:pStyle w:val="Compact"/>
              <w:jc w:val="left"/>
            </w:pPr>
            <w:r>
              <w:t xml:space="preserve">Analysis</w:t>
            </w:r>
          </w:p>
        </w:tc>
        <w:tc>
          <w:tcPr/>
          <w:p>
            <w:pPr>
              <w:pStyle w:val="Compact"/>
              <w:jc w:val="left"/>
            </w:pPr>
            <w:r>
              <w:t xml:space="preserve">Adjusted OR (95% CI)</w:t>
            </w:r>
          </w:p>
        </w:tc>
        <w:tc>
          <w:tcPr/>
          <w:p>
            <w:pPr>
              <w:pStyle w:val="Compact"/>
              <w:jc w:val="left"/>
            </w:pPr>
            <w:r>
              <w:t xml:space="preserve">p value</w:t>
            </w:r>
          </w:p>
        </w:tc>
        <w:tc>
          <w:tcPr/>
          <w:p>
            <w:pPr>
              <w:pStyle w:val="Compact"/>
              <w:jc w:val="left"/>
            </w:pPr>
            <w:r>
              <w:t xml:space="preserve">Adjusted risk difference, pp (95% CI)</w:t>
            </w:r>
          </w:p>
        </w:tc>
        <w:tc>
          <w:tcPr/>
          <w:p>
            <w:pPr>
              <w:pStyle w:val="Compact"/>
              <w:jc w:val="left"/>
            </w:pPr>
            <w:r>
              <w:t xml:space="preserve">Adjusted risk ratio (95% CI)</w:t>
            </w:r>
          </w:p>
        </w:tc>
      </w:tr>
      <w:tr>
        <w:tc>
          <w:tcPr/>
          <w:p>
            <w:pPr>
              <w:pStyle w:val="Compact"/>
              <w:jc w:val="left"/>
            </w:pPr>
            <w:r>
              <w:t xml:space="preserve">Primary model (reference)</w:t>
            </w:r>
          </w:p>
        </w:tc>
        <w:tc>
          <w:tcPr/>
          <w:p>
            <w:pPr>
              <w:pStyle w:val="Compact"/>
              <w:jc w:val="left"/>
            </w:pPr>
            <w:r>
              <w:t xml:space="preserve">1.35 (1.33–1.38)</w:t>
            </w:r>
          </w:p>
        </w:tc>
        <w:tc>
          <w:tcPr/>
          <w:p>
            <w:pPr>
              <w:pStyle w:val="Compact"/>
              <w:jc w:val="left"/>
            </w:pPr>
            <w:r>
              <w:t xml:space="preserve">&lt;0.001</w:t>
            </w:r>
          </w:p>
        </w:tc>
        <w:tc>
          <w:tcPr/>
          <w:p>
            <w:pPr>
              <w:pStyle w:val="Compact"/>
              <w:jc w:val="left"/>
            </w:pPr>
            <w:r>
              <w:t xml:space="preserve">5.64 (5.23–6.04)</w:t>
            </w:r>
          </w:p>
        </w:tc>
        <w:tc>
          <w:tcPr/>
          <w:p>
            <w:pPr>
              <w:pStyle w:val="Compact"/>
              <w:jc w:val="left"/>
            </w:pPr>
            <w:r>
              <w:t xml:space="preserve">1.25 (1.23–1.27)</w:t>
            </w:r>
          </w:p>
        </w:tc>
      </w:tr>
      <w:tr>
        <w:tc>
          <w:tcPr/>
          <w:p>
            <w:pPr>
              <w:pStyle w:val="Compact"/>
              <w:jc w:val="left"/>
            </w:pPr>
            <w:r>
              <w:t xml:space="preserve">S1. First qualifying index admission per patient-year only</w:t>
            </w:r>
          </w:p>
        </w:tc>
        <w:tc>
          <w:tcPr/>
          <w:p>
            <w:pPr>
              <w:pStyle w:val="Compact"/>
              <w:jc w:val="left"/>
            </w:pPr>
            <w:r>
              <w:t xml:space="preserve">1.30 (1.27–1.33)</w:t>
            </w:r>
          </w:p>
        </w:tc>
        <w:tc>
          <w:tcPr/>
          <w:p>
            <w:pPr>
              <w:pStyle w:val="Compact"/>
              <w:jc w:val="left"/>
            </w:pPr>
            <w:r>
              <w:t xml:space="preserve">&lt;0.001</w:t>
            </w:r>
          </w:p>
        </w:tc>
        <w:tc>
          <w:tcPr/>
          <w:p>
            <w:pPr>
              <w:pStyle w:val="Compact"/>
              <w:jc w:val="left"/>
            </w:pPr>
            <w:r>
              <w:t xml:space="preserve">4.42 (3.99–4.85)</w:t>
            </w:r>
          </w:p>
        </w:tc>
        <w:tc>
          <w:tcPr/>
          <w:p>
            <w:pPr>
              <w:pStyle w:val="Compact"/>
              <w:jc w:val="left"/>
            </w:pPr>
            <w:r>
              <w:t xml:space="preserve">1.22 (1.20–1.24)</w:t>
            </w:r>
          </w:p>
        </w:tc>
      </w:tr>
      <w:tr>
        <w:tc>
          <w:tcPr/>
          <w:p>
            <w:pPr>
              <w:pStyle w:val="Compact"/>
              <w:jc w:val="left"/>
            </w:pPr>
            <w:r>
              <w:t xml:space="preserve">S2. Leave-2020-out</w:t>
            </w:r>
          </w:p>
        </w:tc>
        <w:tc>
          <w:tcPr/>
          <w:p>
            <w:pPr>
              <w:pStyle w:val="Compact"/>
              <w:jc w:val="left"/>
            </w:pPr>
            <w:r>
              <w:t xml:space="preserve">1.35 (1.32–1.38)</w:t>
            </w:r>
          </w:p>
        </w:tc>
        <w:tc>
          <w:tcPr/>
          <w:p>
            <w:pPr>
              <w:pStyle w:val="Compact"/>
              <w:jc w:val="left"/>
            </w:pPr>
            <w:r>
              <w:t xml:space="preserve">&lt;0.001</w:t>
            </w:r>
          </w:p>
        </w:tc>
        <w:tc>
          <w:tcPr/>
          <w:p>
            <w:pPr>
              <w:pStyle w:val="Compact"/>
              <w:jc w:val="left"/>
            </w:pPr>
            <w:r>
              <w:t xml:space="preserve">5.61 (5.16–6.06)</w:t>
            </w:r>
          </w:p>
        </w:tc>
        <w:tc>
          <w:tcPr/>
          <w:p>
            <w:pPr>
              <w:pStyle w:val="Compact"/>
              <w:jc w:val="left"/>
            </w:pPr>
            <w:r>
              <w:t xml:space="preserve">1.25 (1.23–1.27)</w:t>
            </w:r>
          </w:p>
        </w:tc>
      </w:tr>
      <w:tr>
        <w:tc>
          <w:tcPr/>
          <w:p>
            <w:pPr>
              <w:pStyle w:val="Compact"/>
              <w:jc w:val="left"/>
            </w:pPr>
            <w:r>
              <w:t xml:space="preserve">S3. Propensity-score overlap-weighted (ATO) estimate</w:t>
            </w:r>
          </w:p>
        </w:tc>
        <w:tc>
          <w:tcPr/>
          <w:p>
            <w:pPr>
              <w:pStyle w:val="Compact"/>
              <w:jc w:val="left"/>
            </w:pPr>
            <w:r>
              <w:t xml:space="preserve">1.38 (1.35–1.41)</w:t>
            </w:r>
          </w:p>
        </w:tc>
        <w:tc>
          <w:tcPr/>
          <w:p>
            <w:pPr>
              <w:pStyle w:val="Compact"/>
              <w:jc w:val="left"/>
            </w:pPr>
            <w:r>
              <w:t xml:space="preserve">&lt;0.001</w:t>
            </w:r>
          </w:p>
        </w:tc>
        <w:tc>
          <w:tcPr/>
          <w:p>
            <w:pPr>
              <w:pStyle w:val="Compact"/>
              <w:jc w:val="left"/>
            </w:pPr>
            <w:r>
              <w:t xml:space="preserve">6.12 (5.70–6.54)</w:t>
            </w:r>
          </w:p>
        </w:tc>
        <w:tc>
          <w:tcPr/>
          <w:p>
            <w:pPr>
              <w:pStyle w:val="Compact"/>
              <w:jc w:val="left"/>
            </w:pPr>
            <w:r>
              <w:t xml:space="preserve">1.25 (1.24–1.27)</w:t>
            </w:r>
          </w:p>
        </w:tc>
      </w:tr>
      <w:tr>
        <w:tc>
          <w:tcPr/>
          <w:p>
            <w:pPr>
              <w:pStyle w:val="Compact"/>
              <w:jc w:val="left"/>
            </w:pPr>
            <w:r>
              <w:t xml:space="preserve">S4. Cox model, administrative censoring at day 30, full cohort</w:t>
            </w:r>
          </w:p>
        </w:tc>
        <w:tc>
          <w:tcPr/>
          <w:p>
            <w:pPr>
              <w:pStyle w:val="Compact"/>
              <w:jc w:val="left"/>
            </w:pPr>
            <w:r>
              <w:t xml:space="preserve">Not run</w:t>
            </w:r>
          </w:p>
        </w:tc>
        <w:tc>
          <w:tcPr/>
          <w:p>
            <w:pPr>
              <w:pStyle w:val="Compact"/>
              <w:jc w:val="left"/>
            </w:pPr>
            <w:r>
              <w:t xml:space="preserve">—</w:t>
            </w:r>
          </w:p>
        </w:tc>
        <w:tc>
          <w:tcPr/>
          <w:p>
            <w:pPr>
              <w:pStyle w:val="Compact"/>
              <w:jc w:val="left"/>
            </w:pPr>
            <w:r>
              <w:t xml:space="preserve">Not run</w:t>
            </w:r>
          </w:p>
        </w:tc>
        <w:tc>
          <w:tcPr/>
          <w:p>
            <w:pPr>
              <w:pStyle w:val="Compact"/>
              <w:jc w:val="left"/>
            </w:pPr>
            <w:r>
              <w:t xml:space="preserve">Not run in this render: deferred to a separate run (memory)</w:t>
            </w:r>
          </w:p>
        </w:tc>
      </w:tr>
      <w:tr>
        <w:tc>
          <w:tcPr/>
          <w:p>
            <w:pPr>
              <w:pStyle w:val="Compact"/>
              <w:jc w:val="left"/>
            </w:pPr>
            <w:r>
              <w:t xml:space="preserve">S5a. Disorder-only exposure (F15.1x/F15.2x; F15.9x excluded)</w:t>
            </w:r>
          </w:p>
        </w:tc>
        <w:tc>
          <w:tcPr/>
          <w:p>
            <w:pPr>
              <w:pStyle w:val="Compact"/>
              <w:jc w:val="left"/>
            </w:pPr>
            <w:r>
              <w:t xml:space="preserve">1.38 (1.35–1.41)</w:t>
            </w:r>
          </w:p>
        </w:tc>
        <w:tc>
          <w:tcPr/>
          <w:p>
            <w:pPr>
              <w:pStyle w:val="Compact"/>
              <w:jc w:val="left"/>
            </w:pPr>
            <w:r>
              <w:t xml:space="preserve">&lt;0.001</w:t>
            </w:r>
          </w:p>
        </w:tc>
        <w:tc>
          <w:tcPr/>
          <w:p>
            <w:pPr>
              <w:pStyle w:val="Compact"/>
              <w:jc w:val="left"/>
            </w:pPr>
            <w:r>
              <w:t xml:space="preserve">5.99 (5.55–6.42)</w:t>
            </w:r>
          </w:p>
        </w:tc>
        <w:tc>
          <w:tcPr/>
          <w:p>
            <w:pPr>
              <w:pStyle w:val="Compact"/>
              <w:jc w:val="left"/>
            </w:pPr>
            <w:r>
              <w:t xml:space="preserve">1.26 (1.24–1.28)</w:t>
            </w:r>
          </w:p>
        </w:tc>
      </w:tr>
      <w:tr>
        <w:tc>
          <w:tcPr/>
          <w:p>
            <w:pPr>
              <w:pStyle w:val="Compact"/>
              <w:jc w:val="left"/>
            </w:pPr>
            <w:r>
              <w:t xml:space="preserve">S5b. In-remission stimulant stratum versus no substance use disorder</w:t>
            </w:r>
          </w:p>
        </w:tc>
        <w:tc>
          <w:tcPr/>
          <w:p>
            <w:pPr>
              <w:pStyle w:val="Compact"/>
              <w:jc w:val="left"/>
            </w:pPr>
            <w:r>
              <w:t xml:space="preserve">Not run</w:t>
            </w:r>
          </w:p>
        </w:tc>
        <w:tc>
          <w:tcPr/>
          <w:p>
            <w:pPr>
              <w:pStyle w:val="Compact"/>
              <w:jc w:val="left"/>
            </w:pPr>
            <w:r>
              <w:t xml:space="preserve">—</w:t>
            </w:r>
          </w:p>
        </w:tc>
        <w:tc>
          <w:tcPr/>
          <w:p>
            <w:pPr>
              <w:pStyle w:val="Compact"/>
              <w:jc w:val="left"/>
            </w:pPr>
            <w:r>
              <w:t xml:space="preserve">Not run</w:t>
            </w:r>
          </w:p>
        </w:tc>
        <w:tc>
          <w:tcPr/>
          <w:p>
            <w:pPr>
              <w:pStyle w:val="Compact"/>
              <w:jc w:val="left"/>
            </w:pPr>
            <w:r>
              <w:t xml:space="preserve">Not estimable: fewer than 11 remission-coded index admissions</w:t>
            </w:r>
          </w:p>
        </w:tc>
      </w:tr>
      <w:tr>
        <w:tc>
          <w:tcPr/>
          <w:p>
            <w:pPr>
              <w:pStyle w:val="Compact"/>
              <w:jc w:val="left"/>
            </w:pPr>
            <w:r>
              <w:t xml:space="preserve">S6. Excluding index admissions ending in discharge against medical advice</w:t>
            </w:r>
          </w:p>
        </w:tc>
        <w:tc>
          <w:tcPr/>
          <w:p>
            <w:pPr>
              <w:pStyle w:val="Compact"/>
              <w:jc w:val="left"/>
            </w:pPr>
            <w:r>
              <w:t xml:space="preserve">1.25 (1.22–1.27)</w:t>
            </w:r>
          </w:p>
        </w:tc>
        <w:tc>
          <w:tcPr/>
          <w:p>
            <w:pPr>
              <w:pStyle w:val="Compact"/>
              <w:jc w:val="left"/>
            </w:pPr>
            <w:r>
              <w:t xml:space="preserve">&lt;0.001</w:t>
            </w:r>
          </w:p>
        </w:tc>
        <w:tc>
          <w:tcPr/>
          <w:p>
            <w:pPr>
              <w:pStyle w:val="Compact"/>
              <w:jc w:val="left"/>
            </w:pPr>
            <w:r>
              <w:t xml:space="preserve">3.98 (3.56–4.39)</w:t>
            </w:r>
          </w:p>
        </w:tc>
        <w:tc>
          <w:tcPr/>
          <w:p>
            <w:pPr>
              <w:pStyle w:val="Compact"/>
              <w:jc w:val="left"/>
            </w:pPr>
            <w:r>
              <w:t xml:space="preserve">1.18 (1.16–1.20)</w:t>
            </w:r>
          </w:p>
        </w:tc>
      </w:tr>
      <w:tr>
        <w:tc>
          <w:tcPr/>
          <w:p>
            <w:pPr>
              <w:pStyle w:val="Compact"/>
              <w:jc w:val="left"/>
            </w:pPr>
            <w:r>
              <w:t xml:space="preserve">S7. Exposure ascertained from I10_DX1-I10_DX30 only (uniform field depth)</w:t>
            </w:r>
          </w:p>
        </w:tc>
        <w:tc>
          <w:tcPr/>
          <w:p>
            <w:pPr>
              <w:pStyle w:val="Compact"/>
              <w:jc w:val="left"/>
            </w:pPr>
            <w:r>
              <w:t xml:space="preserve">1.36 (1.33–1.38)</w:t>
            </w:r>
          </w:p>
        </w:tc>
        <w:tc>
          <w:tcPr/>
          <w:p>
            <w:pPr>
              <w:pStyle w:val="Compact"/>
              <w:jc w:val="left"/>
            </w:pPr>
            <w:r>
              <w:t xml:space="preserve">&lt;0.001</w:t>
            </w:r>
          </w:p>
        </w:tc>
        <w:tc>
          <w:tcPr/>
          <w:p>
            <w:pPr>
              <w:pStyle w:val="Compact"/>
              <w:jc w:val="left"/>
            </w:pPr>
            <w:r>
              <w:t xml:space="preserve">5.64 (5.23–6.05)</w:t>
            </w:r>
          </w:p>
        </w:tc>
        <w:tc>
          <w:tcPr/>
          <w:p>
            <w:pPr>
              <w:pStyle w:val="Compact"/>
              <w:jc w:val="left"/>
            </w:pPr>
            <w:r>
              <w:t xml:space="preserve">1.25 (1.23–1.27)</w:t>
            </w:r>
          </w:p>
        </w:tc>
      </w:tr>
    </w:tbl>
    <w:p>
      <w:pPr>
        <w:pStyle w:val="BodyText"/>
      </w:pPr>
      <w:r>
        <w:t xml:space="preserve"> </w:t>
      </w:r>
    </w:p>
    <w:p>
      <w:pPr>
        <w:pStyle w:val="TableCaption"/>
      </w:pPr>
      <w:r>
        <w:t xml:space="preserve">Table 6b. Negative control outcome.</w:t>
      </w:r>
    </w:p>
    <w:tbl>
      <w:tblPr>
        <w:tblStyle w:val="Table"/>
        <w:tblW w:type="pct" w:w="5000"/>
        <w:tblLayout w:type="fixed"/>
        <w:tblLook w:firstRow="1" w:lastRow="0" w:firstColumn="0" w:lastColumn="0" w:noHBand="0" w:noVBand="0" w:val="0020"/>
        <w:tblCaption w:val="Table 6b. Negative control outcome."/>
      </w:tblPr>
      <w:tblGrid>
        <w:gridCol w:w="4209"/>
        <w:gridCol w:w="1163"/>
        <w:gridCol w:w="443"/>
        <w:gridCol w:w="2104"/>
      </w:tblGrid>
      <w:tr>
        <w:trPr>
          <w:tblHeader w:val="on"/>
        </w:trPr>
        <w:tc>
          <w:tcPr/>
          <w:p>
            <w:pPr>
              <w:pStyle w:val="Compact"/>
              <w:jc w:val="left"/>
            </w:pPr>
            <w:r>
              <w:t xml:space="preserve">Analysis</w:t>
            </w:r>
          </w:p>
        </w:tc>
        <w:tc>
          <w:tcPr/>
          <w:p>
            <w:pPr>
              <w:pStyle w:val="Compact"/>
              <w:jc w:val="left"/>
            </w:pPr>
            <w:r>
              <w:t xml:space="preserve">Adjusted OR (95% CI)</w:t>
            </w:r>
          </w:p>
        </w:tc>
        <w:tc>
          <w:tcPr/>
          <w:p>
            <w:pPr>
              <w:pStyle w:val="Compact"/>
              <w:jc w:val="left"/>
            </w:pPr>
            <w:r>
              <w:t xml:space="preserve">p value</w:t>
            </w:r>
          </w:p>
        </w:tc>
        <w:tc>
          <w:tcPr/>
          <w:p>
            <w:pPr>
              <w:pStyle w:val="Compact"/>
              <w:jc w:val="left"/>
            </w:pPr>
            <w:r>
              <w:t xml:space="preserve">Interpretation</w:t>
            </w:r>
          </w:p>
        </w:tc>
      </w:tr>
      <w:tr>
        <w:tc>
          <w:tcPr/>
          <w:p>
            <w:pPr>
              <w:pStyle w:val="Compact"/>
              <w:jc w:val="left"/>
            </w:pPr>
            <w:r>
              <w:t xml:space="preserve">Negative control: 30-day readmission with an eye or ear principal diagnosis</w:t>
            </w:r>
          </w:p>
        </w:tc>
        <w:tc>
          <w:tcPr/>
          <w:p>
            <w:pPr>
              <w:pStyle w:val="Compact"/>
              <w:jc w:val="left"/>
            </w:pPr>
            <w:r>
              <w:t xml:space="preserve">Not estimable</w:t>
            </w:r>
          </w:p>
        </w:tc>
        <w:tc>
          <w:tcPr/>
          <w:p>
            <w:pPr>
              <w:pStyle w:val="Compact"/>
              <w:jc w:val="left"/>
            </w:pPr>
            <w:r>
              <w:t xml:space="preserve">—</w:t>
            </w:r>
          </w:p>
        </w:tc>
        <w:tc>
          <w:tcPr/>
          <w:p>
            <w:pPr>
              <w:pStyle w:val="Compact"/>
              <w:jc w:val="left"/>
            </w:pPr>
            <w:r>
              <w:t xml:space="preserve">missing value where TRUE/FALSE needed</w:t>
            </w:r>
          </w:p>
        </w:tc>
      </w:tr>
    </w:tbl>
    <w:p>
      <w:pPr>
        <w:pStyle w:val="BodyText"/>
      </w:pPr>
      <w:r>
        <w:t xml:space="preserve"> </w:t>
      </w:r>
    </w:p>
    <w:p>
      <w:pPr>
        <w:pStyle w:val="TableCaption"/>
      </w:pPr>
      <w:r>
        <w:t xml:space="preserve">Table S6. Covariate balance before and after propensity-score overlap weighting.</w:t>
      </w:r>
    </w:p>
    <w:tbl>
      <w:tblPr>
        <w:tblStyle w:val="Table"/>
        <w:tblW w:type="pct" w:w="5000"/>
        <w:tblLayout w:type="fixed"/>
        <w:tblLook w:firstRow="1" w:lastRow="0" w:firstColumn="0" w:lastColumn="0" w:noHBand="0" w:noVBand="0" w:val="0020"/>
        <w:tblCaption w:val="Table S6. Covariate balance before and after propensity-score overlap weighting."/>
      </w:tblPr>
      <w:tblGrid>
        <w:gridCol w:w="3242"/>
        <w:gridCol w:w="1309"/>
        <w:gridCol w:w="1247"/>
        <w:gridCol w:w="2120"/>
      </w:tblGrid>
      <w:tr>
        <w:trPr>
          <w:tblHeader w:val="on"/>
        </w:trPr>
        <w:tc>
          <w:tcPr/>
          <w:p>
            <w:pPr>
              <w:pStyle w:val="Compact"/>
              <w:jc w:val="left"/>
            </w:pPr>
            <w:r>
              <w:t xml:space="preserve">Variable</w:t>
            </w:r>
          </w:p>
        </w:tc>
        <w:tc>
          <w:tcPr/>
          <w:p>
            <w:pPr>
              <w:pStyle w:val="Compact"/>
              <w:jc w:val="left"/>
            </w:pPr>
            <w:r>
              <w:t xml:space="preserve">SMD before weighting</w:t>
            </w:r>
          </w:p>
        </w:tc>
        <w:tc>
          <w:tcPr/>
          <w:p>
            <w:pPr>
              <w:pStyle w:val="Compact"/>
              <w:jc w:val="left"/>
            </w:pPr>
            <w:r>
              <w:t xml:space="preserve">SMD after weighting</w:t>
            </w:r>
          </w:p>
        </w:tc>
        <w:tc>
          <w:tcPr/>
          <w:p>
            <w:pPr>
              <w:pStyle w:val="Compact"/>
              <w:jc w:val="left"/>
            </w:pPr>
            <w:r>
              <w:t xml:space="preserve">Balanced (|SMD| &lt; 0.10)</w:t>
            </w:r>
          </w:p>
        </w:tc>
      </w:tr>
      <w:tr>
        <w:tc>
          <w:tcPr/>
          <w:p>
            <w:pPr>
              <w:pStyle w:val="Compact"/>
              <w:jc w:val="left"/>
            </w:pPr>
            <w:r>
              <w:t xml:space="preserve">Age, years</w:t>
            </w:r>
          </w:p>
        </w:tc>
        <w:tc>
          <w:tcPr/>
          <w:p>
            <w:pPr>
              <w:pStyle w:val="Compact"/>
              <w:jc w:val="left"/>
            </w:pPr>
            <w:r>
              <w:t xml:space="preserve">1.751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Sex</w:t>
            </w:r>
          </w:p>
        </w:tc>
        <w:tc>
          <w:tcPr/>
          <w:p>
            <w:pPr>
              <w:pStyle w:val="Compact"/>
              <w:jc w:val="left"/>
            </w:pPr>
            <w:r>
              <w:t xml:space="preserve">0.593</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Primary expected payer</w:t>
            </w:r>
          </w:p>
        </w:tc>
        <w:tc>
          <w:tcPr/>
          <w:p>
            <w:pPr>
              <w:pStyle w:val="Compact"/>
              <w:jc w:val="left"/>
            </w:pPr>
            <w:r>
              <w:t xml:space="preserve">1.417</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Median household income quartile (patient ZIP code)</w:t>
            </w:r>
          </w:p>
        </w:tc>
        <w:tc>
          <w:tcPr/>
          <w:p>
            <w:pPr>
              <w:pStyle w:val="Compact"/>
              <w:jc w:val="left"/>
            </w:pPr>
            <w:r>
              <w:t xml:space="preserve">0.197</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Patient residence (NCHS urban-rural classification)</w:t>
            </w:r>
          </w:p>
        </w:tc>
        <w:tc>
          <w:tcPr/>
          <w:p>
            <w:pPr>
              <w:pStyle w:val="Compact"/>
              <w:jc w:val="left"/>
            </w:pPr>
            <w:r>
              <w:t xml:space="preserve">0.510</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Admission day</w:t>
            </w:r>
          </w:p>
        </w:tc>
        <w:tc>
          <w:tcPr/>
          <w:p>
            <w:pPr>
              <w:pStyle w:val="Compact"/>
              <w:jc w:val="left"/>
            </w:pPr>
            <w:r>
              <w:t xml:space="preserve">0.072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Admission type</w:t>
            </w:r>
          </w:p>
        </w:tc>
        <w:tc>
          <w:tcPr/>
          <w:p>
            <w:pPr>
              <w:pStyle w:val="Compact"/>
              <w:jc w:val="left"/>
            </w:pPr>
            <w:r>
              <w:t xml:space="preserve">0.152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Hospital bed size</w:t>
            </w:r>
          </w:p>
        </w:tc>
        <w:tc>
          <w:tcPr/>
          <w:p>
            <w:pPr>
              <w:pStyle w:val="Compact"/>
              <w:jc w:val="left"/>
            </w:pPr>
            <w:r>
              <w:t xml:space="preserve">0.162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Hospital location and teaching status</w:t>
            </w:r>
          </w:p>
        </w:tc>
        <w:tc>
          <w:tcPr/>
          <w:p>
            <w:pPr>
              <w:pStyle w:val="Compact"/>
              <w:jc w:val="left"/>
            </w:pPr>
            <w:r>
              <w:t xml:space="preserve">0.121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Hospital ownership</w:t>
            </w:r>
          </w:p>
        </w:tc>
        <w:tc>
          <w:tcPr/>
          <w:p>
            <w:pPr>
              <w:pStyle w:val="Compact"/>
              <w:jc w:val="left"/>
            </w:pPr>
            <w:r>
              <w:t xml:space="preserve">0.217</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Discharge year</w:t>
            </w:r>
          </w:p>
        </w:tc>
        <w:tc>
          <w:tcPr/>
          <w:p>
            <w:pPr>
              <w:pStyle w:val="Compact"/>
              <w:jc w:val="left"/>
            </w:pPr>
            <w:r>
              <w:t xml:space="preserve">0.171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Cardiac arrhythmias</w:t>
            </w:r>
          </w:p>
        </w:tc>
        <w:tc>
          <w:tcPr/>
          <w:p>
            <w:pPr>
              <w:pStyle w:val="Compact"/>
              <w:jc w:val="left"/>
            </w:pPr>
            <w:r>
              <w:t xml:space="preserve">0.468</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Valvular disease</w:t>
            </w:r>
          </w:p>
        </w:tc>
        <w:tc>
          <w:tcPr/>
          <w:p>
            <w:pPr>
              <w:pStyle w:val="Compact"/>
              <w:jc w:val="left"/>
            </w:pPr>
            <w:r>
              <w:t xml:space="preserve">0.156</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Pulmonary circulation disorders</w:t>
            </w:r>
          </w:p>
        </w:tc>
        <w:tc>
          <w:tcPr/>
          <w:p>
            <w:pPr>
              <w:pStyle w:val="Compact"/>
              <w:jc w:val="left"/>
            </w:pPr>
            <w:r>
              <w:t xml:space="preserve">0.071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Peripheral vascular disorders</w:t>
            </w:r>
          </w:p>
        </w:tc>
        <w:tc>
          <w:tcPr/>
          <w:p>
            <w:pPr>
              <w:pStyle w:val="Compact"/>
              <w:jc w:val="left"/>
            </w:pPr>
            <w:r>
              <w:t xml:space="preserve">0.235</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Hypertension, uncomplicated</w:t>
            </w:r>
          </w:p>
        </w:tc>
        <w:tc>
          <w:tcPr/>
          <w:p>
            <w:pPr>
              <w:pStyle w:val="Compact"/>
              <w:jc w:val="left"/>
            </w:pPr>
            <w:r>
              <w:t xml:space="preserve">0.021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Paralysis</w:t>
            </w:r>
          </w:p>
        </w:tc>
        <w:tc>
          <w:tcPr/>
          <w:p>
            <w:pPr>
              <w:pStyle w:val="Compact"/>
              <w:jc w:val="left"/>
            </w:pPr>
            <w:r>
              <w:t xml:space="preserve">0.018</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Other neurological disorders</w:t>
            </w:r>
          </w:p>
        </w:tc>
        <w:tc>
          <w:tcPr/>
          <w:p>
            <w:pPr>
              <w:pStyle w:val="Compact"/>
              <w:jc w:val="left"/>
            </w:pPr>
            <w:r>
              <w:t xml:space="preserve">0.072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Chronic pulmonary disease</w:t>
            </w:r>
          </w:p>
        </w:tc>
        <w:tc>
          <w:tcPr/>
          <w:p>
            <w:pPr>
              <w:pStyle w:val="Compact"/>
              <w:jc w:val="left"/>
            </w:pPr>
            <w:r>
              <w:t xml:space="preserve">0.030</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Diabetes, uncomplicated</w:t>
            </w:r>
          </w:p>
        </w:tc>
        <w:tc>
          <w:tcPr/>
          <w:p>
            <w:pPr>
              <w:pStyle w:val="Compact"/>
              <w:jc w:val="left"/>
            </w:pPr>
            <w:r>
              <w:t xml:space="preserve">0.054</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Diabetes, complicated</w:t>
            </w:r>
          </w:p>
        </w:tc>
        <w:tc>
          <w:tcPr/>
          <w:p>
            <w:pPr>
              <w:pStyle w:val="Compact"/>
              <w:jc w:val="left"/>
            </w:pPr>
            <w:r>
              <w:t xml:space="preserve">0.456</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Hypothyroidism</w:t>
            </w:r>
          </w:p>
        </w:tc>
        <w:tc>
          <w:tcPr/>
          <w:p>
            <w:pPr>
              <w:pStyle w:val="Compact"/>
              <w:jc w:val="left"/>
            </w:pPr>
            <w:r>
              <w:t xml:space="preserve">0.422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Renal failure</w:t>
            </w:r>
          </w:p>
        </w:tc>
        <w:tc>
          <w:tcPr/>
          <w:p>
            <w:pPr>
              <w:pStyle w:val="Compact"/>
              <w:jc w:val="left"/>
            </w:pPr>
            <w:r>
              <w:t xml:space="preserve">0.520</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Liver disease</w:t>
            </w:r>
          </w:p>
        </w:tc>
        <w:tc>
          <w:tcPr/>
          <w:p>
            <w:pPr>
              <w:pStyle w:val="Compact"/>
              <w:jc w:val="left"/>
            </w:pPr>
            <w:r>
              <w:t xml:space="preserve">0.331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Peptic ulcer disease</w:t>
            </w:r>
          </w:p>
        </w:tc>
        <w:tc>
          <w:tcPr/>
          <w:p>
            <w:pPr>
              <w:pStyle w:val="Compact"/>
              <w:jc w:val="left"/>
            </w:pPr>
            <w:r>
              <w:t xml:space="preserve">0.029</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HIV/AIDS</w:t>
            </w:r>
          </w:p>
        </w:tc>
        <w:tc>
          <w:tcPr/>
          <w:p>
            <w:pPr>
              <w:pStyle w:val="Compact"/>
              <w:jc w:val="left"/>
            </w:pPr>
            <w:r>
              <w:t xml:space="preserve">0.091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Lymphoma</w:t>
            </w:r>
          </w:p>
        </w:tc>
        <w:tc>
          <w:tcPr/>
          <w:p>
            <w:pPr>
              <w:pStyle w:val="Compact"/>
              <w:jc w:val="left"/>
            </w:pPr>
            <w:r>
              <w:t xml:space="preserve">0.108</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Metastatic cancer</w:t>
            </w:r>
          </w:p>
        </w:tc>
        <w:tc>
          <w:tcPr/>
          <w:p>
            <w:pPr>
              <w:pStyle w:val="Compact"/>
              <w:jc w:val="left"/>
            </w:pPr>
            <w:r>
              <w:t xml:space="preserve">0.122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Solid tumour without metastasis</w:t>
            </w:r>
          </w:p>
        </w:tc>
        <w:tc>
          <w:tcPr/>
          <w:p>
            <w:pPr>
              <w:pStyle w:val="Compact"/>
              <w:jc w:val="left"/>
            </w:pPr>
            <w:r>
              <w:t xml:space="preserve">0.174</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Rheumatoid arthritis / collagen vascular disease</w:t>
            </w:r>
          </w:p>
        </w:tc>
        <w:tc>
          <w:tcPr/>
          <w:p>
            <w:pPr>
              <w:pStyle w:val="Compact"/>
              <w:jc w:val="left"/>
            </w:pPr>
            <w:r>
              <w:t xml:space="preserve">0.163</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Coagulopathy</w:t>
            </w:r>
          </w:p>
        </w:tc>
        <w:tc>
          <w:tcPr/>
          <w:p>
            <w:pPr>
              <w:pStyle w:val="Compact"/>
              <w:jc w:val="left"/>
            </w:pPr>
            <w:r>
              <w:t xml:space="preserve">0.101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Obesity</w:t>
            </w:r>
          </w:p>
        </w:tc>
        <w:tc>
          <w:tcPr/>
          <w:p>
            <w:pPr>
              <w:pStyle w:val="Compact"/>
              <w:jc w:val="left"/>
            </w:pPr>
            <w:r>
              <w:t xml:space="preserve">0.112</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Weight loss</w:t>
            </w:r>
          </w:p>
        </w:tc>
        <w:tc>
          <w:tcPr/>
          <w:p>
            <w:pPr>
              <w:pStyle w:val="Compact"/>
              <w:jc w:val="left"/>
            </w:pPr>
            <w:r>
              <w:t xml:space="preserve">0.068</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Fluid and electrolyte disorders</w:t>
            </w:r>
          </w:p>
        </w:tc>
        <w:tc>
          <w:tcPr/>
          <w:p>
            <w:pPr>
              <w:pStyle w:val="Compact"/>
              <w:jc w:val="left"/>
            </w:pPr>
            <w:r>
              <w:t xml:space="preserve">0.130</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Blood loss anaemia</w:t>
            </w:r>
          </w:p>
        </w:tc>
        <w:tc>
          <w:tcPr/>
          <w:p>
            <w:pPr>
              <w:pStyle w:val="Compact"/>
              <w:jc w:val="left"/>
            </w:pPr>
            <w:r>
              <w:t xml:space="preserve">0.086</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Deficiency anaemia</w:t>
            </w:r>
          </w:p>
        </w:tc>
        <w:tc>
          <w:tcPr/>
          <w:p>
            <w:pPr>
              <w:pStyle w:val="Compact"/>
              <w:jc w:val="left"/>
            </w:pPr>
            <w:r>
              <w:t xml:space="preserve">0.094</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Psychoses</w:t>
            </w:r>
          </w:p>
        </w:tc>
        <w:tc>
          <w:tcPr/>
          <w:p>
            <w:pPr>
              <w:pStyle w:val="Compact"/>
              <w:jc w:val="left"/>
            </w:pPr>
            <w:r>
              <w:t xml:space="preserve">0.216</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Depression</w:t>
            </w:r>
          </w:p>
        </w:tc>
        <w:tc>
          <w:tcPr/>
          <w:p>
            <w:pPr>
              <w:pStyle w:val="Compact"/>
              <w:jc w:val="left"/>
            </w:pPr>
            <w:r>
              <w:t xml:space="preserve">0.031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Hypertension, complicated</w:t>
            </w:r>
          </w:p>
        </w:tc>
        <w:tc>
          <w:tcPr/>
          <w:p>
            <w:pPr>
              <w:pStyle w:val="Compact"/>
              <w:jc w:val="left"/>
            </w:pPr>
            <w:r>
              <w:t xml:space="preserve">0.315</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Heart failure phenotype (any-listed I50 subtype)</w:t>
            </w:r>
          </w:p>
        </w:tc>
        <w:tc>
          <w:tcPr/>
          <w:p>
            <w:pPr>
              <w:pStyle w:val="Compact"/>
              <w:jc w:val="left"/>
            </w:pPr>
            <w:r>
              <w:t xml:space="preserve">0.833</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Cardiogenic shock at index</w:t>
            </w:r>
          </w:p>
        </w:tc>
        <w:tc>
          <w:tcPr/>
          <w:p>
            <w:pPr>
              <w:pStyle w:val="Compact"/>
              <w:jc w:val="left"/>
            </w:pPr>
            <w:r>
              <w:t xml:space="preserve">0.138</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Invasive mechanical ventilation at index</w:t>
            </w:r>
          </w:p>
        </w:tc>
        <w:tc>
          <w:tcPr/>
          <w:p>
            <w:pPr>
              <w:pStyle w:val="Compact"/>
              <w:jc w:val="left"/>
            </w:pPr>
            <w:r>
              <w:t xml:space="preserve">0.051</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Chronic dialysis dependence</w:t>
            </w:r>
          </w:p>
        </w:tc>
        <w:tc>
          <w:tcPr/>
          <w:p>
            <w:pPr>
              <w:pStyle w:val="Compact"/>
              <w:jc w:val="left"/>
            </w:pPr>
            <w:r>
              <w:t xml:space="preserve">0.288</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Cardiac implantable electronic device in situ</w:t>
            </w:r>
          </w:p>
        </w:tc>
        <w:tc>
          <w:tcPr/>
          <w:p>
            <w:pPr>
              <w:pStyle w:val="Compact"/>
              <w:jc w:val="left"/>
            </w:pPr>
            <w:r>
              <w:t xml:space="preserve">0.300</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Cardiomyopathy</w:t>
            </w:r>
          </w:p>
        </w:tc>
        <w:tc>
          <w:tcPr/>
          <w:p>
            <w:pPr>
              <w:pStyle w:val="Compact"/>
              <w:jc w:val="left"/>
            </w:pPr>
            <w:r>
              <w:t xml:space="preserve">0.826</w:t>
            </w:r>
          </w:p>
        </w:tc>
        <w:tc>
          <w:tcPr/>
          <w:p>
            <w:pPr>
              <w:pStyle w:val="Compact"/>
              <w:jc w:val="left"/>
            </w:pPr>
            <w:r>
              <w:t xml:space="preserve">0.000</w:t>
            </w:r>
          </w:p>
        </w:tc>
        <w:tc>
          <w:tcPr/>
          <w:p>
            <w:pPr>
              <w:pStyle w:val="Compact"/>
              <w:jc w:val="left"/>
            </w:pPr>
            <w:r>
              <w:t xml:space="preserve">Yes</w:t>
            </w:r>
          </w:p>
        </w:tc>
      </w:tr>
      <w:tr>
        <w:tc>
          <w:tcPr/>
          <w:p>
            <w:pPr>
              <w:pStyle w:val="Compact"/>
              <w:jc w:val="left"/>
            </w:pPr>
            <w:r>
              <w:t xml:space="preserve">Housing instability (Z59.x)</w:t>
            </w:r>
          </w:p>
        </w:tc>
        <w:tc>
          <w:tcPr/>
          <w:p>
            <w:pPr>
              <w:pStyle w:val="Compact"/>
              <w:jc w:val="left"/>
            </w:pPr>
            <w:r>
              <w:t xml:space="preserve">0.650</w:t>
            </w:r>
          </w:p>
        </w:tc>
        <w:tc>
          <w:tcPr/>
          <w:p>
            <w:pPr>
              <w:pStyle w:val="Compact"/>
              <w:jc w:val="left"/>
            </w:pPr>
            <w:r>
              <w:t xml:space="preserve">0.000</w:t>
            </w:r>
          </w:p>
        </w:tc>
        <w:tc>
          <w:tcPr/>
          <w:p>
            <w:pPr>
              <w:pStyle w:val="Compact"/>
              <w:jc w:val="left"/>
            </w:pPr>
            <w:r>
              <w:t xml:space="preserve">Yes</w:t>
            </w:r>
          </w:p>
        </w:tc>
      </w:tr>
    </w:tbl>
    <w:p>
      <w:pPr>
        <w:pStyle w:val="CaptionedFigure"/>
      </w:pPr>
      <w:r>
        <w:drawing>
          <wp:inline>
            <wp:extent cx="5334000" cy="3809999"/>
            <wp:effectExtent b="0" l="0" r="0" t="0"/>
            <wp:docPr descr="Figure S3. Covariate balance before and after overlap weighting." title="" id="71" name="Picture"/>
            <a:graphic>
              <a:graphicData uri="http://schemas.openxmlformats.org/drawingml/2006/picture">
                <pic:pic>
                  <pic:nvPicPr>
                    <pic:cNvPr descr="index_files/figure-docx/figS3-show-1.png" id="72" name="Picture"/>
                    <pic:cNvPicPr>
                      <a:picLocks noChangeArrowheads="1" noChangeAspect="1"/>
                    </pic:cNvPicPr>
                  </pic:nvPicPr>
                  <pic:blipFill>
                    <a:blip r:embed="rId70"/>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S3. Covariate balance before and after overlap weighting.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C:\Users\saada\AppData\Local\Programs\Positron\resources\app\quarto\share\formats\docx\note.png" id="74"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Sensitivity analyses are consistency checks and are NOT corrected for multiplicity; they are judged on whether the point estimate moves, not on whether a p-value crosses 0.05. Every subset was taken with subset() on the survey design constructed once on the full cohort, so the stratum information needed for correct variance estimation is preserved; the design was never rebuilt on filtered data. Pre-specified analyses that were not run, with the reason: S4: Not run in this render: deferred to a separate run (memory) S5b: Not estimable: fewer than 11 remission-coded index admissions The overlap-weighted design had an effective sample size of 217,938. The Cox model in S4 is a sensitivity analysis only and is not an alternative primary specification: every patient has complete 30-day follow-up by design, so a hazard ratio adds no information beyond the binary outcome.</w:t>
            </w:r>
          </w:p>
          <w:p/>
        </w:tc>
      </w:tr>
    </w:tbl>
    <w:bookmarkEnd w:id="75"/>
    <w:bookmarkStart w:id="81" w:name="sec-trends"/>
    <w:p>
      <w:pPr>
        <w:pStyle w:val="Heading2"/>
      </w:pPr>
      <w:r>
        <w:t xml:space="preserve">3.9 Temporal trends</w:t>
      </w:r>
    </w:p>
    <w:p>
      <w:pPr>
        <w:pStyle w:val="TableCaption"/>
      </w:pPr>
      <w:r>
        <w:t xml:space="preserve">Table S3. Temporal trends, 2016-2022.</w:t>
      </w:r>
    </w:p>
    <w:tbl>
      <w:tblPr>
        <w:tblStyle w:val="Table"/>
        <w:tblW w:type="pct" w:w="5000"/>
        <w:tblLayout w:type="fixed"/>
        <w:tblLook w:firstRow="1" w:lastRow="0" w:firstColumn="0" w:lastColumn="0" w:noHBand="0" w:noVBand="0" w:val="0020"/>
        <w:tblCaption w:val="Table S3. Temporal trends, 2016-2022."/>
      </w:tblPr>
      <w:tblGrid>
        <w:gridCol w:w="332"/>
        <w:gridCol w:w="2329"/>
        <w:gridCol w:w="2196"/>
        <w:gridCol w:w="1530"/>
        <w:gridCol w:w="1530"/>
      </w:tblGrid>
      <w:tr>
        <w:trPr>
          <w:tblHeader w:val="on"/>
        </w:trPr>
        <w:tc>
          <w:tcPr/>
          <w:p>
            <w:pPr>
              <w:pStyle w:val="Compact"/>
              <w:jc w:val="right"/>
            </w:pPr>
            <w:r>
              <w:t xml:space="preserve">Year</w:t>
            </w:r>
          </w:p>
        </w:tc>
        <w:tc>
          <w:tcPr/>
          <w:p>
            <w:pPr>
              <w:pStyle w:val="Compact"/>
              <w:jc w:val="left"/>
            </w:pPr>
            <w:r>
              <w:t xml:space="preserve">Weighted national index admissions</w:t>
            </w:r>
          </w:p>
        </w:tc>
        <w:tc>
          <w:tcPr/>
          <w:p>
            <w:pPr>
              <w:pStyle w:val="Compact"/>
              <w:jc w:val="left"/>
            </w:pPr>
            <w:r>
              <w:t xml:space="preserve">Stimulant prevalence, % (95% CI)</w:t>
            </w:r>
          </w:p>
        </w:tc>
        <w:tc>
          <w:tcPr/>
          <w:p>
            <w:pPr>
              <w:pStyle w:val="Compact"/>
              <w:jc w:val="left"/>
            </w:pPr>
            <w:r>
              <w:t xml:space="preserve">Readmission, unexposed</w:t>
            </w:r>
          </w:p>
        </w:tc>
        <w:tc>
          <w:tcPr/>
          <w:p>
            <w:pPr>
              <w:pStyle w:val="Compact"/>
              <w:jc w:val="left"/>
            </w:pPr>
            <w:r>
              <w:t xml:space="preserve">Readmission, stimulant</w:t>
            </w:r>
          </w:p>
        </w:tc>
      </w:tr>
      <w:tr>
        <w:tc>
          <w:tcPr/>
          <w:p>
            <w:pPr>
              <w:pStyle w:val="Compact"/>
              <w:jc w:val="right"/>
            </w:pPr>
            <w:r>
              <w:t xml:space="preserve">2016</w:t>
            </w:r>
          </w:p>
        </w:tc>
        <w:tc>
          <w:tcPr/>
          <w:p>
            <w:pPr>
              <w:pStyle w:val="Compact"/>
              <w:jc w:val="left"/>
            </w:pPr>
            <w:r>
              <w:t xml:space="preserve">892,353</w:t>
            </w:r>
          </w:p>
        </w:tc>
        <w:tc>
          <w:tcPr/>
          <w:p>
            <w:pPr>
              <w:pStyle w:val="Compact"/>
              <w:jc w:val="left"/>
            </w:pPr>
            <w:r>
              <w:t xml:space="preserve">1.2% (1.1–1.4)</w:t>
            </w:r>
          </w:p>
        </w:tc>
        <w:tc>
          <w:tcPr/>
          <w:p>
            <w:pPr>
              <w:pStyle w:val="Compact"/>
              <w:jc w:val="left"/>
            </w:pPr>
            <w:r>
              <w:t xml:space="preserve">23.0% (22.7–23.2)</w:t>
            </w:r>
          </w:p>
        </w:tc>
        <w:tc>
          <w:tcPr/>
          <w:p>
            <w:pPr>
              <w:pStyle w:val="Compact"/>
              <w:jc w:val="left"/>
            </w:pPr>
            <w:r>
              <w:t xml:space="preserve">29.7% (28.2–31.2)</w:t>
            </w:r>
          </w:p>
        </w:tc>
      </w:tr>
      <w:tr>
        <w:tc>
          <w:tcPr/>
          <w:p>
            <w:pPr>
              <w:pStyle w:val="Compact"/>
              <w:jc w:val="right"/>
            </w:pPr>
            <w:r>
              <w:t xml:space="preserve">2017</w:t>
            </w:r>
          </w:p>
        </w:tc>
        <w:tc>
          <w:tcPr/>
          <w:p>
            <w:pPr>
              <w:pStyle w:val="Compact"/>
              <w:jc w:val="left"/>
            </w:pPr>
            <w:r>
              <w:t xml:space="preserve">991,614</w:t>
            </w:r>
          </w:p>
        </w:tc>
        <w:tc>
          <w:tcPr/>
          <w:p>
            <w:pPr>
              <w:pStyle w:val="Compact"/>
              <w:jc w:val="left"/>
            </w:pPr>
            <w:r>
              <w:t xml:space="preserve">1.4% (1.2–1.5)</w:t>
            </w:r>
          </w:p>
        </w:tc>
        <w:tc>
          <w:tcPr/>
          <w:p>
            <w:pPr>
              <w:pStyle w:val="Compact"/>
              <w:jc w:val="left"/>
            </w:pPr>
            <w:r>
              <w:t xml:space="preserve">23.3% (23.0–23.5)</w:t>
            </w:r>
          </w:p>
        </w:tc>
        <w:tc>
          <w:tcPr/>
          <w:p>
            <w:pPr>
              <w:pStyle w:val="Compact"/>
              <w:jc w:val="left"/>
            </w:pPr>
            <w:r>
              <w:t xml:space="preserve">32.0% (30.7–33.3)</w:t>
            </w:r>
          </w:p>
        </w:tc>
      </w:tr>
      <w:tr>
        <w:tc>
          <w:tcPr/>
          <w:p>
            <w:pPr>
              <w:pStyle w:val="Compact"/>
              <w:jc w:val="right"/>
            </w:pPr>
            <w:r>
              <w:t xml:space="preserve">2018</w:t>
            </w:r>
          </w:p>
        </w:tc>
        <w:tc>
          <w:tcPr/>
          <w:p>
            <w:pPr>
              <w:pStyle w:val="Compact"/>
              <w:jc w:val="left"/>
            </w:pPr>
            <w:r>
              <w:t xml:space="preserve">1,038,450</w:t>
            </w:r>
          </w:p>
        </w:tc>
        <w:tc>
          <w:tcPr/>
          <w:p>
            <w:pPr>
              <w:pStyle w:val="Compact"/>
              <w:jc w:val="left"/>
            </w:pPr>
            <w:r>
              <w:t xml:space="preserve">1.6% (1.5–1.7)</w:t>
            </w:r>
          </w:p>
        </w:tc>
        <w:tc>
          <w:tcPr/>
          <w:p>
            <w:pPr>
              <w:pStyle w:val="Compact"/>
              <w:jc w:val="left"/>
            </w:pPr>
            <w:r>
              <w:t xml:space="preserve">23.2% (22.9–23.4)</w:t>
            </w:r>
          </w:p>
        </w:tc>
        <w:tc>
          <w:tcPr/>
          <w:p>
            <w:pPr>
              <w:pStyle w:val="Compact"/>
              <w:jc w:val="left"/>
            </w:pPr>
            <w:r>
              <w:t xml:space="preserve">30.8% (29.5–32.0)</w:t>
            </w:r>
          </w:p>
        </w:tc>
      </w:tr>
      <w:tr>
        <w:tc>
          <w:tcPr/>
          <w:p>
            <w:pPr>
              <w:pStyle w:val="Compact"/>
              <w:jc w:val="right"/>
            </w:pPr>
            <w:r>
              <w:t xml:space="preserve">2019</w:t>
            </w:r>
          </w:p>
        </w:tc>
        <w:tc>
          <w:tcPr/>
          <w:p>
            <w:pPr>
              <w:pStyle w:val="Compact"/>
              <w:jc w:val="left"/>
            </w:pPr>
            <w:r>
              <w:t xml:space="preserve">1,070,752</w:t>
            </w:r>
          </w:p>
        </w:tc>
        <w:tc>
          <w:tcPr/>
          <w:p>
            <w:pPr>
              <w:pStyle w:val="Compact"/>
              <w:jc w:val="left"/>
            </w:pPr>
            <w:r>
              <w:t xml:space="preserve">1.8% (1.7–2.0)</w:t>
            </w:r>
          </w:p>
        </w:tc>
        <w:tc>
          <w:tcPr/>
          <w:p>
            <w:pPr>
              <w:pStyle w:val="Compact"/>
              <w:jc w:val="left"/>
            </w:pPr>
            <w:r>
              <w:t xml:space="preserve">23.0% (22.8–23.2)</w:t>
            </w:r>
          </w:p>
        </w:tc>
        <w:tc>
          <w:tcPr/>
          <w:p>
            <w:pPr>
              <w:pStyle w:val="Compact"/>
              <w:jc w:val="left"/>
            </w:pPr>
            <w:r>
              <w:t xml:space="preserve">32.6% (31.5–33.7)</w:t>
            </w:r>
          </w:p>
        </w:tc>
      </w:tr>
      <w:tr>
        <w:tc>
          <w:tcPr/>
          <w:p>
            <w:pPr>
              <w:pStyle w:val="Compact"/>
              <w:jc w:val="right"/>
            </w:pPr>
            <w:r>
              <w:t xml:space="preserve">2020</w:t>
            </w:r>
          </w:p>
        </w:tc>
        <w:tc>
          <w:tcPr/>
          <w:p>
            <w:pPr>
              <w:pStyle w:val="Compact"/>
              <w:jc w:val="left"/>
            </w:pPr>
            <w:r>
              <w:t xml:space="preserve">920,415</w:t>
            </w:r>
          </w:p>
        </w:tc>
        <w:tc>
          <w:tcPr/>
          <w:p>
            <w:pPr>
              <w:pStyle w:val="Compact"/>
              <w:jc w:val="left"/>
            </w:pPr>
            <w:r>
              <w:t xml:space="preserve">2.4% (2.2–2.6)</w:t>
            </w:r>
          </w:p>
        </w:tc>
        <w:tc>
          <w:tcPr/>
          <w:p>
            <w:pPr>
              <w:pStyle w:val="Compact"/>
              <w:jc w:val="left"/>
            </w:pPr>
            <w:r>
              <w:t xml:space="preserve">22.5% (22.3–22.7)</w:t>
            </w:r>
          </w:p>
        </w:tc>
        <w:tc>
          <w:tcPr/>
          <w:p>
            <w:pPr>
              <w:pStyle w:val="Compact"/>
              <w:jc w:val="left"/>
            </w:pPr>
            <w:r>
              <w:t xml:space="preserve">31.6% (30.6–32.6)</w:t>
            </w:r>
          </w:p>
        </w:tc>
      </w:tr>
      <w:tr>
        <w:tc>
          <w:tcPr/>
          <w:p>
            <w:pPr>
              <w:pStyle w:val="Compact"/>
              <w:jc w:val="right"/>
            </w:pPr>
            <w:r>
              <w:t xml:space="preserve">2021</w:t>
            </w:r>
          </w:p>
        </w:tc>
        <w:tc>
          <w:tcPr/>
          <w:p>
            <w:pPr>
              <w:pStyle w:val="Compact"/>
              <w:jc w:val="left"/>
            </w:pPr>
            <w:r>
              <w:t xml:space="preserve">992,888</w:t>
            </w:r>
          </w:p>
        </w:tc>
        <w:tc>
          <w:tcPr/>
          <w:p>
            <w:pPr>
              <w:pStyle w:val="Compact"/>
              <w:jc w:val="left"/>
            </w:pPr>
            <w:r>
              <w:t xml:space="preserve">2.8% (2.6–3.0)</w:t>
            </w:r>
          </w:p>
        </w:tc>
        <w:tc>
          <w:tcPr/>
          <w:p>
            <w:pPr>
              <w:pStyle w:val="Compact"/>
              <w:jc w:val="left"/>
            </w:pPr>
            <w:r>
              <w:t xml:space="preserve">22.2% (21.9–22.4)</w:t>
            </w:r>
          </w:p>
        </w:tc>
        <w:tc>
          <w:tcPr/>
          <w:p>
            <w:pPr>
              <w:pStyle w:val="Compact"/>
              <w:jc w:val="left"/>
            </w:pPr>
            <w:r>
              <w:t xml:space="preserve">31.6% (30.6–32.5)</w:t>
            </w:r>
          </w:p>
        </w:tc>
      </w:tr>
      <w:tr>
        <w:tc>
          <w:tcPr/>
          <w:p>
            <w:pPr>
              <w:pStyle w:val="Compact"/>
              <w:jc w:val="right"/>
            </w:pPr>
            <w:r>
              <w:t xml:space="preserve">2022</w:t>
            </w:r>
          </w:p>
        </w:tc>
        <w:tc>
          <w:tcPr/>
          <w:p>
            <w:pPr>
              <w:pStyle w:val="Compact"/>
              <w:jc w:val="left"/>
            </w:pPr>
            <w:r>
              <w:t xml:space="preserve">999,726</w:t>
            </w:r>
          </w:p>
        </w:tc>
        <w:tc>
          <w:tcPr/>
          <w:p>
            <w:pPr>
              <w:pStyle w:val="Compact"/>
              <w:jc w:val="left"/>
            </w:pPr>
            <w:r>
              <w:t xml:space="preserve">2.9% (2.7–3.1)</w:t>
            </w:r>
          </w:p>
        </w:tc>
        <w:tc>
          <w:tcPr/>
          <w:p>
            <w:pPr>
              <w:pStyle w:val="Compact"/>
              <w:jc w:val="left"/>
            </w:pPr>
            <w:r>
              <w:t xml:space="preserve">22.1% (21.8–22.3)</w:t>
            </w:r>
          </w:p>
        </w:tc>
        <w:tc>
          <w:tcPr/>
          <w:p>
            <w:pPr>
              <w:pStyle w:val="Compact"/>
              <w:jc w:val="left"/>
            </w:pPr>
            <w:r>
              <w:t xml:space="preserve">31.3% (30.4–32.3)</w:t>
            </w:r>
          </w:p>
        </w:tc>
      </w:tr>
    </w:tbl>
    <w:p>
      <w:pPr>
        <w:pStyle w:val="CaptionedFigure"/>
      </w:pPr>
      <w:r>
        <w:drawing>
          <wp:inline>
            <wp:extent cx="5334000" cy="3809999"/>
            <wp:effectExtent b="0" l="0" r="0" t="0"/>
            <wp:docPr descr="Figure S1. Temporal trends, 2016-2022." title="" id="77" name="Picture"/>
            <a:graphic>
              <a:graphicData uri="http://schemas.openxmlformats.org/drawingml/2006/picture">
                <pic:pic>
                  <pic:nvPicPr>
                    <pic:cNvPr descr="index_files/figure-docx/figS1-show-1.png" id="78" name="Picture"/>
                    <pic:cNvPicPr>
                      <a:picLocks noChangeArrowheads="1" noChangeAspect="1"/>
                    </pic:cNvPicPr>
                  </pic:nvPicPr>
                  <pic:blipFill>
                    <a:blip r:embed="rId76"/>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S1. Temporal trends, 2016-2022.</w:t>
      </w:r>
    </w:p>
    <w:p>
      <w:pPr>
        <w:pStyle w:val="BodyText"/>
      </w:pPr>
      <w:r>
        <w:t xml:space="preserve">Trend in the outcome: 0.98 (0.98–0.99) per calendar year (p &lt;0.001). Trend in exposure prevalence:</w:t>
      </w:r>
      <w:r>
        <w:t xml:space="preserve"> </w:t>
      </w:r>
      <w:r>
        <w:t xml:space="preserve">1.18 (1.16–1.20) per calendar year (p &lt;0.001). Exposure-by-year interaction: p</w:t>
      </w:r>
      <w:r>
        <w:t xml:space="preserve"> </w:t>
      </w:r>
      <w:r>
        <w:t xml:space="preserve">0.004.</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C:\Users\saada\AppData\Local\Programs\Positron\resources\app\quarto\share\formats\docx\important.png" id="80" name="Picture"/>
                          <pic:cNvPicPr>
                            <a:picLocks noChangeArrowheads="1" noChangeAspect="1"/>
                          </pic:cNvPicPr>
                        </pic:nvPicPr>
                        <pic:blipFill>
                          <a:blip r:embed="rId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Three qualifications apply to every trend result reported here and must appear alongside them in the manuscript. First, these are seven independent annual cross-sections drawn from a partly changing hospital sample, not a longitudinal cohort; NRD patient linkage does not cross calendar years and hospital identifiers are reset each year. Second, coding intensity increased across this window, so an apparent rise in the prevalence of an any-listed diagnosis reflects ascertainment as much as incidence, and no biological trend is claimed. Third, 2020 is anomalous because of pandemic admission avoidance, COVID-19 coding and capacity effects, and is examined in the leave-2020-out sensitivity analysis S2. The trend test enters discharge year as a continuous term replacing the year factor, which is a design-based test; Joinpoint and segmented regression on the annual point estimates are not appropriate because they ignore the survey design. Whether the association itself changed across the window was tested once, as a single exposure-by-year interaction (p 0.004), and not as seven year-specific estimates.</w:t>
            </w:r>
          </w:p>
          <w:p/>
        </w:tc>
      </w:tr>
    </w:tbl>
    <w:bookmarkEnd w:id="81"/>
    <w:bookmarkStart w:id="87" w:name="sec-diagnostics"/>
    <w:p>
      <w:pPr>
        <w:pStyle w:val="Heading2"/>
      </w:pPr>
      <w:r>
        <w:t xml:space="preserve">3.10 Model diagnostics</w:t>
      </w:r>
    </w:p>
    <w:p>
      <w:pPr>
        <w:pStyle w:val="TableCaption"/>
      </w:pPr>
      <w:r>
        <w:t xml:space="preserve">Table S4. Model diagnostics.</w:t>
      </w:r>
    </w:p>
    <w:tbl>
      <w:tblPr>
        <w:tblStyle w:val="Table"/>
        <w:tblW w:type="pct" w:w="5000"/>
        <w:tblLayout w:type="fixed"/>
        <w:tblLook w:firstRow="1" w:lastRow="0" w:firstColumn="0" w:lastColumn="0" w:noHBand="0" w:noVBand="0" w:val="0020"/>
        <w:tblCaption w:val="Table S4. Model diagnostics."/>
      </w:tblPr>
      <w:tblGrid>
        <w:gridCol w:w="2254"/>
        <w:gridCol w:w="274"/>
        <w:gridCol w:w="5391"/>
      </w:tblGrid>
      <w:tr>
        <w:trPr>
          <w:tblHeader w:val="on"/>
        </w:trPr>
        <w:tc>
          <w:tcPr/>
          <w:p>
            <w:pPr>
              <w:pStyle w:val="Compact"/>
              <w:jc w:val="left"/>
            </w:pPr>
            <w:r>
              <w:t xml:space="preserve">Diagnostic</w:t>
            </w:r>
          </w:p>
        </w:tc>
        <w:tc>
          <w:tcPr/>
          <w:p>
            <w:pPr>
              <w:pStyle w:val="Compact"/>
              <w:jc w:val="left"/>
            </w:pPr>
            <w:r>
              <w:t xml:space="preserve">Value</w:t>
            </w:r>
          </w:p>
        </w:tc>
        <w:tc>
          <w:tcPr/>
          <w:p>
            <w:pPr>
              <w:pStyle w:val="Compact"/>
              <w:jc w:val="left"/>
            </w:pPr>
            <w:r>
              <w:t xml:space="preserve">Interpretation</w:t>
            </w:r>
          </w:p>
        </w:tc>
      </w:tr>
      <w:tr>
        <w:tc>
          <w:tcPr/>
          <w:p>
            <w:pPr>
              <w:pStyle w:val="Compact"/>
              <w:jc w:val="left"/>
            </w:pPr>
            <w:r>
              <w:t xml:space="preserve">Maximum variance inflation factor (per design-matrix column)</w:t>
            </w:r>
          </w:p>
        </w:tc>
        <w:tc>
          <w:tcPr/>
          <w:p>
            <w:pPr>
              <w:pStyle w:val="Compact"/>
              <w:jc w:val="left"/>
            </w:pPr>
            <w:r>
              <w:t xml:space="preserve">4.66</w:t>
            </w:r>
          </w:p>
        </w:tc>
        <w:tc>
          <w:tcPr/>
          <w:p>
            <w:pPr>
              <w:pStyle w:val="Compact"/>
              <w:jc w:val="left"/>
            </w:pPr>
            <w:r>
              <w:t xml:space="preserve">Below the pre-specified threshold of 5; no collinearity concern</w:t>
            </w:r>
          </w:p>
        </w:tc>
      </w:tr>
      <w:tr>
        <w:tc>
          <w:tcPr/>
          <w:p>
            <w:pPr>
              <w:pStyle w:val="Compact"/>
              <w:jc w:val="left"/>
            </w:pPr>
            <w:r>
              <w:t xml:space="preserve">Survey-weighted c-statistic (tie-corrected)</w:t>
            </w:r>
          </w:p>
        </w:tc>
        <w:tc>
          <w:tcPr/>
          <w:p>
            <w:pPr>
              <w:pStyle w:val="Compact"/>
              <w:jc w:val="left"/>
            </w:pPr>
            <w:r>
              <w:t xml:space="preserve">0.599</w:t>
            </w:r>
          </w:p>
        </w:tc>
        <w:tc>
          <w:tcPr/>
          <w:p>
            <w:pPr>
              <w:pStyle w:val="Compact"/>
              <w:jc w:val="left"/>
            </w:pPr>
            <w:r>
              <w:t xml:space="preserve">Reported without a threshold; discrimination is not the objective of an aetiological model</w:t>
            </w:r>
          </w:p>
        </w:tc>
      </w:tr>
      <w:tr>
        <w:tc>
          <w:tcPr/>
          <w:p>
            <w:pPr>
              <w:pStyle w:val="Compact"/>
              <w:jc w:val="left"/>
            </w:pPr>
            <w:r>
              <w:t xml:space="preserve">Design-based decile calibration test (survey analogue of Hosmer-Lemeshow)</w:t>
            </w:r>
          </w:p>
        </w:tc>
        <w:tc>
          <w:tcPr/>
          <w:p>
            <w:pPr>
              <w:pStyle w:val="Compact"/>
              <w:jc w:val="left"/>
            </w:pPr>
            <w:r>
              <w:t xml:space="preserve">&lt;0.001</w:t>
            </w:r>
          </w:p>
        </w:tc>
        <w:tc>
          <w:tcPr/>
          <w:p>
            <w:pPr>
              <w:pStyle w:val="Compact"/>
              <w:jc w:val="left"/>
            </w:pPr>
            <w:r>
              <w:t xml:space="preserve">With a cohort of this size any calibration test will reject. Figure S4 is the substantive evidence; this p-value is reported for completeness only and is not interpreted alone.</w:t>
            </w:r>
          </w:p>
        </w:tc>
      </w:tr>
      <w:tr>
        <w:tc>
          <w:tcPr/>
          <w:p>
            <w:pPr>
              <w:pStyle w:val="Compact"/>
              <w:jc w:val="left"/>
            </w:pPr>
            <w:r>
              <w:t xml:space="preserve">Covariates removed by the sparse-cell guard</w:t>
            </w:r>
          </w:p>
        </w:tc>
        <w:tc>
          <w:tcPr/>
          <w:p>
            <w:pPr>
              <w:pStyle w:val="Compact"/>
              <w:jc w:val="left"/>
            </w:pPr>
            <w:r>
              <w:t xml:space="preserve">elix_chf</w:t>
            </w:r>
          </w:p>
        </w:tc>
        <w:tc>
          <w:tcPr/>
          <w:p>
            <w:pPr>
              <w:pStyle w:val="Compact"/>
              <w:jc w:val="left"/>
            </w:pPr>
            <w:r>
              <w:t xml:space="preserve">Every removal is named here and in the Methods section</w:t>
            </w:r>
          </w:p>
        </w:tc>
      </w:tr>
      <w:tr>
        <w:tc>
          <w:tcPr/>
          <w:p>
            <w:pPr>
              <w:pStyle w:val="Compact"/>
              <w:jc w:val="left"/>
            </w:pPr>
            <w:r>
              <w:t xml:space="preserve">Minimum unweighted cell enforced on every reported table</w:t>
            </w:r>
          </w:p>
        </w:tc>
        <w:tc>
          <w:tcPr/>
          <w:p>
            <w:pPr>
              <w:pStyle w:val="Compact"/>
              <w:jc w:val="left"/>
            </w:pPr>
            <w:r>
              <w:t xml:space="preserve">11</w:t>
            </w:r>
          </w:p>
        </w:tc>
        <w:tc>
          <w:tcPr/>
          <w:p>
            <w:pPr>
              <w:pStyle w:val="Compact"/>
              <w:jc w:val="left"/>
            </w:pPr>
            <w:r>
              <w:t xml:space="preserve">HCUP Data Use Agreement</w:t>
            </w:r>
          </w:p>
        </w:tc>
      </w:tr>
    </w:tbl>
    <w:p>
      <w:pPr>
        <w:pStyle w:val="CaptionedFigure"/>
      </w:pPr>
      <w:r>
        <w:drawing>
          <wp:inline>
            <wp:extent cx="5334000" cy="3809999"/>
            <wp:effectExtent b="0" l="0" r="0" t="0"/>
            <wp:docPr descr="Figure S4. Calibration of the primary model." title="" id="83" name="Picture"/>
            <a:graphic>
              <a:graphicData uri="http://schemas.openxmlformats.org/drawingml/2006/picture">
                <pic:pic>
                  <pic:nvPicPr>
                    <pic:cNvPr descr="index_files/figure-docx/figS4-show-1.png" id="84" name="Picture"/>
                    <pic:cNvPicPr>
                      <a:picLocks noChangeArrowheads="1" noChangeAspect="1"/>
                    </pic:cNvPicPr>
                  </pic:nvPicPr>
                  <pic:blipFill>
                    <a:blip r:embed="rId82"/>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S4. Calibration of the primary model.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Users\saada\AppData\Local\Programs\Positron\resources\app\quarto\share\formats\docx\note.png" id="8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Variance inflation factors are computed per design-matrix column rather than aggregated to a generalized VIF, which is the conservative reading: if no individual dummy column is inflated then no multi-level factor is either. The c-statistic is survey-weighted and tie-corrected. The calibration test is the survey analogue of the Hosmer-Lemeshow test and is NOT the Archer-Lemeshow F-adjusted mean residual test; it should not be described as such. Singleton strata were centred at the grand mean (survey.lonely.psu =</w:t>
            </w:r>
            <w:r>
              <w:t xml:space="preserve"> </w:t>
            </w:r>
            <w:r>
              <w:t xml:space="preserve">‘adjust’</w:t>
            </w:r>
            <w:r>
              <w:t xml:space="preserve">) rather than removed; 0 stratum/strata contained a single primary sampling unit. All manually constructed intervals use t critical values on 15,936 design degrees of freedom rather than 1.96.</w:t>
            </w:r>
          </w:p>
          <w:p/>
        </w:tc>
      </w:tr>
    </w:tbl>
    <w:p>
      <w:pPr>
        <w:pStyle w:val="TableCaption"/>
      </w:pPr>
      <w:r>
        <w:t xml:space="preserve">Table S4b. Variance inflation factors, per design-matrix column.</w:t>
      </w:r>
    </w:p>
    <w:tbl>
      <w:tblPr>
        <w:tblStyle w:val="Table"/>
        <w:tblW w:type="auto" w:w="0"/>
        <w:tblLook w:firstRow="1" w:lastRow="0" w:firstColumn="0" w:lastColumn="0" w:noHBand="0" w:noVBand="0" w:val="0020"/>
        <w:tblCaption w:val="Table S4b. Variance inflation factors, per design-matrix column."/>
      </w:tblPr>
      <w:tblGrid>
        <w:gridCol w:w="3960"/>
        <w:gridCol w:w="3960"/>
      </w:tblGrid>
      <w:tr>
        <w:trPr>
          <w:tblHeader w:val="on"/>
        </w:trPr>
        <w:tc>
          <w:tcPr/>
          <w:p>
            <w:pPr>
              <w:pStyle w:val="Compact"/>
              <w:jc w:val="left"/>
            </w:pPr>
            <w:r>
              <w:t xml:space="preserve">Term</w:t>
            </w:r>
          </w:p>
        </w:tc>
        <w:tc>
          <w:tcPr/>
          <w:p>
            <w:pPr>
              <w:pStyle w:val="Compact"/>
              <w:jc w:val="right"/>
            </w:pPr>
            <w:r>
              <w:t xml:space="preserve">VIF</w:t>
            </w:r>
          </w:p>
        </w:tc>
      </w:tr>
      <w:tr>
        <w:tc>
          <w:tcPr/>
          <w:p>
            <w:pPr>
              <w:pStyle w:val="Compact"/>
              <w:jc w:val="left"/>
            </w:pPr>
            <w:r>
              <w:t xml:space="preserve">ns(AGE, 3)1</w:t>
            </w:r>
          </w:p>
        </w:tc>
        <w:tc>
          <w:tcPr/>
          <w:p>
            <w:pPr>
              <w:pStyle w:val="Compact"/>
              <w:jc w:val="right"/>
            </w:pPr>
            <w:r>
              <w:t xml:space="preserve">4.66</w:t>
            </w:r>
          </w:p>
        </w:tc>
      </w:tr>
      <w:tr>
        <w:tc>
          <w:tcPr/>
          <w:p>
            <w:pPr>
              <w:pStyle w:val="Compact"/>
              <w:jc w:val="left"/>
            </w:pPr>
            <w:r>
              <w:t xml:space="preserve">ns(AGE, 3)3</w:t>
            </w:r>
          </w:p>
        </w:tc>
        <w:tc>
          <w:tcPr/>
          <w:p>
            <w:pPr>
              <w:pStyle w:val="Compact"/>
              <w:jc w:val="right"/>
            </w:pPr>
            <w:r>
              <w:t xml:space="preserve">3.26</w:t>
            </w:r>
          </w:p>
        </w:tc>
      </w:tr>
      <w:tr>
        <w:tc>
          <w:tcPr/>
          <w:p>
            <w:pPr>
              <w:pStyle w:val="Compact"/>
              <w:jc w:val="left"/>
            </w:pPr>
            <w:r>
              <w:t xml:space="preserve">ns(AGE, 3)2</w:t>
            </w:r>
          </w:p>
        </w:tc>
        <w:tc>
          <w:tcPr/>
          <w:p>
            <w:pPr>
              <w:pStyle w:val="Compact"/>
              <w:jc w:val="right"/>
            </w:pPr>
            <w:r>
              <w:t xml:space="preserve">3.24</w:t>
            </w:r>
          </w:p>
        </w:tc>
      </w:tr>
      <w:tr>
        <w:tc>
          <w:tcPr/>
          <w:p>
            <w:pPr>
              <w:pStyle w:val="Compact"/>
              <w:jc w:val="left"/>
            </w:pPr>
            <w:r>
              <w:t xml:space="preserve">PAY1Medicare</w:t>
            </w:r>
          </w:p>
        </w:tc>
        <w:tc>
          <w:tcPr/>
          <w:p>
            <w:pPr>
              <w:pStyle w:val="Compact"/>
              <w:jc w:val="right"/>
            </w:pPr>
            <w:r>
              <w:t xml:space="preserve">2.59</w:t>
            </w:r>
          </w:p>
        </w:tc>
      </w:tr>
      <w:tr>
        <w:tc>
          <w:tcPr/>
          <w:p>
            <w:pPr>
              <w:pStyle w:val="Compact"/>
              <w:jc w:val="left"/>
            </w:pPr>
            <w:r>
              <w:t xml:space="preserve">YEAR2019</w:t>
            </w:r>
          </w:p>
        </w:tc>
        <w:tc>
          <w:tcPr/>
          <w:p>
            <w:pPr>
              <w:pStyle w:val="Compact"/>
              <w:jc w:val="right"/>
            </w:pPr>
            <w:r>
              <w:t xml:space="preserve">2.34</w:t>
            </w:r>
          </w:p>
        </w:tc>
      </w:tr>
      <w:tr>
        <w:tc>
          <w:tcPr/>
          <w:p>
            <w:pPr>
              <w:pStyle w:val="Compact"/>
              <w:jc w:val="left"/>
            </w:pPr>
            <w:r>
              <w:t xml:space="preserve">HOSP_UR_TEACHNon-metropolitan</w:t>
            </w:r>
          </w:p>
        </w:tc>
        <w:tc>
          <w:tcPr/>
          <w:p>
            <w:pPr>
              <w:pStyle w:val="Compact"/>
              <w:jc w:val="right"/>
            </w:pPr>
            <w:r>
              <w:t xml:space="preserve">2.32</w:t>
            </w:r>
          </w:p>
        </w:tc>
      </w:tr>
      <w:tr>
        <w:tc>
          <w:tcPr/>
          <w:p>
            <w:pPr>
              <w:pStyle w:val="Compact"/>
              <w:jc w:val="left"/>
            </w:pPr>
            <w:r>
              <w:t xml:space="preserve">YEAR2022</w:t>
            </w:r>
          </w:p>
        </w:tc>
        <w:tc>
          <w:tcPr/>
          <w:p>
            <w:pPr>
              <w:pStyle w:val="Compact"/>
              <w:jc w:val="right"/>
            </w:pPr>
            <w:r>
              <w:t xml:space="preserve">2.31</w:t>
            </w:r>
          </w:p>
        </w:tc>
      </w:tr>
      <w:tr>
        <w:tc>
          <w:tcPr/>
          <w:p>
            <w:pPr>
              <w:pStyle w:val="Compact"/>
              <w:jc w:val="left"/>
            </w:pPr>
            <w:r>
              <w:t xml:space="preserve">YEAR2018</w:t>
            </w:r>
          </w:p>
        </w:tc>
        <w:tc>
          <w:tcPr/>
          <w:p>
            <w:pPr>
              <w:pStyle w:val="Compact"/>
              <w:jc w:val="right"/>
            </w:pPr>
            <w:r>
              <w:t xml:space="preserve">2.27</w:t>
            </w:r>
          </w:p>
        </w:tc>
      </w:tr>
      <w:tr>
        <w:tc>
          <w:tcPr/>
          <w:p>
            <w:pPr>
              <w:pStyle w:val="Compact"/>
              <w:jc w:val="left"/>
            </w:pPr>
            <w:r>
              <w:t xml:space="preserve">YEAR2021</w:t>
            </w:r>
          </w:p>
        </w:tc>
        <w:tc>
          <w:tcPr/>
          <w:p>
            <w:pPr>
              <w:pStyle w:val="Compact"/>
              <w:jc w:val="right"/>
            </w:pPr>
            <w:r>
              <w:t xml:space="preserve">2.26</w:t>
            </w:r>
          </w:p>
        </w:tc>
      </w:tr>
      <w:tr>
        <w:tc>
          <w:tcPr/>
          <w:p>
            <w:pPr>
              <w:pStyle w:val="Compact"/>
              <w:jc w:val="left"/>
            </w:pPr>
            <w:r>
              <w:t xml:space="preserve">YEAR2020</w:t>
            </w:r>
          </w:p>
        </w:tc>
        <w:tc>
          <w:tcPr/>
          <w:p>
            <w:pPr>
              <w:pStyle w:val="Compact"/>
              <w:jc w:val="right"/>
            </w:pPr>
            <w:r>
              <w:t xml:space="preserve">2.21</w:t>
            </w:r>
          </w:p>
        </w:tc>
      </w:tr>
      <w:tr>
        <w:tc>
          <w:tcPr/>
          <w:p>
            <w:pPr>
              <w:pStyle w:val="Compact"/>
              <w:jc w:val="left"/>
            </w:pPr>
            <w:r>
              <w:t xml:space="preserve">YEAR2017</w:t>
            </w:r>
          </w:p>
        </w:tc>
        <w:tc>
          <w:tcPr/>
          <w:p>
            <w:pPr>
              <w:pStyle w:val="Compact"/>
              <w:jc w:val="right"/>
            </w:pPr>
            <w:r>
              <w:t xml:space="preserve">2.16</w:t>
            </w:r>
          </w:p>
        </w:tc>
      </w:tr>
      <w:tr>
        <w:tc>
          <w:tcPr/>
          <w:p>
            <w:pPr>
              <w:pStyle w:val="Compact"/>
              <w:jc w:val="left"/>
            </w:pPr>
            <w:r>
              <w:t xml:space="preserve">PL_NCHSMicropolitan</w:t>
            </w:r>
          </w:p>
        </w:tc>
        <w:tc>
          <w:tcPr/>
          <w:p>
            <w:pPr>
              <w:pStyle w:val="Compact"/>
              <w:jc w:val="right"/>
            </w:pPr>
            <w:r>
              <w:t xml:space="preserve">2.04</w:t>
            </w:r>
          </w:p>
        </w:tc>
      </w:tr>
      <w:tr>
        <w:tc>
          <w:tcPr/>
          <w:p>
            <w:pPr>
              <w:pStyle w:val="Compact"/>
              <w:jc w:val="left"/>
            </w:pPr>
            <w:r>
              <w:t xml:space="preserve">PAY1Medicaid</w:t>
            </w:r>
          </w:p>
        </w:tc>
        <w:tc>
          <w:tcPr/>
          <w:p>
            <w:pPr>
              <w:pStyle w:val="Compact"/>
              <w:jc w:val="right"/>
            </w:pPr>
            <w:r>
              <w:t xml:space="preserve">1.99</w:t>
            </w:r>
          </w:p>
        </w:tc>
      </w:tr>
      <w:tr>
        <w:tc>
          <w:tcPr/>
          <w:p>
            <w:pPr>
              <w:pStyle w:val="Compact"/>
              <w:jc w:val="left"/>
            </w:pPr>
            <w:r>
              <w:t xml:space="preserve">HOSP_BEDSIZELarge</w:t>
            </w:r>
          </w:p>
        </w:tc>
        <w:tc>
          <w:tcPr/>
          <w:p>
            <w:pPr>
              <w:pStyle w:val="Compact"/>
              <w:jc w:val="right"/>
            </w:pPr>
            <w:r>
              <w:t xml:space="preserve">1.92</w:t>
            </w:r>
          </w:p>
        </w:tc>
      </w:tr>
      <w:tr>
        <w:tc>
          <w:tcPr/>
          <w:p>
            <w:pPr>
              <w:pStyle w:val="Compact"/>
              <w:jc w:val="left"/>
            </w:pPr>
            <w:r>
              <w:t xml:space="preserve">HOSP_BEDSIZEMedium</w:t>
            </w:r>
          </w:p>
        </w:tc>
        <w:tc>
          <w:tcPr/>
          <w:p>
            <w:pPr>
              <w:pStyle w:val="Compact"/>
              <w:jc w:val="right"/>
            </w:pPr>
            <w:r>
              <w:t xml:space="preserve">1.83</w:t>
            </w:r>
          </w:p>
        </w:tc>
      </w:tr>
      <w:tr>
        <w:tc>
          <w:tcPr/>
          <w:p>
            <w:pPr>
              <w:pStyle w:val="Compact"/>
              <w:jc w:val="left"/>
            </w:pPr>
            <w:r>
              <w:t xml:space="preserve">elix_htn_uncompYes</w:t>
            </w:r>
          </w:p>
        </w:tc>
        <w:tc>
          <w:tcPr/>
          <w:p>
            <w:pPr>
              <w:pStyle w:val="Compact"/>
              <w:jc w:val="right"/>
            </w:pPr>
            <w:r>
              <w:t xml:space="preserve">1.65</w:t>
            </w:r>
          </w:p>
        </w:tc>
      </w:tr>
      <w:tr>
        <w:tc>
          <w:tcPr/>
          <w:p>
            <w:pPr>
              <w:pStyle w:val="Compact"/>
              <w:jc w:val="left"/>
            </w:pPr>
            <w:r>
              <w:t xml:space="preserve">ZIPINC_QRTL76th to 100th percentile</w:t>
            </w:r>
          </w:p>
        </w:tc>
        <w:tc>
          <w:tcPr/>
          <w:p>
            <w:pPr>
              <w:pStyle w:val="Compact"/>
              <w:jc w:val="right"/>
            </w:pPr>
            <w:r>
              <w:t xml:space="preserve">1.62</w:t>
            </w:r>
          </w:p>
        </w:tc>
      </w:tr>
      <w:tr>
        <w:tc>
          <w:tcPr/>
          <w:p>
            <w:pPr>
              <w:pStyle w:val="Compact"/>
              <w:jc w:val="left"/>
            </w:pPr>
            <w:r>
              <w:t xml:space="preserve">elix_htn_compYes</w:t>
            </w:r>
          </w:p>
        </w:tc>
        <w:tc>
          <w:tcPr/>
          <w:p>
            <w:pPr>
              <w:pStyle w:val="Compact"/>
              <w:jc w:val="right"/>
            </w:pPr>
            <w:r>
              <w:t xml:space="preserve">1.62</w:t>
            </w:r>
          </w:p>
        </w:tc>
      </w:tr>
      <w:tr>
        <w:tc>
          <w:tcPr/>
          <w:p>
            <w:pPr>
              <w:pStyle w:val="Compact"/>
              <w:jc w:val="left"/>
            </w:pPr>
            <w:r>
              <w:t xml:space="preserve">HF_PhenotypeHFpEF</w:t>
            </w:r>
          </w:p>
        </w:tc>
        <w:tc>
          <w:tcPr/>
          <w:p>
            <w:pPr>
              <w:pStyle w:val="Compact"/>
              <w:jc w:val="right"/>
            </w:pPr>
            <w:r>
              <w:t xml:space="preserve">1.61</w:t>
            </w:r>
          </w:p>
        </w:tc>
      </w:tr>
      <w:tr>
        <w:tc>
          <w:tcPr/>
          <w:p>
            <w:pPr>
              <w:pStyle w:val="Compact"/>
              <w:jc w:val="left"/>
            </w:pPr>
            <w:r>
              <w:t xml:space="preserve">PL_NCHSFringe metro ≥1 million</w:t>
            </w:r>
          </w:p>
        </w:tc>
        <w:tc>
          <w:tcPr/>
          <w:p>
            <w:pPr>
              <w:pStyle w:val="Compact"/>
              <w:jc w:val="right"/>
            </w:pPr>
            <w:r>
              <w:t xml:space="preserve">1.57</w:t>
            </w:r>
          </w:p>
        </w:tc>
      </w:tr>
      <w:tr>
        <w:tc>
          <w:tcPr/>
          <w:p>
            <w:pPr>
              <w:pStyle w:val="Compact"/>
              <w:jc w:val="left"/>
            </w:pPr>
            <w:r>
              <w:t xml:space="preserve">PL_NCHSOther</w:t>
            </w:r>
          </w:p>
        </w:tc>
        <w:tc>
          <w:tcPr/>
          <w:p>
            <w:pPr>
              <w:pStyle w:val="Compact"/>
              <w:jc w:val="right"/>
            </w:pPr>
            <w:r>
              <w:t xml:space="preserve">1.57</w:t>
            </w:r>
          </w:p>
        </w:tc>
      </w:tr>
      <w:tr>
        <w:tc>
          <w:tcPr/>
          <w:p>
            <w:pPr>
              <w:pStyle w:val="Compact"/>
              <w:jc w:val="left"/>
            </w:pPr>
            <w:r>
              <w:t xml:space="preserve">ZIPINC_QRTL51st to 75th percentile</w:t>
            </w:r>
          </w:p>
        </w:tc>
        <w:tc>
          <w:tcPr/>
          <w:p>
            <w:pPr>
              <w:pStyle w:val="Compact"/>
              <w:jc w:val="right"/>
            </w:pPr>
            <w:r>
              <w:t xml:space="preserve">1.51</w:t>
            </w:r>
          </w:p>
        </w:tc>
      </w:tr>
      <w:tr>
        <w:tc>
          <w:tcPr/>
          <w:p>
            <w:pPr>
              <w:pStyle w:val="Compact"/>
              <w:jc w:val="left"/>
            </w:pPr>
            <w:r>
              <w:t xml:space="preserve">PL_NCHSMetro 250,000-999,999</w:t>
            </w:r>
          </w:p>
        </w:tc>
        <w:tc>
          <w:tcPr/>
          <w:p>
            <w:pPr>
              <w:pStyle w:val="Compact"/>
              <w:jc w:val="right"/>
            </w:pPr>
            <w:r>
              <w:t xml:space="preserve">1.47</w:t>
            </w:r>
          </w:p>
        </w:tc>
      </w:tr>
      <w:tr>
        <w:tc>
          <w:tcPr/>
          <w:p>
            <w:pPr>
              <w:pStyle w:val="Compact"/>
              <w:jc w:val="left"/>
            </w:pPr>
            <w:r>
              <w:t xml:space="preserve">elix_renalYes</w:t>
            </w:r>
          </w:p>
        </w:tc>
        <w:tc>
          <w:tcPr/>
          <w:p>
            <w:pPr>
              <w:pStyle w:val="Compact"/>
              <w:jc w:val="right"/>
            </w:pPr>
            <w:r>
              <w:t xml:space="preserve">1.46</w:t>
            </w:r>
          </w:p>
        </w:tc>
      </w:tr>
      <w:tr>
        <w:tc>
          <w:tcPr/>
          <w:p>
            <w:pPr>
              <w:pStyle w:val="Compact"/>
              <w:jc w:val="left"/>
            </w:pPr>
            <w:r>
              <w:t xml:space="preserve">ZIPINC_QRTL26th to 50th percentile</w:t>
            </w:r>
          </w:p>
        </w:tc>
        <w:tc>
          <w:tcPr/>
          <w:p>
            <w:pPr>
              <w:pStyle w:val="Compact"/>
              <w:jc w:val="right"/>
            </w:pPr>
            <w:r>
              <w:t xml:space="preserve">1.43</w:t>
            </w:r>
          </w:p>
        </w:tc>
      </w:tr>
      <w:tr>
        <w:tc>
          <w:tcPr/>
          <w:p>
            <w:pPr>
              <w:pStyle w:val="Compact"/>
              <w:jc w:val="left"/>
            </w:pPr>
            <w:r>
              <w:t xml:space="preserve">PL_NCHSMissing/other</w:t>
            </w:r>
          </w:p>
        </w:tc>
        <w:tc>
          <w:tcPr/>
          <w:p>
            <w:pPr>
              <w:pStyle w:val="Compact"/>
              <w:jc w:val="right"/>
            </w:pPr>
            <w:r>
              <w:t xml:space="preserve">1.42</w:t>
            </w:r>
          </w:p>
        </w:tc>
      </w:tr>
      <w:tr>
        <w:tc>
          <w:tcPr/>
          <w:p>
            <w:pPr>
              <w:pStyle w:val="Compact"/>
              <w:jc w:val="left"/>
            </w:pPr>
            <w:r>
              <w:t xml:space="preserve">Housing_InstabilityYes</w:t>
            </w:r>
          </w:p>
        </w:tc>
        <w:tc>
          <w:tcPr/>
          <w:p>
            <w:pPr>
              <w:pStyle w:val="Compact"/>
              <w:jc w:val="right"/>
            </w:pPr>
            <w:r>
              <w:t xml:space="preserve">1.41</w:t>
            </w:r>
          </w:p>
        </w:tc>
      </w:tr>
      <w:tr>
        <w:tc>
          <w:tcPr/>
          <w:p>
            <w:pPr>
              <w:pStyle w:val="Compact"/>
              <w:jc w:val="left"/>
            </w:pPr>
            <w:r>
              <w:t xml:space="preserve">PAY1Other/self-pay</w:t>
            </w:r>
          </w:p>
        </w:tc>
        <w:tc>
          <w:tcPr/>
          <w:p>
            <w:pPr>
              <w:pStyle w:val="Compact"/>
              <w:jc w:val="right"/>
            </w:pPr>
            <w:r>
              <w:t xml:space="preserve">1.38</w:t>
            </w:r>
          </w:p>
        </w:tc>
      </w:tr>
      <w:tr>
        <w:tc>
          <w:tcPr/>
          <w:p>
            <w:pPr>
              <w:pStyle w:val="Compact"/>
              <w:jc w:val="left"/>
            </w:pPr>
            <w:r>
              <w:t xml:space="preserve">HOSP_UR_TEACHMetropolitan, teaching</w:t>
            </w:r>
          </w:p>
        </w:tc>
        <w:tc>
          <w:tcPr/>
          <w:p>
            <w:pPr>
              <w:pStyle w:val="Compact"/>
              <w:jc w:val="right"/>
            </w:pPr>
            <w:r>
              <w:t xml:space="preserve">1.36</w:t>
            </w:r>
          </w:p>
        </w:tc>
      </w:tr>
      <w:tr>
        <w:tc>
          <w:tcPr/>
          <w:p>
            <w:pPr>
              <w:pStyle w:val="Compact"/>
              <w:jc w:val="left"/>
            </w:pPr>
            <w:r>
              <w:t xml:space="preserve">CIEDYes</w:t>
            </w:r>
          </w:p>
        </w:tc>
        <w:tc>
          <w:tcPr/>
          <w:p>
            <w:pPr>
              <w:pStyle w:val="Compact"/>
              <w:jc w:val="right"/>
            </w:pPr>
            <w:r>
              <w:t xml:space="preserve">1.36</w:t>
            </w:r>
          </w:p>
        </w:tc>
      </w:tr>
      <w:tr>
        <w:tc>
          <w:tcPr/>
          <w:p>
            <w:pPr>
              <w:pStyle w:val="Compact"/>
              <w:jc w:val="left"/>
            </w:pPr>
            <w:r>
              <w:t xml:space="preserve">elix_dm_compYes</w:t>
            </w:r>
          </w:p>
        </w:tc>
        <w:tc>
          <w:tcPr/>
          <w:p>
            <w:pPr>
              <w:pStyle w:val="Compact"/>
              <w:jc w:val="right"/>
            </w:pPr>
            <w:r>
              <w:t xml:space="preserve">1.34</w:t>
            </w:r>
          </w:p>
        </w:tc>
      </w:tr>
      <w:tr>
        <w:tc>
          <w:tcPr/>
          <w:p>
            <w:pPr>
              <w:pStyle w:val="Compact"/>
              <w:jc w:val="left"/>
            </w:pPr>
            <w:r>
              <w:t xml:space="preserve">PL_NCHSMetro 50,000-249,999</w:t>
            </w:r>
          </w:p>
        </w:tc>
        <w:tc>
          <w:tcPr/>
          <w:p>
            <w:pPr>
              <w:pStyle w:val="Compact"/>
              <w:jc w:val="right"/>
            </w:pPr>
            <w:r>
              <w:t xml:space="preserve">1.32</w:t>
            </w:r>
          </w:p>
        </w:tc>
      </w:tr>
      <w:tr>
        <w:tc>
          <w:tcPr/>
          <w:p>
            <w:pPr>
              <w:pStyle w:val="Compact"/>
              <w:jc w:val="left"/>
            </w:pPr>
            <w:r>
              <w:t xml:space="preserve">elix_pvdYes</w:t>
            </w:r>
          </w:p>
        </w:tc>
        <w:tc>
          <w:tcPr/>
          <w:p>
            <w:pPr>
              <w:pStyle w:val="Compact"/>
              <w:jc w:val="right"/>
            </w:pPr>
            <w:r>
              <w:t xml:space="preserve">1.30</w:t>
            </w:r>
          </w:p>
        </w:tc>
      </w:tr>
      <w:tr>
        <w:tc>
          <w:tcPr/>
          <w:p>
            <w:pPr>
              <w:pStyle w:val="Compact"/>
              <w:jc w:val="left"/>
            </w:pPr>
            <w:r>
              <w:t xml:space="preserve">HF_PhenotypeCombined</w:t>
            </w:r>
          </w:p>
        </w:tc>
        <w:tc>
          <w:tcPr/>
          <w:p>
            <w:pPr>
              <w:pStyle w:val="Compact"/>
              <w:jc w:val="right"/>
            </w:pPr>
            <w:r>
              <w:t xml:space="preserve">1.28</w:t>
            </w:r>
          </w:p>
        </w:tc>
      </w:tr>
      <w:tr>
        <w:tc>
          <w:tcPr/>
          <w:p>
            <w:pPr>
              <w:pStyle w:val="Compact"/>
              <w:jc w:val="left"/>
            </w:pPr>
            <w:r>
              <w:t xml:space="preserve">StimulantAmphetamine-type stimulant use disorder</w:t>
            </w:r>
          </w:p>
        </w:tc>
        <w:tc>
          <w:tcPr/>
          <w:p>
            <w:pPr>
              <w:pStyle w:val="Compact"/>
              <w:jc w:val="right"/>
            </w:pPr>
            <w:r>
              <w:t xml:space="preserve">1.24</w:t>
            </w:r>
          </w:p>
        </w:tc>
      </w:tr>
      <w:tr>
        <w:tc>
          <w:tcPr/>
          <w:p>
            <w:pPr>
              <w:pStyle w:val="Compact"/>
              <w:jc w:val="left"/>
            </w:pPr>
            <w:r>
              <w:t xml:space="preserve">elix_tumorYes</w:t>
            </w:r>
          </w:p>
        </w:tc>
        <w:tc>
          <w:tcPr/>
          <w:p>
            <w:pPr>
              <w:pStyle w:val="Compact"/>
              <w:jc w:val="right"/>
            </w:pPr>
            <w:r>
              <w:t xml:space="preserve">1.22</w:t>
            </w:r>
          </w:p>
        </w:tc>
      </w:tr>
      <w:tr>
        <w:tc>
          <w:tcPr/>
          <w:p>
            <w:pPr>
              <w:pStyle w:val="Compact"/>
              <w:jc w:val="left"/>
            </w:pPr>
            <w:r>
              <w:t xml:space="preserve">CardiomyopathyYes</w:t>
            </w:r>
          </w:p>
        </w:tc>
        <w:tc>
          <w:tcPr/>
          <w:p>
            <w:pPr>
              <w:pStyle w:val="Compact"/>
              <w:jc w:val="right"/>
            </w:pPr>
            <w:r>
              <w:t xml:space="preserve">1.22</w:t>
            </w:r>
          </w:p>
        </w:tc>
      </w:tr>
      <w:tr>
        <w:tc>
          <w:tcPr/>
          <w:p>
            <w:pPr>
              <w:pStyle w:val="Compact"/>
              <w:jc w:val="left"/>
            </w:pPr>
            <w:r>
              <w:t xml:space="preserve">elix_arrhythmiaYes</w:t>
            </w:r>
          </w:p>
        </w:tc>
        <w:tc>
          <w:tcPr/>
          <w:p>
            <w:pPr>
              <w:pStyle w:val="Compact"/>
              <w:jc w:val="right"/>
            </w:pPr>
            <w:r>
              <w:t xml:space="preserve">1.21</w:t>
            </w:r>
          </w:p>
        </w:tc>
      </w:tr>
      <w:tr>
        <w:tc>
          <w:tcPr/>
          <w:p>
            <w:pPr>
              <w:pStyle w:val="Compact"/>
              <w:jc w:val="left"/>
            </w:pPr>
            <w:r>
              <w:t xml:space="preserve">elix_metsYes</w:t>
            </w:r>
          </w:p>
        </w:tc>
        <w:tc>
          <w:tcPr/>
          <w:p>
            <w:pPr>
              <w:pStyle w:val="Compact"/>
              <w:jc w:val="right"/>
            </w:pPr>
            <w:r>
              <w:t xml:space="preserve">1.21</w:t>
            </w:r>
          </w:p>
        </w:tc>
      </w:tr>
      <w:tr>
        <w:tc>
          <w:tcPr/>
          <w:p>
            <w:pPr>
              <w:pStyle w:val="Compact"/>
              <w:jc w:val="left"/>
            </w:pPr>
            <w:r>
              <w:t xml:space="preserve">Chronic_DialysisYes</w:t>
            </w:r>
          </w:p>
        </w:tc>
        <w:tc>
          <w:tcPr/>
          <w:p>
            <w:pPr>
              <w:pStyle w:val="Compact"/>
              <w:jc w:val="right"/>
            </w:pPr>
            <w:r>
              <w:t xml:space="preserve">1.21</w:t>
            </w:r>
          </w:p>
        </w:tc>
      </w:tr>
      <w:tr>
        <w:tc>
          <w:tcPr/>
          <w:p>
            <w:pPr>
              <w:pStyle w:val="Compact"/>
              <w:jc w:val="left"/>
            </w:pPr>
            <w:r>
              <w:t xml:space="preserve">elix_obesityYes</w:t>
            </w:r>
          </w:p>
        </w:tc>
        <w:tc>
          <w:tcPr/>
          <w:p>
            <w:pPr>
              <w:pStyle w:val="Compact"/>
              <w:jc w:val="right"/>
            </w:pPr>
            <w:r>
              <w:t xml:space="preserve">1.19</w:t>
            </w:r>
          </w:p>
        </w:tc>
      </w:tr>
      <w:tr>
        <w:tc>
          <w:tcPr/>
          <w:p>
            <w:pPr>
              <w:pStyle w:val="Compact"/>
              <w:jc w:val="left"/>
            </w:pPr>
            <w:r>
              <w:t xml:space="preserve">HF_PhenotypeOther/unspecified</w:t>
            </w:r>
          </w:p>
        </w:tc>
        <w:tc>
          <w:tcPr/>
          <w:p>
            <w:pPr>
              <w:pStyle w:val="Compact"/>
              <w:jc w:val="right"/>
            </w:pPr>
            <w:r>
              <w:t xml:space="preserve">1.18</w:t>
            </w:r>
          </w:p>
        </w:tc>
      </w:tr>
      <w:tr>
        <w:tc>
          <w:tcPr/>
          <w:p>
            <w:pPr>
              <w:pStyle w:val="Compact"/>
              <w:jc w:val="left"/>
            </w:pPr>
            <w:r>
              <w:t xml:space="preserve">elix_dm_uncompYes</w:t>
            </w:r>
          </w:p>
        </w:tc>
        <w:tc>
          <w:tcPr/>
          <w:p>
            <w:pPr>
              <w:pStyle w:val="Compact"/>
              <w:jc w:val="right"/>
            </w:pPr>
            <w:r>
              <w:t xml:space="preserve">1.16</w:t>
            </w:r>
          </w:p>
        </w:tc>
      </w:tr>
      <w:tr>
        <w:tc>
          <w:tcPr/>
          <w:p>
            <w:pPr>
              <w:pStyle w:val="Compact"/>
              <w:jc w:val="left"/>
            </w:pPr>
            <w:r>
              <w:t xml:space="preserve">FEMALEFemale</w:t>
            </w:r>
          </w:p>
        </w:tc>
        <w:tc>
          <w:tcPr/>
          <w:p>
            <w:pPr>
              <w:pStyle w:val="Compact"/>
              <w:jc w:val="right"/>
            </w:pPr>
            <w:r>
              <w:t xml:space="preserve">1.15</w:t>
            </w:r>
          </w:p>
        </w:tc>
      </w:tr>
      <w:tr>
        <w:tc>
          <w:tcPr/>
          <w:p>
            <w:pPr>
              <w:pStyle w:val="Compact"/>
              <w:jc w:val="left"/>
            </w:pPr>
            <w:r>
              <w:t xml:space="preserve">elix_valvularYes</w:t>
            </w:r>
          </w:p>
        </w:tc>
        <w:tc>
          <w:tcPr/>
          <w:p>
            <w:pPr>
              <w:pStyle w:val="Compact"/>
              <w:jc w:val="right"/>
            </w:pPr>
            <w:r>
              <w:t xml:space="preserve">1.11</w:t>
            </w:r>
          </w:p>
        </w:tc>
      </w:tr>
      <w:tr>
        <w:tc>
          <w:tcPr/>
          <w:p>
            <w:pPr>
              <w:pStyle w:val="Compact"/>
              <w:jc w:val="left"/>
            </w:pPr>
            <w:r>
              <w:t xml:space="preserve">H_CONTRLPrivate, invest-own</w:t>
            </w:r>
          </w:p>
        </w:tc>
        <w:tc>
          <w:tcPr/>
          <w:p>
            <w:pPr>
              <w:pStyle w:val="Compact"/>
              <w:jc w:val="right"/>
            </w:pPr>
            <w:r>
              <w:t xml:space="preserve">1.09</w:t>
            </w:r>
          </w:p>
        </w:tc>
      </w:tr>
      <w:tr>
        <w:tc>
          <w:tcPr/>
          <w:p>
            <w:pPr>
              <w:pStyle w:val="Compact"/>
              <w:jc w:val="left"/>
            </w:pPr>
            <w:r>
              <w:t xml:space="preserve">Cardiogenic_ShockYes</w:t>
            </w:r>
          </w:p>
        </w:tc>
        <w:tc>
          <w:tcPr/>
          <w:p>
            <w:pPr>
              <w:pStyle w:val="Compact"/>
              <w:jc w:val="right"/>
            </w:pPr>
            <w:r>
              <w:t xml:space="preserve">1.09</w:t>
            </w:r>
          </w:p>
        </w:tc>
      </w:tr>
      <w:tr>
        <w:tc>
          <w:tcPr/>
          <w:p>
            <w:pPr>
              <w:pStyle w:val="Compact"/>
              <w:jc w:val="left"/>
            </w:pPr>
            <w:r>
              <w:t xml:space="preserve">elix_pulm_circYes</w:t>
            </w:r>
          </w:p>
        </w:tc>
        <w:tc>
          <w:tcPr/>
          <w:p>
            <w:pPr>
              <w:pStyle w:val="Compact"/>
              <w:jc w:val="right"/>
            </w:pPr>
            <w:r>
              <w:t xml:space="preserve">1.08</w:t>
            </w:r>
          </w:p>
        </w:tc>
      </w:tr>
      <w:tr>
        <w:tc>
          <w:tcPr/>
          <w:p>
            <w:pPr>
              <w:pStyle w:val="Compact"/>
              <w:jc w:val="left"/>
            </w:pPr>
            <w:r>
              <w:t xml:space="preserve">elix_copdYes</w:t>
            </w:r>
          </w:p>
        </w:tc>
        <w:tc>
          <w:tcPr/>
          <w:p>
            <w:pPr>
              <w:pStyle w:val="Compact"/>
              <w:jc w:val="right"/>
            </w:pPr>
            <w:r>
              <w:t xml:space="preserve">1.06</w:t>
            </w:r>
          </w:p>
        </w:tc>
      </w:tr>
      <w:tr>
        <w:tc>
          <w:tcPr/>
          <w:p>
            <w:pPr>
              <w:pStyle w:val="Compact"/>
              <w:jc w:val="left"/>
            </w:pPr>
            <w:r>
              <w:t xml:space="preserve">elix_hypothyroidYes</w:t>
            </w:r>
          </w:p>
        </w:tc>
        <w:tc>
          <w:tcPr/>
          <w:p>
            <w:pPr>
              <w:pStyle w:val="Compact"/>
              <w:jc w:val="right"/>
            </w:pPr>
            <w:r>
              <w:t xml:space="preserve">1.06</w:t>
            </w:r>
          </w:p>
        </w:tc>
      </w:tr>
      <w:tr>
        <w:tc>
          <w:tcPr/>
          <w:p>
            <w:pPr>
              <w:pStyle w:val="Compact"/>
              <w:jc w:val="left"/>
            </w:pPr>
            <w:r>
              <w:t xml:space="preserve">H_CONTRLGovernment, nonfederal</w:t>
            </w:r>
          </w:p>
        </w:tc>
        <w:tc>
          <w:tcPr/>
          <w:p>
            <w:pPr>
              <w:pStyle w:val="Compact"/>
              <w:jc w:val="right"/>
            </w:pPr>
            <w:r>
              <w:t xml:space="preserve">1.05</w:t>
            </w:r>
          </w:p>
        </w:tc>
      </w:tr>
      <w:tr>
        <w:tc>
          <w:tcPr/>
          <w:p>
            <w:pPr>
              <w:pStyle w:val="Compact"/>
              <w:jc w:val="left"/>
            </w:pPr>
            <w:r>
              <w:t xml:space="preserve">elix_fluidYes</w:t>
            </w:r>
          </w:p>
        </w:tc>
        <w:tc>
          <w:tcPr/>
          <w:p>
            <w:pPr>
              <w:pStyle w:val="Compact"/>
              <w:jc w:val="right"/>
            </w:pPr>
            <w:r>
              <w:t xml:space="preserve">1.05</w:t>
            </w:r>
          </w:p>
        </w:tc>
      </w:tr>
      <w:tr>
        <w:tc>
          <w:tcPr/>
          <w:p>
            <w:pPr>
              <w:pStyle w:val="Compact"/>
              <w:jc w:val="left"/>
            </w:pPr>
            <w:r>
              <w:t xml:space="preserve">Mech_VentYes</w:t>
            </w:r>
          </w:p>
        </w:tc>
        <w:tc>
          <w:tcPr/>
          <w:p>
            <w:pPr>
              <w:pStyle w:val="Compact"/>
              <w:jc w:val="right"/>
            </w:pPr>
            <w:r>
              <w:t xml:space="preserve">1.05</w:t>
            </w:r>
          </w:p>
        </w:tc>
      </w:tr>
      <w:tr>
        <w:tc>
          <w:tcPr/>
          <w:p>
            <w:pPr>
              <w:pStyle w:val="Compact"/>
              <w:jc w:val="left"/>
            </w:pPr>
            <w:r>
              <w:t xml:space="preserve">ZIPINC_QRTLMissing/other</w:t>
            </w:r>
          </w:p>
        </w:tc>
        <w:tc>
          <w:tcPr/>
          <w:p>
            <w:pPr>
              <w:pStyle w:val="Compact"/>
              <w:jc w:val="right"/>
            </w:pPr>
            <w:r>
              <w:t xml:space="preserve">1.04</w:t>
            </w:r>
          </w:p>
        </w:tc>
      </w:tr>
      <w:tr>
        <w:tc>
          <w:tcPr/>
          <w:p>
            <w:pPr>
              <w:pStyle w:val="Compact"/>
              <w:jc w:val="left"/>
            </w:pPr>
            <w:r>
              <w:t xml:space="preserve">elix_liverYes</w:t>
            </w:r>
          </w:p>
        </w:tc>
        <w:tc>
          <w:tcPr/>
          <w:p>
            <w:pPr>
              <w:pStyle w:val="Compact"/>
              <w:jc w:val="right"/>
            </w:pPr>
            <w:r>
              <w:t xml:space="preserve">1.04</w:t>
            </w:r>
          </w:p>
        </w:tc>
      </w:tr>
      <w:tr>
        <w:tc>
          <w:tcPr/>
          <w:p>
            <w:pPr>
              <w:pStyle w:val="Compact"/>
              <w:jc w:val="left"/>
            </w:pPr>
            <w:r>
              <w:t xml:space="preserve">elix_coagYes</w:t>
            </w:r>
          </w:p>
        </w:tc>
        <w:tc>
          <w:tcPr/>
          <w:p>
            <w:pPr>
              <w:pStyle w:val="Compact"/>
              <w:jc w:val="right"/>
            </w:pPr>
            <w:r>
              <w:t xml:space="preserve">1.04</w:t>
            </w:r>
          </w:p>
        </w:tc>
      </w:tr>
      <w:tr>
        <w:tc>
          <w:tcPr/>
          <w:p>
            <w:pPr>
              <w:pStyle w:val="Compact"/>
              <w:jc w:val="left"/>
            </w:pPr>
            <w:r>
              <w:t xml:space="preserve">elix_wtlossYes</w:t>
            </w:r>
          </w:p>
        </w:tc>
        <w:tc>
          <w:tcPr/>
          <w:p>
            <w:pPr>
              <w:pStyle w:val="Compact"/>
              <w:jc w:val="right"/>
            </w:pPr>
            <w:r>
              <w:t xml:space="preserve">1.04</w:t>
            </w:r>
          </w:p>
        </w:tc>
      </w:tr>
      <w:tr>
        <w:tc>
          <w:tcPr/>
          <w:p>
            <w:pPr>
              <w:pStyle w:val="Compact"/>
              <w:jc w:val="left"/>
            </w:pPr>
            <w:r>
              <w:t xml:space="preserve">Admission_TypeElective</w:t>
            </w:r>
          </w:p>
        </w:tc>
        <w:tc>
          <w:tcPr/>
          <w:p>
            <w:pPr>
              <w:pStyle w:val="Compact"/>
              <w:jc w:val="right"/>
            </w:pPr>
            <w:r>
              <w:t xml:space="preserve">1.03</w:t>
            </w:r>
          </w:p>
        </w:tc>
      </w:tr>
      <w:tr>
        <w:tc>
          <w:tcPr/>
          <w:p>
            <w:pPr>
              <w:pStyle w:val="Compact"/>
              <w:jc w:val="left"/>
            </w:pPr>
            <w:r>
              <w:t xml:space="preserve">elix_neuroYes</w:t>
            </w:r>
          </w:p>
        </w:tc>
        <w:tc>
          <w:tcPr/>
          <w:p>
            <w:pPr>
              <w:pStyle w:val="Compact"/>
              <w:jc w:val="right"/>
            </w:pPr>
            <w:r>
              <w:t xml:space="preserve">1.03</w:t>
            </w:r>
          </w:p>
        </w:tc>
      </w:tr>
      <w:tr>
        <w:tc>
          <w:tcPr/>
          <w:p>
            <w:pPr>
              <w:pStyle w:val="Compact"/>
              <w:jc w:val="left"/>
            </w:pPr>
            <w:r>
              <w:t xml:space="preserve">elix_def_anemiaYes</w:t>
            </w:r>
          </w:p>
        </w:tc>
        <w:tc>
          <w:tcPr/>
          <w:p>
            <w:pPr>
              <w:pStyle w:val="Compact"/>
              <w:jc w:val="right"/>
            </w:pPr>
            <w:r>
              <w:t xml:space="preserve">1.02</w:t>
            </w:r>
          </w:p>
        </w:tc>
      </w:tr>
      <w:tr>
        <w:tc>
          <w:tcPr/>
          <w:p>
            <w:pPr>
              <w:pStyle w:val="Compact"/>
              <w:jc w:val="left"/>
            </w:pPr>
            <w:r>
              <w:t xml:space="preserve">elix_psychosesYes</w:t>
            </w:r>
          </w:p>
        </w:tc>
        <w:tc>
          <w:tcPr/>
          <w:p>
            <w:pPr>
              <w:pStyle w:val="Compact"/>
              <w:jc w:val="right"/>
            </w:pPr>
            <w:r>
              <w:t xml:space="preserve">1.02</w:t>
            </w:r>
          </w:p>
        </w:tc>
      </w:tr>
      <w:tr>
        <w:tc>
          <w:tcPr/>
          <w:p>
            <w:pPr>
              <w:pStyle w:val="Compact"/>
              <w:jc w:val="left"/>
            </w:pPr>
            <w:r>
              <w:t xml:space="preserve">elix_depressionYes</w:t>
            </w:r>
          </w:p>
        </w:tc>
        <w:tc>
          <w:tcPr/>
          <w:p>
            <w:pPr>
              <w:pStyle w:val="Compact"/>
              <w:jc w:val="right"/>
            </w:pPr>
            <w:r>
              <w:t xml:space="preserve">1.02</w:t>
            </w:r>
          </w:p>
        </w:tc>
      </w:tr>
      <w:tr>
        <w:tc>
          <w:tcPr/>
          <w:p>
            <w:pPr>
              <w:pStyle w:val="Compact"/>
              <w:jc w:val="left"/>
            </w:pPr>
            <w:r>
              <w:t xml:space="preserve">PAY1Missing/other</w:t>
            </w:r>
          </w:p>
        </w:tc>
        <w:tc>
          <w:tcPr/>
          <w:p>
            <w:pPr>
              <w:pStyle w:val="Compact"/>
              <w:jc w:val="right"/>
            </w:pPr>
            <w:r>
              <w:t xml:space="preserve">1.01</w:t>
            </w:r>
          </w:p>
        </w:tc>
      </w:tr>
      <w:tr>
        <w:tc>
          <w:tcPr/>
          <w:p>
            <w:pPr>
              <w:pStyle w:val="Compact"/>
              <w:jc w:val="left"/>
            </w:pPr>
            <w:r>
              <w:t xml:space="preserve">elix_hivYes</w:t>
            </w:r>
          </w:p>
        </w:tc>
        <w:tc>
          <w:tcPr/>
          <w:p>
            <w:pPr>
              <w:pStyle w:val="Compact"/>
              <w:jc w:val="right"/>
            </w:pPr>
            <w:r>
              <w:t xml:space="preserve">1.01</w:t>
            </w:r>
          </w:p>
        </w:tc>
      </w:tr>
      <w:tr>
        <w:tc>
          <w:tcPr/>
          <w:p>
            <w:pPr>
              <w:pStyle w:val="Compact"/>
              <w:jc w:val="left"/>
            </w:pPr>
            <w:r>
              <w:t xml:space="preserve">elix_lymphomaYes</w:t>
            </w:r>
          </w:p>
        </w:tc>
        <w:tc>
          <w:tcPr/>
          <w:p>
            <w:pPr>
              <w:pStyle w:val="Compact"/>
              <w:jc w:val="right"/>
            </w:pPr>
            <w:r>
              <w:t xml:space="preserve">1.01</w:t>
            </w:r>
          </w:p>
        </w:tc>
      </w:tr>
      <w:tr>
        <w:tc>
          <w:tcPr/>
          <w:p>
            <w:pPr>
              <w:pStyle w:val="Compact"/>
              <w:jc w:val="left"/>
            </w:pPr>
            <w:r>
              <w:t xml:space="preserve">elix_rheumYes</w:t>
            </w:r>
          </w:p>
        </w:tc>
        <w:tc>
          <w:tcPr/>
          <w:p>
            <w:pPr>
              <w:pStyle w:val="Compact"/>
              <w:jc w:val="right"/>
            </w:pPr>
            <w:r>
              <w:t xml:space="preserve">1.01</w:t>
            </w:r>
          </w:p>
        </w:tc>
      </w:tr>
      <w:tr>
        <w:tc>
          <w:tcPr/>
          <w:p>
            <w:pPr>
              <w:pStyle w:val="Compact"/>
              <w:jc w:val="left"/>
            </w:pPr>
            <w:r>
              <w:t xml:space="preserve">AWEEKENDWeekend (Sat-Sun)</w:t>
            </w:r>
          </w:p>
        </w:tc>
        <w:tc>
          <w:tcPr/>
          <w:p>
            <w:pPr>
              <w:pStyle w:val="Compact"/>
              <w:jc w:val="right"/>
            </w:pPr>
            <w:r>
              <w:t xml:space="preserve">1.00</w:t>
            </w:r>
          </w:p>
        </w:tc>
      </w:tr>
      <w:tr>
        <w:tc>
          <w:tcPr/>
          <w:p>
            <w:pPr>
              <w:pStyle w:val="Compact"/>
              <w:jc w:val="left"/>
            </w:pPr>
            <w:r>
              <w:t xml:space="preserve">elix_paralysisYes</w:t>
            </w:r>
          </w:p>
        </w:tc>
        <w:tc>
          <w:tcPr/>
          <w:p>
            <w:pPr>
              <w:pStyle w:val="Compact"/>
              <w:jc w:val="right"/>
            </w:pPr>
            <w:r>
              <w:t xml:space="preserve">1.00</w:t>
            </w:r>
          </w:p>
        </w:tc>
      </w:tr>
      <w:tr>
        <w:tc>
          <w:tcPr/>
          <w:p>
            <w:pPr>
              <w:pStyle w:val="Compact"/>
              <w:jc w:val="left"/>
            </w:pPr>
            <w:r>
              <w:t xml:space="preserve">elix_pudYes</w:t>
            </w:r>
          </w:p>
        </w:tc>
        <w:tc>
          <w:tcPr/>
          <w:p>
            <w:pPr>
              <w:pStyle w:val="Compact"/>
              <w:jc w:val="right"/>
            </w:pPr>
            <w:r>
              <w:t xml:space="preserve">1.00</w:t>
            </w:r>
          </w:p>
        </w:tc>
      </w:tr>
      <w:tr>
        <w:tc>
          <w:tcPr/>
          <w:p>
            <w:pPr>
              <w:pStyle w:val="Compact"/>
              <w:jc w:val="left"/>
            </w:pPr>
            <w:r>
              <w:t xml:space="preserve">elix_blood_anemiaYes</w:t>
            </w:r>
          </w:p>
        </w:tc>
        <w:tc>
          <w:tcPr/>
          <w:p>
            <w:pPr>
              <w:pStyle w:val="Compact"/>
              <w:jc w:val="right"/>
            </w:pPr>
            <w:r>
              <w:t xml:space="preserve">1.00</w:t>
            </w:r>
          </w:p>
        </w:tc>
      </w:tr>
    </w:tbl>
    <w:bookmarkEnd w:id="87"/>
    <w:bookmarkStart w:id="91" w:name="cohort-flow"/>
    <w:p>
      <w:pPr>
        <w:pStyle w:val="Heading2"/>
      </w:pPr>
      <w:r>
        <w:t xml:space="preserve">3.11 Cohort flow</w:t>
      </w:r>
    </w:p>
    <w:p>
      <w:pPr>
        <w:pStyle w:val="CaptionedFigure"/>
      </w:pPr>
      <w:r>
        <w:drawing>
          <wp:inline>
            <wp:extent cx="5334000" cy="3809999"/>
            <wp:effectExtent b="0" l="0" r="0" t="0"/>
            <wp:docPr descr="Figure 1. Cohort construction." title="" id="89" name="Picture"/>
            <a:graphic>
              <a:graphicData uri="http://schemas.openxmlformats.org/drawingml/2006/picture">
                <pic:pic>
                  <pic:nvPicPr>
                    <pic:cNvPr descr="index_files/figure-docx/fig1-show-1.png" id="90" name="Picture"/>
                    <pic:cNvPicPr>
                      <a:picLocks noChangeArrowheads="1" noChangeAspect="1"/>
                    </pic:cNvPicPr>
                  </pic:nvPicPr>
                  <pic:blipFill>
                    <a:blip r:embed="rId88"/>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1. Cohort construction.</w:t>
      </w:r>
    </w:p>
    <w:bookmarkEnd w:id="91"/>
    <w:bookmarkStart w:id="92" w:name="full-model-coefficients"/>
    <w:p>
      <w:pPr>
        <w:pStyle w:val="Heading2"/>
      </w:pPr>
      <w:r>
        <w:t xml:space="preserve">3.12 Full model coefficients</w:t>
      </w:r>
    </w:p>
    <w:p>
      <w:pPr>
        <w:pStyle w:val="TableCaption"/>
      </w:pPr>
      <w:r>
        <w:t xml:space="preserve">Table S2. Full coefficient table for the primary model. Covariate coefficients are adjustment terms, not causal estimates, and are supplied for transparency only.</w:t>
      </w:r>
    </w:p>
    <w:tbl>
      <w:tblPr>
        <w:tblStyle w:val="Table"/>
        <w:tblW w:type="pct" w:w="5000"/>
        <w:tblLayout w:type="fixed"/>
        <w:tblLook w:firstRow="1" w:lastRow="0" w:firstColumn="0" w:lastColumn="0" w:noHBand="0" w:noVBand="0" w:val="0020"/>
        <w:tblCaption w:val="Table S2. Full coefficient table for the primary model. Covariate coefficients are adjustment terms, not causal estimates, and are supplied for transparency only."/>
      </w:tblPr>
      <w:tblGrid>
        <w:gridCol w:w="4975"/>
        <w:gridCol w:w="2132"/>
        <w:gridCol w:w="812"/>
      </w:tblGrid>
      <w:tr>
        <w:trPr>
          <w:tblHeader w:val="on"/>
        </w:trPr>
        <w:tc>
          <w:tcPr/>
          <w:p>
            <w:pPr>
              <w:pStyle w:val="Compact"/>
              <w:jc w:val="left"/>
            </w:pPr>
            <w:r>
              <w:t xml:space="preserve">Term</w:t>
            </w:r>
          </w:p>
        </w:tc>
        <w:tc>
          <w:tcPr/>
          <w:p>
            <w:pPr>
              <w:pStyle w:val="Compact"/>
              <w:jc w:val="left"/>
            </w:pPr>
            <w:r>
              <w:t xml:space="preserve">Adjusted OR (95% CI)</w:t>
            </w:r>
          </w:p>
        </w:tc>
        <w:tc>
          <w:tcPr/>
          <w:p>
            <w:pPr>
              <w:pStyle w:val="Compact"/>
              <w:jc w:val="left"/>
            </w:pPr>
            <w:r>
              <w:t xml:space="preserve">p value</w:t>
            </w:r>
          </w:p>
        </w:tc>
      </w:tr>
      <w:tr>
        <w:tc>
          <w:tcPr/>
          <w:p>
            <w:pPr>
              <w:pStyle w:val="Compact"/>
              <w:jc w:val="left"/>
            </w:pPr>
            <w:r>
              <w:t xml:space="preserve">StimulantAmphetamine-type stimulant use disorder</w:t>
            </w:r>
          </w:p>
        </w:tc>
        <w:tc>
          <w:tcPr/>
          <w:p>
            <w:pPr>
              <w:pStyle w:val="Compact"/>
              <w:jc w:val="left"/>
            </w:pPr>
            <w:r>
              <w:t xml:space="preserve">1.35 (1.33–1.38)</w:t>
            </w:r>
          </w:p>
        </w:tc>
        <w:tc>
          <w:tcPr/>
          <w:p>
            <w:pPr>
              <w:pStyle w:val="Compact"/>
              <w:jc w:val="left"/>
            </w:pPr>
            <w:r>
              <w:t xml:space="preserve">&lt;0.001</w:t>
            </w:r>
          </w:p>
        </w:tc>
      </w:tr>
      <w:tr>
        <w:tc>
          <w:tcPr/>
          <w:p>
            <w:pPr>
              <w:pStyle w:val="Compact"/>
              <w:jc w:val="left"/>
            </w:pPr>
            <w:r>
              <w:t xml:space="preserve">ns(AGE, 3)1</w:t>
            </w:r>
          </w:p>
        </w:tc>
        <w:tc>
          <w:tcPr/>
          <w:p>
            <w:pPr>
              <w:pStyle w:val="Compact"/>
              <w:jc w:val="left"/>
            </w:pPr>
            <w:r>
              <w:t xml:space="preserve">0.69 (0.67–0.70)</w:t>
            </w:r>
          </w:p>
        </w:tc>
        <w:tc>
          <w:tcPr/>
          <w:p>
            <w:pPr>
              <w:pStyle w:val="Compact"/>
              <w:jc w:val="left"/>
            </w:pPr>
            <w:r>
              <w:t xml:space="preserve">&lt;0.001</w:t>
            </w:r>
          </w:p>
        </w:tc>
      </w:tr>
      <w:tr>
        <w:tc>
          <w:tcPr/>
          <w:p>
            <w:pPr>
              <w:pStyle w:val="Compact"/>
              <w:jc w:val="left"/>
            </w:pPr>
            <w:r>
              <w:t xml:space="preserve">ns(AGE, 3)2</w:t>
            </w:r>
          </w:p>
        </w:tc>
        <w:tc>
          <w:tcPr/>
          <w:p>
            <w:pPr>
              <w:pStyle w:val="Compact"/>
              <w:jc w:val="left"/>
            </w:pPr>
            <w:r>
              <w:t xml:space="preserve">0.46 (0.43–0.49)</w:t>
            </w:r>
          </w:p>
        </w:tc>
        <w:tc>
          <w:tcPr/>
          <w:p>
            <w:pPr>
              <w:pStyle w:val="Compact"/>
              <w:jc w:val="left"/>
            </w:pPr>
            <w:r>
              <w:t xml:space="preserve">&lt;0.001</w:t>
            </w:r>
          </w:p>
        </w:tc>
      </w:tr>
      <w:tr>
        <w:tc>
          <w:tcPr/>
          <w:p>
            <w:pPr>
              <w:pStyle w:val="Compact"/>
              <w:jc w:val="left"/>
            </w:pPr>
            <w:r>
              <w:t xml:space="preserve">ns(AGE, 3)3</w:t>
            </w:r>
          </w:p>
        </w:tc>
        <w:tc>
          <w:tcPr/>
          <w:p>
            <w:pPr>
              <w:pStyle w:val="Compact"/>
              <w:jc w:val="left"/>
            </w:pPr>
            <w:r>
              <w:t xml:space="preserve">0.60 (0.59–0.61)</w:t>
            </w:r>
          </w:p>
        </w:tc>
        <w:tc>
          <w:tcPr/>
          <w:p>
            <w:pPr>
              <w:pStyle w:val="Compact"/>
              <w:jc w:val="left"/>
            </w:pPr>
            <w:r>
              <w:t xml:space="preserve">&lt;0.001</w:t>
            </w:r>
          </w:p>
        </w:tc>
      </w:tr>
      <w:tr>
        <w:tc>
          <w:tcPr/>
          <w:p>
            <w:pPr>
              <w:pStyle w:val="Compact"/>
              <w:jc w:val="left"/>
            </w:pPr>
            <w:r>
              <w:t xml:space="preserve">FEMALEFemale</w:t>
            </w:r>
          </w:p>
        </w:tc>
        <w:tc>
          <w:tcPr/>
          <w:p>
            <w:pPr>
              <w:pStyle w:val="Compact"/>
              <w:jc w:val="left"/>
            </w:pPr>
            <w:r>
              <w:t xml:space="preserve">1.00 (0.99–1.00)</w:t>
            </w:r>
          </w:p>
        </w:tc>
        <w:tc>
          <w:tcPr/>
          <w:p>
            <w:pPr>
              <w:pStyle w:val="Compact"/>
              <w:jc w:val="left"/>
            </w:pPr>
            <w:r>
              <w:t xml:space="preserve">0.575</w:t>
            </w:r>
          </w:p>
        </w:tc>
      </w:tr>
      <w:tr>
        <w:tc>
          <w:tcPr/>
          <w:p>
            <w:pPr>
              <w:pStyle w:val="Compact"/>
              <w:jc w:val="left"/>
            </w:pPr>
            <w:r>
              <w:t xml:space="preserve">PAY1Medicare</w:t>
            </w:r>
          </w:p>
        </w:tc>
        <w:tc>
          <w:tcPr/>
          <w:p>
            <w:pPr>
              <w:pStyle w:val="Compact"/>
              <w:jc w:val="left"/>
            </w:pPr>
            <w:r>
              <w:t xml:space="preserve">1.37 (1.35–1.39)</w:t>
            </w:r>
          </w:p>
        </w:tc>
        <w:tc>
          <w:tcPr/>
          <w:p>
            <w:pPr>
              <w:pStyle w:val="Compact"/>
              <w:jc w:val="left"/>
            </w:pPr>
            <w:r>
              <w:t xml:space="preserve">&lt;0.001</w:t>
            </w:r>
          </w:p>
        </w:tc>
      </w:tr>
      <w:tr>
        <w:tc>
          <w:tcPr/>
          <w:p>
            <w:pPr>
              <w:pStyle w:val="Compact"/>
              <w:jc w:val="left"/>
            </w:pPr>
            <w:r>
              <w:t xml:space="preserve">PAY1Medicaid</w:t>
            </w:r>
          </w:p>
        </w:tc>
        <w:tc>
          <w:tcPr/>
          <w:p>
            <w:pPr>
              <w:pStyle w:val="Compact"/>
              <w:jc w:val="left"/>
            </w:pPr>
            <w:r>
              <w:t xml:space="preserve">1.45 (1.43–1.47)</w:t>
            </w:r>
          </w:p>
        </w:tc>
        <w:tc>
          <w:tcPr/>
          <w:p>
            <w:pPr>
              <w:pStyle w:val="Compact"/>
              <w:jc w:val="left"/>
            </w:pPr>
            <w:r>
              <w:t xml:space="preserve">&lt;0.001</w:t>
            </w:r>
          </w:p>
        </w:tc>
      </w:tr>
      <w:tr>
        <w:tc>
          <w:tcPr/>
          <w:p>
            <w:pPr>
              <w:pStyle w:val="Compact"/>
              <w:jc w:val="left"/>
            </w:pPr>
            <w:r>
              <w:t xml:space="preserve">PAY1Other/self-pay</w:t>
            </w:r>
          </w:p>
        </w:tc>
        <w:tc>
          <w:tcPr/>
          <w:p>
            <w:pPr>
              <w:pStyle w:val="Compact"/>
              <w:jc w:val="left"/>
            </w:pPr>
            <w:r>
              <w:t xml:space="preserve">1.06 (1.04–1.08)</w:t>
            </w:r>
          </w:p>
        </w:tc>
        <w:tc>
          <w:tcPr/>
          <w:p>
            <w:pPr>
              <w:pStyle w:val="Compact"/>
              <w:jc w:val="left"/>
            </w:pPr>
            <w:r>
              <w:t xml:space="preserve">&lt;0.001</w:t>
            </w:r>
          </w:p>
        </w:tc>
      </w:tr>
      <w:tr>
        <w:tc>
          <w:tcPr/>
          <w:p>
            <w:pPr>
              <w:pStyle w:val="Compact"/>
              <w:jc w:val="left"/>
            </w:pPr>
            <w:r>
              <w:t xml:space="preserve">PAY1Missing/other</w:t>
            </w:r>
          </w:p>
        </w:tc>
        <w:tc>
          <w:tcPr/>
          <w:p>
            <w:pPr>
              <w:pStyle w:val="Compact"/>
              <w:jc w:val="left"/>
            </w:pPr>
            <w:r>
              <w:t xml:space="preserve">1.20 (1.10–1.30)</w:t>
            </w:r>
          </w:p>
        </w:tc>
        <w:tc>
          <w:tcPr/>
          <w:p>
            <w:pPr>
              <w:pStyle w:val="Compact"/>
              <w:jc w:val="left"/>
            </w:pPr>
            <w:r>
              <w:t xml:space="preserve">&lt;0.001</w:t>
            </w:r>
          </w:p>
        </w:tc>
      </w:tr>
      <w:tr>
        <w:tc>
          <w:tcPr/>
          <w:p>
            <w:pPr>
              <w:pStyle w:val="Compact"/>
              <w:jc w:val="left"/>
            </w:pPr>
            <w:r>
              <w:t xml:space="preserve">ZIPINC_QRTL26th to 50th percentile</w:t>
            </w:r>
          </w:p>
        </w:tc>
        <w:tc>
          <w:tcPr/>
          <w:p>
            <w:pPr>
              <w:pStyle w:val="Compact"/>
              <w:jc w:val="left"/>
            </w:pPr>
            <w:r>
              <w:t xml:space="preserve">0.95 (0.94–0.96)</w:t>
            </w:r>
          </w:p>
        </w:tc>
        <w:tc>
          <w:tcPr/>
          <w:p>
            <w:pPr>
              <w:pStyle w:val="Compact"/>
              <w:jc w:val="left"/>
            </w:pPr>
            <w:r>
              <w:t xml:space="preserve">&lt;0.001</w:t>
            </w:r>
          </w:p>
        </w:tc>
      </w:tr>
      <w:tr>
        <w:tc>
          <w:tcPr/>
          <w:p>
            <w:pPr>
              <w:pStyle w:val="Compact"/>
              <w:jc w:val="left"/>
            </w:pPr>
            <w:r>
              <w:t xml:space="preserve">ZIPINC_QRTL51st to 75th percentile</w:t>
            </w:r>
          </w:p>
        </w:tc>
        <w:tc>
          <w:tcPr/>
          <w:p>
            <w:pPr>
              <w:pStyle w:val="Compact"/>
              <w:jc w:val="left"/>
            </w:pPr>
            <w:r>
              <w:t xml:space="preserve">0.90 (0.89–0.91)</w:t>
            </w:r>
          </w:p>
        </w:tc>
        <w:tc>
          <w:tcPr/>
          <w:p>
            <w:pPr>
              <w:pStyle w:val="Compact"/>
              <w:jc w:val="left"/>
            </w:pPr>
            <w:r>
              <w:t xml:space="preserve">&lt;0.001</w:t>
            </w:r>
          </w:p>
        </w:tc>
      </w:tr>
      <w:tr>
        <w:tc>
          <w:tcPr/>
          <w:p>
            <w:pPr>
              <w:pStyle w:val="Compact"/>
              <w:jc w:val="left"/>
            </w:pPr>
            <w:r>
              <w:t xml:space="preserve">ZIPINC_QRTL76th to 100th percentile</w:t>
            </w:r>
          </w:p>
        </w:tc>
        <w:tc>
          <w:tcPr/>
          <w:p>
            <w:pPr>
              <w:pStyle w:val="Compact"/>
              <w:jc w:val="left"/>
            </w:pPr>
            <w:r>
              <w:t xml:space="preserve">0.89 (0.88–0.90)</w:t>
            </w:r>
          </w:p>
        </w:tc>
        <w:tc>
          <w:tcPr/>
          <w:p>
            <w:pPr>
              <w:pStyle w:val="Compact"/>
              <w:jc w:val="left"/>
            </w:pPr>
            <w:r>
              <w:t xml:space="preserve">&lt;0.001</w:t>
            </w:r>
          </w:p>
        </w:tc>
      </w:tr>
      <w:tr>
        <w:tc>
          <w:tcPr/>
          <w:p>
            <w:pPr>
              <w:pStyle w:val="Compact"/>
              <w:jc w:val="left"/>
            </w:pPr>
            <w:r>
              <w:t xml:space="preserve">ZIPINC_QRTLMissing/other</w:t>
            </w:r>
          </w:p>
        </w:tc>
        <w:tc>
          <w:tcPr/>
          <w:p>
            <w:pPr>
              <w:pStyle w:val="Compact"/>
              <w:jc w:val="left"/>
            </w:pPr>
            <w:r>
              <w:t xml:space="preserve">0.92 (0.90–0.95)</w:t>
            </w:r>
          </w:p>
        </w:tc>
        <w:tc>
          <w:tcPr/>
          <w:p>
            <w:pPr>
              <w:pStyle w:val="Compact"/>
              <w:jc w:val="left"/>
            </w:pPr>
            <w:r>
              <w:t xml:space="preserve">&lt;0.001</w:t>
            </w:r>
          </w:p>
        </w:tc>
      </w:tr>
      <w:tr>
        <w:tc>
          <w:tcPr/>
          <w:p>
            <w:pPr>
              <w:pStyle w:val="Compact"/>
              <w:jc w:val="left"/>
            </w:pPr>
            <w:r>
              <w:t xml:space="preserve">PL_NCHSFringe metro ≥1 million</w:t>
            </w:r>
          </w:p>
        </w:tc>
        <w:tc>
          <w:tcPr/>
          <w:p>
            <w:pPr>
              <w:pStyle w:val="Compact"/>
              <w:jc w:val="left"/>
            </w:pPr>
            <w:r>
              <w:t xml:space="preserve">1.01 (1.00–1.02)</w:t>
            </w:r>
          </w:p>
        </w:tc>
        <w:tc>
          <w:tcPr/>
          <w:p>
            <w:pPr>
              <w:pStyle w:val="Compact"/>
              <w:jc w:val="left"/>
            </w:pPr>
            <w:r>
              <w:t xml:space="preserve">0.140</w:t>
            </w:r>
          </w:p>
        </w:tc>
      </w:tr>
      <w:tr>
        <w:tc>
          <w:tcPr/>
          <w:p>
            <w:pPr>
              <w:pStyle w:val="Compact"/>
              <w:jc w:val="left"/>
            </w:pPr>
            <w:r>
              <w:t xml:space="preserve">PL_NCHSMetro 250,000-999,999</w:t>
            </w:r>
          </w:p>
        </w:tc>
        <w:tc>
          <w:tcPr/>
          <w:p>
            <w:pPr>
              <w:pStyle w:val="Compact"/>
              <w:jc w:val="left"/>
            </w:pPr>
            <w:r>
              <w:t xml:space="preserve">0.98 (0.97–1.00)</w:t>
            </w:r>
          </w:p>
        </w:tc>
        <w:tc>
          <w:tcPr/>
          <w:p>
            <w:pPr>
              <w:pStyle w:val="Compact"/>
              <w:jc w:val="left"/>
            </w:pPr>
            <w:r>
              <w:t xml:space="preserve">0.008</w:t>
            </w:r>
          </w:p>
        </w:tc>
      </w:tr>
      <w:tr>
        <w:tc>
          <w:tcPr/>
          <w:p>
            <w:pPr>
              <w:pStyle w:val="Compact"/>
              <w:jc w:val="left"/>
            </w:pPr>
            <w:r>
              <w:t xml:space="preserve">PL_NCHSMetro 50,000-249,999</w:t>
            </w:r>
          </w:p>
        </w:tc>
        <w:tc>
          <w:tcPr/>
          <w:p>
            <w:pPr>
              <w:pStyle w:val="Compact"/>
              <w:jc w:val="left"/>
            </w:pPr>
            <w:r>
              <w:t xml:space="preserve">0.96 (0.95–0.98)</w:t>
            </w:r>
          </w:p>
        </w:tc>
        <w:tc>
          <w:tcPr/>
          <w:p>
            <w:pPr>
              <w:pStyle w:val="Compact"/>
              <w:jc w:val="left"/>
            </w:pPr>
            <w:r>
              <w:t xml:space="preserve">&lt;0.001</w:t>
            </w:r>
          </w:p>
        </w:tc>
      </w:tr>
      <w:tr>
        <w:tc>
          <w:tcPr/>
          <w:p>
            <w:pPr>
              <w:pStyle w:val="Compact"/>
              <w:jc w:val="left"/>
            </w:pPr>
            <w:r>
              <w:t xml:space="preserve">PL_NCHSMicropolitan</w:t>
            </w:r>
          </w:p>
        </w:tc>
        <w:tc>
          <w:tcPr/>
          <w:p>
            <w:pPr>
              <w:pStyle w:val="Compact"/>
              <w:jc w:val="left"/>
            </w:pPr>
            <w:r>
              <w:t xml:space="preserve">0.90 (0.89–0.92)</w:t>
            </w:r>
          </w:p>
        </w:tc>
        <w:tc>
          <w:tcPr/>
          <w:p>
            <w:pPr>
              <w:pStyle w:val="Compact"/>
              <w:jc w:val="left"/>
            </w:pPr>
            <w:r>
              <w:t xml:space="preserve">&lt;0.001</w:t>
            </w:r>
          </w:p>
        </w:tc>
      </w:tr>
      <w:tr>
        <w:tc>
          <w:tcPr/>
          <w:p>
            <w:pPr>
              <w:pStyle w:val="Compact"/>
              <w:jc w:val="left"/>
            </w:pPr>
            <w:r>
              <w:t xml:space="preserve">PL_NCHSOther</w:t>
            </w:r>
          </w:p>
        </w:tc>
        <w:tc>
          <w:tcPr/>
          <w:p>
            <w:pPr>
              <w:pStyle w:val="Compact"/>
              <w:jc w:val="left"/>
            </w:pPr>
            <w:r>
              <w:t xml:space="preserve">0.89 (0.87–0.91)</w:t>
            </w:r>
          </w:p>
        </w:tc>
        <w:tc>
          <w:tcPr/>
          <w:p>
            <w:pPr>
              <w:pStyle w:val="Compact"/>
              <w:jc w:val="left"/>
            </w:pPr>
            <w:r>
              <w:t xml:space="preserve">&lt;0.001</w:t>
            </w:r>
          </w:p>
        </w:tc>
      </w:tr>
      <w:tr>
        <w:tc>
          <w:tcPr/>
          <w:p>
            <w:pPr>
              <w:pStyle w:val="Compact"/>
              <w:jc w:val="left"/>
            </w:pPr>
            <w:r>
              <w:t xml:space="preserve">PL_NCHSMissing/other</w:t>
            </w:r>
          </w:p>
        </w:tc>
        <w:tc>
          <w:tcPr/>
          <w:p>
            <w:pPr>
              <w:pStyle w:val="Compact"/>
              <w:jc w:val="left"/>
            </w:pPr>
            <w:r>
              <w:t xml:space="preserve">1.26 (1.21–1.32)</w:t>
            </w:r>
          </w:p>
        </w:tc>
        <w:tc>
          <w:tcPr/>
          <w:p>
            <w:pPr>
              <w:pStyle w:val="Compact"/>
              <w:jc w:val="left"/>
            </w:pPr>
            <w:r>
              <w:t xml:space="preserve">&lt;0.001</w:t>
            </w:r>
          </w:p>
        </w:tc>
      </w:tr>
      <w:tr>
        <w:tc>
          <w:tcPr/>
          <w:p>
            <w:pPr>
              <w:pStyle w:val="Compact"/>
              <w:jc w:val="left"/>
            </w:pPr>
            <w:r>
              <w:t xml:space="preserve">AWEEKENDWeekend (Sat-Sun)</w:t>
            </w:r>
          </w:p>
        </w:tc>
        <w:tc>
          <w:tcPr/>
          <w:p>
            <w:pPr>
              <w:pStyle w:val="Compact"/>
              <w:jc w:val="left"/>
            </w:pPr>
            <w:r>
              <w:t xml:space="preserve">1.03 (1.03–1.04)</w:t>
            </w:r>
          </w:p>
        </w:tc>
        <w:tc>
          <w:tcPr/>
          <w:p>
            <w:pPr>
              <w:pStyle w:val="Compact"/>
              <w:jc w:val="left"/>
            </w:pPr>
            <w:r>
              <w:t xml:space="preserve">&lt;0.001</w:t>
            </w:r>
          </w:p>
        </w:tc>
      </w:tr>
      <w:tr>
        <w:tc>
          <w:tcPr/>
          <w:p>
            <w:pPr>
              <w:pStyle w:val="Compact"/>
              <w:jc w:val="left"/>
            </w:pPr>
            <w:r>
              <w:t xml:space="preserve">Admission_TypeElective</w:t>
            </w:r>
          </w:p>
        </w:tc>
        <w:tc>
          <w:tcPr/>
          <w:p>
            <w:pPr>
              <w:pStyle w:val="Compact"/>
              <w:jc w:val="left"/>
            </w:pPr>
            <w:r>
              <w:t xml:space="preserve">0.89 (0.88–0.91)</w:t>
            </w:r>
          </w:p>
        </w:tc>
        <w:tc>
          <w:tcPr/>
          <w:p>
            <w:pPr>
              <w:pStyle w:val="Compact"/>
              <w:jc w:val="left"/>
            </w:pPr>
            <w:r>
              <w:t xml:space="preserve">&lt;0.001</w:t>
            </w:r>
          </w:p>
        </w:tc>
      </w:tr>
      <w:tr>
        <w:tc>
          <w:tcPr/>
          <w:p>
            <w:pPr>
              <w:pStyle w:val="Compact"/>
              <w:jc w:val="left"/>
            </w:pPr>
            <w:r>
              <w:t xml:space="preserve">HOSP_BEDSIZEMedium</w:t>
            </w:r>
          </w:p>
        </w:tc>
        <w:tc>
          <w:tcPr/>
          <w:p>
            <w:pPr>
              <w:pStyle w:val="Compact"/>
              <w:jc w:val="left"/>
            </w:pPr>
            <w:r>
              <w:t xml:space="preserve">1.01 (1.00–1.02)</w:t>
            </w:r>
          </w:p>
        </w:tc>
        <w:tc>
          <w:tcPr/>
          <w:p>
            <w:pPr>
              <w:pStyle w:val="Compact"/>
              <w:jc w:val="left"/>
            </w:pPr>
            <w:r>
              <w:t xml:space="preserve">0.135</w:t>
            </w:r>
          </w:p>
        </w:tc>
      </w:tr>
      <w:tr>
        <w:tc>
          <w:tcPr/>
          <w:p>
            <w:pPr>
              <w:pStyle w:val="Compact"/>
              <w:jc w:val="left"/>
            </w:pPr>
            <w:r>
              <w:t xml:space="preserve">HOSP_BEDSIZELarge</w:t>
            </w:r>
          </w:p>
        </w:tc>
        <w:tc>
          <w:tcPr/>
          <w:p>
            <w:pPr>
              <w:pStyle w:val="Compact"/>
              <w:jc w:val="left"/>
            </w:pPr>
            <w:r>
              <w:t xml:space="preserve">1.02 (1.01–1.03)</w:t>
            </w:r>
          </w:p>
        </w:tc>
        <w:tc>
          <w:tcPr/>
          <w:p>
            <w:pPr>
              <w:pStyle w:val="Compact"/>
              <w:jc w:val="left"/>
            </w:pPr>
            <w:r>
              <w:t xml:space="preserve">&lt;0.001</w:t>
            </w:r>
          </w:p>
        </w:tc>
      </w:tr>
      <w:tr>
        <w:tc>
          <w:tcPr/>
          <w:p>
            <w:pPr>
              <w:pStyle w:val="Compact"/>
              <w:jc w:val="left"/>
            </w:pPr>
            <w:r>
              <w:t xml:space="preserve">HOSP_UR_TEACHMetropolitan, teaching</w:t>
            </w:r>
          </w:p>
        </w:tc>
        <w:tc>
          <w:tcPr/>
          <w:p>
            <w:pPr>
              <w:pStyle w:val="Compact"/>
              <w:jc w:val="left"/>
            </w:pPr>
            <w:r>
              <w:t xml:space="preserve">1.00 (0.99–1.01)</w:t>
            </w:r>
          </w:p>
        </w:tc>
        <w:tc>
          <w:tcPr/>
          <w:p>
            <w:pPr>
              <w:pStyle w:val="Compact"/>
              <w:jc w:val="left"/>
            </w:pPr>
            <w:r>
              <w:t xml:space="preserve">0.642</w:t>
            </w:r>
          </w:p>
        </w:tc>
      </w:tr>
      <w:tr>
        <w:tc>
          <w:tcPr/>
          <w:p>
            <w:pPr>
              <w:pStyle w:val="Compact"/>
              <w:jc w:val="left"/>
            </w:pPr>
            <w:r>
              <w:t xml:space="preserve">HOSP_UR_TEACHNon-metropolitan</w:t>
            </w:r>
          </w:p>
        </w:tc>
        <w:tc>
          <w:tcPr/>
          <w:p>
            <w:pPr>
              <w:pStyle w:val="Compact"/>
              <w:jc w:val="left"/>
            </w:pPr>
            <w:r>
              <w:t xml:space="preserve">1.01 (0.99–1.03)</w:t>
            </w:r>
          </w:p>
        </w:tc>
        <w:tc>
          <w:tcPr/>
          <w:p>
            <w:pPr>
              <w:pStyle w:val="Compact"/>
              <w:jc w:val="left"/>
            </w:pPr>
            <w:r>
              <w:t xml:space="preserve">0.224</w:t>
            </w:r>
          </w:p>
        </w:tc>
      </w:tr>
      <w:tr>
        <w:tc>
          <w:tcPr/>
          <w:p>
            <w:pPr>
              <w:pStyle w:val="Compact"/>
              <w:jc w:val="left"/>
            </w:pPr>
            <w:r>
              <w:t xml:space="preserve">H_CONTRLGovernment, nonfederal</w:t>
            </w:r>
          </w:p>
        </w:tc>
        <w:tc>
          <w:tcPr/>
          <w:p>
            <w:pPr>
              <w:pStyle w:val="Compact"/>
              <w:jc w:val="left"/>
            </w:pPr>
            <w:r>
              <w:t xml:space="preserve">1.05 (1.03–1.06)</w:t>
            </w:r>
          </w:p>
        </w:tc>
        <w:tc>
          <w:tcPr/>
          <w:p>
            <w:pPr>
              <w:pStyle w:val="Compact"/>
              <w:jc w:val="left"/>
            </w:pPr>
            <w:r>
              <w:t xml:space="preserve">&lt;0.001</w:t>
            </w:r>
          </w:p>
        </w:tc>
      </w:tr>
      <w:tr>
        <w:tc>
          <w:tcPr/>
          <w:p>
            <w:pPr>
              <w:pStyle w:val="Compact"/>
              <w:jc w:val="left"/>
            </w:pPr>
            <w:r>
              <w:t xml:space="preserve">H_CONTRLPrivate, invest-own</w:t>
            </w:r>
          </w:p>
        </w:tc>
        <w:tc>
          <w:tcPr/>
          <w:p>
            <w:pPr>
              <w:pStyle w:val="Compact"/>
              <w:jc w:val="left"/>
            </w:pPr>
            <w:r>
              <w:t xml:space="preserve">1.15 (1.14–1.17)</w:t>
            </w:r>
          </w:p>
        </w:tc>
        <w:tc>
          <w:tcPr/>
          <w:p>
            <w:pPr>
              <w:pStyle w:val="Compact"/>
              <w:jc w:val="left"/>
            </w:pPr>
            <w:r>
              <w:t xml:space="preserve">&lt;0.001</w:t>
            </w:r>
          </w:p>
        </w:tc>
      </w:tr>
      <w:tr>
        <w:tc>
          <w:tcPr/>
          <w:p>
            <w:pPr>
              <w:pStyle w:val="Compact"/>
              <w:jc w:val="left"/>
            </w:pPr>
            <w:r>
              <w:t xml:space="preserve">YEAR2017</w:t>
            </w:r>
          </w:p>
        </w:tc>
        <w:tc>
          <w:tcPr/>
          <w:p>
            <w:pPr>
              <w:pStyle w:val="Compact"/>
              <w:jc w:val="left"/>
            </w:pPr>
            <w:r>
              <w:t xml:space="preserve">0.99 (0.97–1.00)</w:t>
            </w:r>
          </w:p>
        </w:tc>
        <w:tc>
          <w:tcPr/>
          <w:p>
            <w:pPr>
              <w:pStyle w:val="Compact"/>
              <w:jc w:val="left"/>
            </w:pPr>
            <w:r>
              <w:t xml:space="preserve">0.141</w:t>
            </w:r>
          </w:p>
        </w:tc>
      </w:tr>
      <w:tr>
        <w:tc>
          <w:tcPr/>
          <w:p>
            <w:pPr>
              <w:pStyle w:val="Compact"/>
              <w:jc w:val="left"/>
            </w:pPr>
            <w:r>
              <w:t xml:space="preserve">YEAR2018</w:t>
            </w:r>
          </w:p>
        </w:tc>
        <w:tc>
          <w:tcPr/>
          <w:p>
            <w:pPr>
              <w:pStyle w:val="Compact"/>
              <w:jc w:val="left"/>
            </w:pPr>
            <w:r>
              <w:t xml:space="preserve">0.98 (0.96–1.00)</w:t>
            </w:r>
          </w:p>
        </w:tc>
        <w:tc>
          <w:tcPr/>
          <w:p>
            <w:pPr>
              <w:pStyle w:val="Compact"/>
              <w:jc w:val="left"/>
            </w:pPr>
            <w:r>
              <w:t xml:space="preserve">0.014</w:t>
            </w:r>
          </w:p>
        </w:tc>
      </w:tr>
      <w:tr>
        <w:tc>
          <w:tcPr/>
          <w:p>
            <w:pPr>
              <w:pStyle w:val="Compact"/>
              <w:jc w:val="left"/>
            </w:pPr>
            <w:r>
              <w:t xml:space="preserve">YEAR2019</w:t>
            </w:r>
          </w:p>
        </w:tc>
        <w:tc>
          <w:tcPr/>
          <w:p>
            <w:pPr>
              <w:pStyle w:val="Compact"/>
              <w:jc w:val="left"/>
            </w:pPr>
            <w:r>
              <w:t xml:space="preserve">0.96 (0.95–0.98)</w:t>
            </w:r>
          </w:p>
        </w:tc>
        <w:tc>
          <w:tcPr/>
          <w:p>
            <w:pPr>
              <w:pStyle w:val="Compact"/>
              <w:jc w:val="left"/>
            </w:pPr>
            <w:r>
              <w:t xml:space="preserve">&lt;0.001</w:t>
            </w:r>
          </w:p>
        </w:tc>
      </w:tr>
      <w:tr>
        <w:tc>
          <w:tcPr/>
          <w:p>
            <w:pPr>
              <w:pStyle w:val="Compact"/>
              <w:jc w:val="left"/>
            </w:pPr>
            <w:r>
              <w:t xml:space="preserve">YEAR2020</w:t>
            </w:r>
          </w:p>
        </w:tc>
        <w:tc>
          <w:tcPr/>
          <w:p>
            <w:pPr>
              <w:pStyle w:val="Compact"/>
              <w:jc w:val="left"/>
            </w:pPr>
            <w:r>
              <w:t xml:space="preserve">0.92 (0.91–0.94)</w:t>
            </w:r>
          </w:p>
        </w:tc>
        <w:tc>
          <w:tcPr/>
          <w:p>
            <w:pPr>
              <w:pStyle w:val="Compact"/>
              <w:jc w:val="left"/>
            </w:pPr>
            <w:r>
              <w:t xml:space="preserve">&lt;0.001</w:t>
            </w:r>
          </w:p>
        </w:tc>
      </w:tr>
      <w:tr>
        <w:tc>
          <w:tcPr/>
          <w:p>
            <w:pPr>
              <w:pStyle w:val="Compact"/>
              <w:jc w:val="left"/>
            </w:pPr>
            <w:r>
              <w:t xml:space="preserve">YEAR2021</w:t>
            </w:r>
          </w:p>
        </w:tc>
        <w:tc>
          <w:tcPr/>
          <w:p>
            <w:pPr>
              <w:pStyle w:val="Compact"/>
              <w:jc w:val="left"/>
            </w:pPr>
            <w:r>
              <w:t xml:space="preserve">0.92 (0.90–0.94)</w:t>
            </w:r>
          </w:p>
        </w:tc>
        <w:tc>
          <w:tcPr/>
          <w:p>
            <w:pPr>
              <w:pStyle w:val="Compact"/>
              <w:jc w:val="left"/>
            </w:pPr>
            <w:r>
              <w:t xml:space="preserve">&lt;0.001</w:t>
            </w:r>
          </w:p>
        </w:tc>
      </w:tr>
      <w:tr>
        <w:tc>
          <w:tcPr/>
          <w:p>
            <w:pPr>
              <w:pStyle w:val="Compact"/>
              <w:jc w:val="left"/>
            </w:pPr>
            <w:r>
              <w:t xml:space="preserve">YEAR2022</w:t>
            </w:r>
          </w:p>
        </w:tc>
        <w:tc>
          <w:tcPr/>
          <w:p>
            <w:pPr>
              <w:pStyle w:val="Compact"/>
              <w:jc w:val="left"/>
            </w:pPr>
            <w:r>
              <w:t xml:space="preserve">0.92 (0.90–0.93)</w:t>
            </w:r>
          </w:p>
        </w:tc>
        <w:tc>
          <w:tcPr/>
          <w:p>
            <w:pPr>
              <w:pStyle w:val="Compact"/>
              <w:jc w:val="left"/>
            </w:pPr>
            <w:r>
              <w:t xml:space="preserve">&lt;0.001</w:t>
            </w:r>
          </w:p>
        </w:tc>
      </w:tr>
      <w:tr>
        <w:tc>
          <w:tcPr/>
          <w:p>
            <w:pPr>
              <w:pStyle w:val="Compact"/>
              <w:jc w:val="left"/>
            </w:pPr>
            <w:r>
              <w:t xml:space="preserve">elix_arrhythmiaYes</w:t>
            </w:r>
          </w:p>
        </w:tc>
        <w:tc>
          <w:tcPr/>
          <w:p>
            <w:pPr>
              <w:pStyle w:val="Compact"/>
              <w:jc w:val="left"/>
            </w:pPr>
            <w:r>
              <w:t xml:space="preserve">1.13 (1.12–1.13)</w:t>
            </w:r>
          </w:p>
        </w:tc>
        <w:tc>
          <w:tcPr/>
          <w:p>
            <w:pPr>
              <w:pStyle w:val="Compact"/>
              <w:jc w:val="left"/>
            </w:pPr>
            <w:r>
              <w:t xml:space="preserve">&lt;0.001</w:t>
            </w:r>
          </w:p>
        </w:tc>
      </w:tr>
      <w:tr>
        <w:tc>
          <w:tcPr/>
          <w:p>
            <w:pPr>
              <w:pStyle w:val="Compact"/>
              <w:jc w:val="left"/>
            </w:pPr>
            <w:r>
              <w:t xml:space="preserve">elix_valvularYes</w:t>
            </w:r>
          </w:p>
        </w:tc>
        <w:tc>
          <w:tcPr/>
          <w:p>
            <w:pPr>
              <w:pStyle w:val="Compact"/>
              <w:jc w:val="left"/>
            </w:pPr>
            <w:r>
              <w:t xml:space="preserve">1.07 (1.06–1.07)</w:t>
            </w:r>
          </w:p>
        </w:tc>
        <w:tc>
          <w:tcPr/>
          <w:p>
            <w:pPr>
              <w:pStyle w:val="Compact"/>
              <w:jc w:val="left"/>
            </w:pPr>
            <w:r>
              <w:t xml:space="preserve">&lt;0.001</w:t>
            </w:r>
          </w:p>
        </w:tc>
      </w:tr>
      <w:tr>
        <w:tc>
          <w:tcPr/>
          <w:p>
            <w:pPr>
              <w:pStyle w:val="Compact"/>
              <w:jc w:val="left"/>
            </w:pPr>
            <w:r>
              <w:t xml:space="preserve">elix_pulm_circYes</w:t>
            </w:r>
          </w:p>
        </w:tc>
        <w:tc>
          <w:tcPr/>
          <w:p>
            <w:pPr>
              <w:pStyle w:val="Compact"/>
              <w:jc w:val="left"/>
            </w:pPr>
            <w:r>
              <w:t xml:space="preserve">1.00 (1.00–1.01)</w:t>
            </w:r>
          </w:p>
        </w:tc>
        <w:tc>
          <w:tcPr/>
          <w:p>
            <w:pPr>
              <w:pStyle w:val="Compact"/>
              <w:jc w:val="left"/>
            </w:pPr>
            <w:r>
              <w:t xml:space="preserve">0.209</w:t>
            </w:r>
          </w:p>
        </w:tc>
      </w:tr>
      <w:tr>
        <w:tc>
          <w:tcPr/>
          <w:p>
            <w:pPr>
              <w:pStyle w:val="Compact"/>
              <w:jc w:val="left"/>
            </w:pPr>
            <w:r>
              <w:t xml:space="preserve">elix_pvdYes</w:t>
            </w:r>
          </w:p>
        </w:tc>
        <w:tc>
          <w:tcPr/>
          <w:p>
            <w:pPr>
              <w:pStyle w:val="Compact"/>
              <w:jc w:val="left"/>
            </w:pPr>
            <w:r>
              <w:t xml:space="preserve">1.15 (1.14–1.16)</w:t>
            </w:r>
          </w:p>
        </w:tc>
        <w:tc>
          <w:tcPr/>
          <w:p>
            <w:pPr>
              <w:pStyle w:val="Compact"/>
              <w:jc w:val="left"/>
            </w:pPr>
            <w:r>
              <w:t xml:space="preserve">&lt;0.001</w:t>
            </w:r>
          </w:p>
        </w:tc>
      </w:tr>
      <w:tr>
        <w:tc>
          <w:tcPr/>
          <w:p>
            <w:pPr>
              <w:pStyle w:val="Compact"/>
              <w:jc w:val="left"/>
            </w:pPr>
            <w:r>
              <w:t xml:space="preserve">elix_htn_uncompYes</w:t>
            </w:r>
          </w:p>
        </w:tc>
        <w:tc>
          <w:tcPr/>
          <w:p>
            <w:pPr>
              <w:pStyle w:val="Compact"/>
              <w:jc w:val="left"/>
            </w:pPr>
            <w:r>
              <w:t xml:space="preserve">0.94 (0.92–0.96)</w:t>
            </w:r>
          </w:p>
        </w:tc>
        <w:tc>
          <w:tcPr/>
          <w:p>
            <w:pPr>
              <w:pStyle w:val="Compact"/>
              <w:jc w:val="left"/>
            </w:pPr>
            <w:r>
              <w:t xml:space="preserve">&lt;0.001</w:t>
            </w:r>
          </w:p>
        </w:tc>
      </w:tr>
      <w:tr>
        <w:tc>
          <w:tcPr/>
          <w:p>
            <w:pPr>
              <w:pStyle w:val="Compact"/>
              <w:jc w:val="left"/>
            </w:pPr>
            <w:r>
              <w:t xml:space="preserve">elix_paralysisYes</w:t>
            </w:r>
          </w:p>
        </w:tc>
        <w:tc>
          <w:tcPr/>
          <w:p>
            <w:pPr>
              <w:pStyle w:val="Compact"/>
              <w:jc w:val="left"/>
            </w:pPr>
            <w:r>
              <w:t xml:space="preserve">1.14 (1.10–1.19)</w:t>
            </w:r>
          </w:p>
        </w:tc>
        <w:tc>
          <w:tcPr/>
          <w:p>
            <w:pPr>
              <w:pStyle w:val="Compact"/>
              <w:jc w:val="left"/>
            </w:pPr>
            <w:r>
              <w:t xml:space="preserve">&lt;0.001</w:t>
            </w:r>
          </w:p>
        </w:tc>
      </w:tr>
      <w:tr>
        <w:tc>
          <w:tcPr/>
          <w:p>
            <w:pPr>
              <w:pStyle w:val="Compact"/>
              <w:jc w:val="left"/>
            </w:pPr>
            <w:r>
              <w:t xml:space="preserve">elix_neuroYes</w:t>
            </w:r>
          </w:p>
        </w:tc>
        <w:tc>
          <w:tcPr/>
          <w:p>
            <w:pPr>
              <w:pStyle w:val="Compact"/>
              <w:jc w:val="left"/>
            </w:pPr>
            <w:r>
              <w:t xml:space="preserve">1.08 (1.07–1.09)</w:t>
            </w:r>
          </w:p>
        </w:tc>
        <w:tc>
          <w:tcPr/>
          <w:p>
            <w:pPr>
              <w:pStyle w:val="Compact"/>
              <w:jc w:val="left"/>
            </w:pPr>
            <w:r>
              <w:t xml:space="preserve">&lt;0.001</w:t>
            </w:r>
          </w:p>
        </w:tc>
      </w:tr>
      <w:tr>
        <w:tc>
          <w:tcPr/>
          <w:p>
            <w:pPr>
              <w:pStyle w:val="Compact"/>
              <w:jc w:val="left"/>
            </w:pPr>
            <w:r>
              <w:t xml:space="preserve">elix_copdYes</w:t>
            </w:r>
          </w:p>
        </w:tc>
        <w:tc>
          <w:tcPr/>
          <w:p>
            <w:pPr>
              <w:pStyle w:val="Compact"/>
              <w:jc w:val="left"/>
            </w:pPr>
            <w:r>
              <w:t xml:space="preserve">1.25 (1.24–1.25)</w:t>
            </w:r>
          </w:p>
        </w:tc>
        <w:tc>
          <w:tcPr/>
          <w:p>
            <w:pPr>
              <w:pStyle w:val="Compact"/>
              <w:jc w:val="left"/>
            </w:pPr>
            <w:r>
              <w:t xml:space="preserve">&lt;0.001</w:t>
            </w:r>
          </w:p>
        </w:tc>
      </w:tr>
      <w:tr>
        <w:tc>
          <w:tcPr/>
          <w:p>
            <w:pPr>
              <w:pStyle w:val="Compact"/>
              <w:jc w:val="left"/>
            </w:pPr>
            <w:r>
              <w:t xml:space="preserve">elix_dm_uncompYes</w:t>
            </w:r>
          </w:p>
        </w:tc>
        <w:tc>
          <w:tcPr/>
          <w:p>
            <w:pPr>
              <w:pStyle w:val="Compact"/>
              <w:jc w:val="left"/>
            </w:pPr>
            <w:r>
              <w:t xml:space="preserve">1.06 (1.05–1.07)</w:t>
            </w:r>
          </w:p>
        </w:tc>
        <w:tc>
          <w:tcPr/>
          <w:p>
            <w:pPr>
              <w:pStyle w:val="Compact"/>
              <w:jc w:val="left"/>
            </w:pPr>
            <w:r>
              <w:t xml:space="preserve">&lt;0.001</w:t>
            </w:r>
          </w:p>
        </w:tc>
      </w:tr>
      <w:tr>
        <w:tc>
          <w:tcPr/>
          <w:p>
            <w:pPr>
              <w:pStyle w:val="Compact"/>
              <w:jc w:val="left"/>
            </w:pPr>
            <w:r>
              <w:t xml:space="preserve">elix_dm_compYes</w:t>
            </w:r>
          </w:p>
        </w:tc>
        <w:tc>
          <w:tcPr/>
          <w:p>
            <w:pPr>
              <w:pStyle w:val="Compact"/>
              <w:jc w:val="left"/>
            </w:pPr>
            <w:r>
              <w:t xml:space="preserve">1.16 (1.15–1.16)</w:t>
            </w:r>
          </w:p>
        </w:tc>
        <w:tc>
          <w:tcPr/>
          <w:p>
            <w:pPr>
              <w:pStyle w:val="Compact"/>
              <w:jc w:val="left"/>
            </w:pPr>
            <w:r>
              <w:t xml:space="preserve">&lt;0.001</w:t>
            </w:r>
          </w:p>
        </w:tc>
      </w:tr>
      <w:tr>
        <w:tc>
          <w:tcPr/>
          <w:p>
            <w:pPr>
              <w:pStyle w:val="Compact"/>
              <w:jc w:val="left"/>
            </w:pPr>
            <w:r>
              <w:t xml:space="preserve">elix_hypothyroidYes</w:t>
            </w:r>
          </w:p>
        </w:tc>
        <w:tc>
          <w:tcPr/>
          <w:p>
            <w:pPr>
              <w:pStyle w:val="Compact"/>
              <w:jc w:val="left"/>
            </w:pPr>
            <w:r>
              <w:t xml:space="preserve">1.04 (1.03–1.05)</w:t>
            </w:r>
          </w:p>
        </w:tc>
        <w:tc>
          <w:tcPr/>
          <w:p>
            <w:pPr>
              <w:pStyle w:val="Compact"/>
              <w:jc w:val="left"/>
            </w:pPr>
            <w:r>
              <w:t xml:space="preserve">&lt;0.001</w:t>
            </w:r>
          </w:p>
        </w:tc>
      </w:tr>
      <w:tr>
        <w:tc>
          <w:tcPr/>
          <w:p>
            <w:pPr>
              <w:pStyle w:val="Compact"/>
              <w:jc w:val="left"/>
            </w:pPr>
            <w:r>
              <w:t xml:space="preserve">elix_renalYes</w:t>
            </w:r>
          </w:p>
        </w:tc>
        <w:tc>
          <w:tcPr/>
          <w:p>
            <w:pPr>
              <w:pStyle w:val="Compact"/>
              <w:jc w:val="left"/>
            </w:pPr>
            <w:r>
              <w:t xml:space="preserve">1.32 (1.31–1.33)</w:t>
            </w:r>
          </w:p>
        </w:tc>
        <w:tc>
          <w:tcPr/>
          <w:p>
            <w:pPr>
              <w:pStyle w:val="Compact"/>
              <w:jc w:val="left"/>
            </w:pPr>
            <w:r>
              <w:t xml:space="preserve">&lt;0.001</w:t>
            </w:r>
          </w:p>
        </w:tc>
      </w:tr>
      <w:tr>
        <w:tc>
          <w:tcPr/>
          <w:p>
            <w:pPr>
              <w:pStyle w:val="Compact"/>
              <w:jc w:val="left"/>
            </w:pPr>
            <w:r>
              <w:t xml:space="preserve">elix_liverYes</w:t>
            </w:r>
          </w:p>
        </w:tc>
        <w:tc>
          <w:tcPr/>
          <w:p>
            <w:pPr>
              <w:pStyle w:val="Compact"/>
              <w:jc w:val="left"/>
            </w:pPr>
            <w:r>
              <w:t xml:space="preserve">1.17 (1.16–1.18)</w:t>
            </w:r>
          </w:p>
        </w:tc>
        <w:tc>
          <w:tcPr/>
          <w:p>
            <w:pPr>
              <w:pStyle w:val="Compact"/>
              <w:jc w:val="left"/>
            </w:pPr>
            <w:r>
              <w:t xml:space="preserve">&lt;0.001</w:t>
            </w:r>
          </w:p>
        </w:tc>
      </w:tr>
      <w:tr>
        <w:tc>
          <w:tcPr/>
          <w:p>
            <w:pPr>
              <w:pStyle w:val="Compact"/>
              <w:jc w:val="left"/>
            </w:pPr>
            <w:r>
              <w:t xml:space="preserve">elix_pudYes</w:t>
            </w:r>
          </w:p>
        </w:tc>
        <w:tc>
          <w:tcPr/>
          <w:p>
            <w:pPr>
              <w:pStyle w:val="Compact"/>
              <w:jc w:val="left"/>
            </w:pPr>
            <w:r>
              <w:t xml:space="preserve">1.12 (1.08–1.16)</w:t>
            </w:r>
          </w:p>
        </w:tc>
        <w:tc>
          <w:tcPr/>
          <w:p>
            <w:pPr>
              <w:pStyle w:val="Compact"/>
              <w:jc w:val="left"/>
            </w:pPr>
            <w:r>
              <w:t xml:space="preserve">&lt;0.001</w:t>
            </w:r>
          </w:p>
        </w:tc>
      </w:tr>
      <w:tr>
        <w:tc>
          <w:tcPr/>
          <w:p>
            <w:pPr>
              <w:pStyle w:val="Compact"/>
              <w:jc w:val="left"/>
            </w:pPr>
            <w:r>
              <w:t xml:space="preserve">elix_hivYes</w:t>
            </w:r>
          </w:p>
        </w:tc>
        <w:tc>
          <w:tcPr/>
          <w:p>
            <w:pPr>
              <w:pStyle w:val="Compact"/>
              <w:jc w:val="left"/>
            </w:pPr>
            <w:r>
              <w:t xml:space="preserve">1.33 (1.26–1.40)</w:t>
            </w:r>
          </w:p>
        </w:tc>
        <w:tc>
          <w:tcPr/>
          <w:p>
            <w:pPr>
              <w:pStyle w:val="Compact"/>
              <w:jc w:val="left"/>
            </w:pPr>
            <w:r>
              <w:t xml:space="preserve">&lt;0.001</w:t>
            </w:r>
          </w:p>
        </w:tc>
      </w:tr>
      <w:tr>
        <w:tc>
          <w:tcPr/>
          <w:p>
            <w:pPr>
              <w:pStyle w:val="Compact"/>
              <w:jc w:val="left"/>
            </w:pPr>
            <w:r>
              <w:t xml:space="preserve">elix_lymphomaYes</w:t>
            </w:r>
          </w:p>
        </w:tc>
        <w:tc>
          <w:tcPr/>
          <w:p>
            <w:pPr>
              <w:pStyle w:val="Compact"/>
              <w:jc w:val="left"/>
            </w:pPr>
            <w:r>
              <w:t xml:space="preserve">1.26 (1.23–1.30)</w:t>
            </w:r>
          </w:p>
        </w:tc>
        <w:tc>
          <w:tcPr/>
          <w:p>
            <w:pPr>
              <w:pStyle w:val="Compact"/>
              <w:jc w:val="left"/>
            </w:pPr>
            <w:r>
              <w:t xml:space="preserve">&lt;0.001</w:t>
            </w:r>
          </w:p>
        </w:tc>
      </w:tr>
      <w:tr>
        <w:tc>
          <w:tcPr/>
          <w:p>
            <w:pPr>
              <w:pStyle w:val="Compact"/>
              <w:jc w:val="left"/>
            </w:pPr>
            <w:r>
              <w:t xml:space="preserve">elix_metsYes</w:t>
            </w:r>
          </w:p>
        </w:tc>
        <w:tc>
          <w:tcPr/>
          <w:p>
            <w:pPr>
              <w:pStyle w:val="Compact"/>
              <w:jc w:val="left"/>
            </w:pPr>
            <w:r>
              <w:t xml:space="preserve">1.19 (1.16–1.22)</w:t>
            </w:r>
          </w:p>
        </w:tc>
        <w:tc>
          <w:tcPr/>
          <w:p>
            <w:pPr>
              <w:pStyle w:val="Compact"/>
              <w:jc w:val="left"/>
            </w:pPr>
            <w:r>
              <w:t xml:space="preserve">&lt;0.001</w:t>
            </w:r>
          </w:p>
        </w:tc>
      </w:tr>
      <w:tr>
        <w:tc>
          <w:tcPr/>
          <w:p>
            <w:pPr>
              <w:pStyle w:val="Compact"/>
              <w:jc w:val="left"/>
            </w:pPr>
            <w:r>
              <w:t xml:space="preserve">elix_tumorYes</w:t>
            </w:r>
          </w:p>
        </w:tc>
        <w:tc>
          <w:tcPr/>
          <w:p>
            <w:pPr>
              <w:pStyle w:val="Compact"/>
              <w:jc w:val="left"/>
            </w:pPr>
            <w:r>
              <w:t xml:space="preserve">1.17 (1.15–1.19)</w:t>
            </w:r>
          </w:p>
        </w:tc>
        <w:tc>
          <w:tcPr/>
          <w:p>
            <w:pPr>
              <w:pStyle w:val="Compact"/>
              <w:jc w:val="left"/>
            </w:pPr>
            <w:r>
              <w:t xml:space="preserve">&lt;0.001</w:t>
            </w:r>
          </w:p>
        </w:tc>
      </w:tr>
      <w:tr>
        <w:tc>
          <w:tcPr/>
          <w:p>
            <w:pPr>
              <w:pStyle w:val="Compact"/>
              <w:jc w:val="left"/>
            </w:pPr>
            <w:r>
              <w:t xml:space="preserve">elix_rheumYes</w:t>
            </w:r>
          </w:p>
        </w:tc>
        <w:tc>
          <w:tcPr/>
          <w:p>
            <w:pPr>
              <w:pStyle w:val="Compact"/>
              <w:jc w:val="left"/>
            </w:pPr>
            <w:r>
              <w:t xml:space="preserve">1.12 (1.10–1.13)</w:t>
            </w:r>
          </w:p>
        </w:tc>
        <w:tc>
          <w:tcPr/>
          <w:p>
            <w:pPr>
              <w:pStyle w:val="Compact"/>
              <w:jc w:val="left"/>
            </w:pPr>
            <w:r>
              <w:t xml:space="preserve">&lt;0.001</w:t>
            </w:r>
          </w:p>
        </w:tc>
      </w:tr>
      <w:tr>
        <w:tc>
          <w:tcPr/>
          <w:p>
            <w:pPr>
              <w:pStyle w:val="Compact"/>
              <w:jc w:val="left"/>
            </w:pPr>
            <w:r>
              <w:t xml:space="preserve">elix_coagYes</w:t>
            </w:r>
          </w:p>
        </w:tc>
        <w:tc>
          <w:tcPr/>
          <w:p>
            <w:pPr>
              <w:pStyle w:val="Compact"/>
              <w:jc w:val="left"/>
            </w:pPr>
            <w:r>
              <w:t xml:space="preserve">1.06 (1.04–1.07)</w:t>
            </w:r>
          </w:p>
        </w:tc>
        <w:tc>
          <w:tcPr/>
          <w:p>
            <w:pPr>
              <w:pStyle w:val="Compact"/>
              <w:jc w:val="left"/>
            </w:pPr>
            <w:r>
              <w:t xml:space="preserve">&lt;0.001</w:t>
            </w:r>
          </w:p>
        </w:tc>
      </w:tr>
      <w:tr>
        <w:tc>
          <w:tcPr/>
          <w:p>
            <w:pPr>
              <w:pStyle w:val="Compact"/>
              <w:jc w:val="left"/>
            </w:pPr>
            <w:r>
              <w:t xml:space="preserve">elix_obesityYes</w:t>
            </w:r>
          </w:p>
        </w:tc>
        <w:tc>
          <w:tcPr/>
          <w:p>
            <w:pPr>
              <w:pStyle w:val="Compact"/>
              <w:jc w:val="left"/>
            </w:pPr>
            <w:r>
              <w:t xml:space="preserve">0.86 (0.85–0.86)</w:t>
            </w:r>
          </w:p>
        </w:tc>
        <w:tc>
          <w:tcPr/>
          <w:p>
            <w:pPr>
              <w:pStyle w:val="Compact"/>
              <w:jc w:val="left"/>
            </w:pPr>
            <w:r>
              <w:t xml:space="preserve">&lt;0.001</w:t>
            </w:r>
          </w:p>
        </w:tc>
      </w:tr>
      <w:tr>
        <w:tc>
          <w:tcPr/>
          <w:p>
            <w:pPr>
              <w:pStyle w:val="Compact"/>
              <w:jc w:val="left"/>
            </w:pPr>
            <w:r>
              <w:t xml:space="preserve">elix_wtlossYes</w:t>
            </w:r>
          </w:p>
        </w:tc>
        <w:tc>
          <w:tcPr/>
          <w:p>
            <w:pPr>
              <w:pStyle w:val="Compact"/>
              <w:jc w:val="left"/>
            </w:pPr>
            <w:r>
              <w:t xml:space="preserve">1.12 (1.11–1.14)</w:t>
            </w:r>
          </w:p>
        </w:tc>
        <w:tc>
          <w:tcPr/>
          <w:p>
            <w:pPr>
              <w:pStyle w:val="Compact"/>
              <w:jc w:val="left"/>
            </w:pPr>
            <w:r>
              <w:t xml:space="preserve">&lt;0.001</w:t>
            </w:r>
          </w:p>
        </w:tc>
      </w:tr>
      <w:tr>
        <w:tc>
          <w:tcPr/>
          <w:p>
            <w:pPr>
              <w:pStyle w:val="Compact"/>
              <w:jc w:val="left"/>
            </w:pPr>
            <w:r>
              <w:t xml:space="preserve">elix_fluidYes</w:t>
            </w:r>
          </w:p>
        </w:tc>
        <w:tc>
          <w:tcPr/>
          <w:p>
            <w:pPr>
              <w:pStyle w:val="Compact"/>
              <w:jc w:val="left"/>
            </w:pPr>
            <w:r>
              <w:t xml:space="preserve">1.14 (1.13–1.14)</w:t>
            </w:r>
          </w:p>
        </w:tc>
        <w:tc>
          <w:tcPr/>
          <w:p>
            <w:pPr>
              <w:pStyle w:val="Compact"/>
              <w:jc w:val="left"/>
            </w:pPr>
            <w:r>
              <w:t xml:space="preserve">&lt;0.001</w:t>
            </w:r>
          </w:p>
        </w:tc>
      </w:tr>
      <w:tr>
        <w:tc>
          <w:tcPr/>
          <w:p>
            <w:pPr>
              <w:pStyle w:val="Compact"/>
              <w:jc w:val="left"/>
            </w:pPr>
            <w:r>
              <w:t xml:space="preserve">elix_blood_anemiaYes</w:t>
            </w:r>
          </w:p>
        </w:tc>
        <w:tc>
          <w:tcPr/>
          <w:p>
            <w:pPr>
              <w:pStyle w:val="Compact"/>
              <w:jc w:val="left"/>
            </w:pPr>
            <w:r>
              <w:t xml:space="preserve">1.18 (1.15–1.21)</w:t>
            </w:r>
          </w:p>
        </w:tc>
        <w:tc>
          <w:tcPr/>
          <w:p>
            <w:pPr>
              <w:pStyle w:val="Compact"/>
              <w:jc w:val="left"/>
            </w:pPr>
            <w:r>
              <w:t xml:space="preserve">&lt;0.001</w:t>
            </w:r>
          </w:p>
        </w:tc>
      </w:tr>
      <w:tr>
        <w:tc>
          <w:tcPr/>
          <w:p>
            <w:pPr>
              <w:pStyle w:val="Compact"/>
              <w:jc w:val="left"/>
            </w:pPr>
            <w:r>
              <w:t xml:space="preserve">elix_def_anemiaYes</w:t>
            </w:r>
          </w:p>
        </w:tc>
        <w:tc>
          <w:tcPr/>
          <w:p>
            <w:pPr>
              <w:pStyle w:val="Compact"/>
              <w:jc w:val="left"/>
            </w:pPr>
            <w:r>
              <w:t xml:space="preserve">1.05 (1.04–1.06)</w:t>
            </w:r>
          </w:p>
        </w:tc>
        <w:tc>
          <w:tcPr/>
          <w:p>
            <w:pPr>
              <w:pStyle w:val="Compact"/>
              <w:jc w:val="left"/>
            </w:pPr>
            <w:r>
              <w:t xml:space="preserve">&lt;0.001</w:t>
            </w:r>
          </w:p>
        </w:tc>
      </w:tr>
      <w:tr>
        <w:tc>
          <w:tcPr/>
          <w:p>
            <w:pPr>
              <w:pStyle w:val="Compact"/>
              <w:jc w:val="left"/>
            </w:pPr>
            <w:r>
              <w:t xml:space="preserve">elix_psychosesYes</w:t>
            </w:r>
          </w:p>
        </w:tc>
        <w:tc>
          <w:tcPr/>
          <w:p>
            <w:pPr>
              <w:pStyle w:val="Compact"/>
              <w:jc w:val="left"/>
            </w:pPr>
            <w:r>
              <w:t xml:space="preserve">1.41 (1.37–1.44)</w:t>
            </w:r>
          </w:p>
        </w:tc>
        <w:tc>
          <w:tcPr/>
          <w:p>
            <w:pPr>
              <w:pStyle w:val="Compact"/>
              <w:jc w:val="left"/>
            </w:pPr>
            <w:r>
              <w:t xml:space="preserve">&lt;0.001</w:t>
            </w:r>
          </w:p>
        </w:tc>
      </w:tr>
      <w:tr>
        <w:tc>
          <w:tcPr/>
          <w:p>
            <w:pPr>
              <w:pStyle w:val="Compact"/>
              <w:jc w:val="left"/>
            </w:pPr>
            <w:r>
              <w:t xml:space="preserve">elix_depressionYes</w:t>
            </w:r>
          </w:p>
        </w:tc>
        <w:tc>
          <w:tcPr/>
          <w:p>
            <w:pPr>
              <w:pStyle w:val="Compact"/>
              <w:jc w:val="left"/>
            </w:pPr>
            <w:r>
              <w:t xml:space="preserve">1.07 (1.07–1.08)</w:t>
            </w:r>
          </w:p>
        </w:tc>
        <w:tc>
          <w:tcPr/>
          <w:p>
            <w:pPr>
              <w:pStyle w:val="Compact"/>
              <w:jc w:val="left"/>
            </w:pPr>
            <w:r>
              <w:t xml:space="preserve">&lt;0.001</w:t>
            </w:r>
          </w:p>
        </w:tc>
      </w:tr>
      <w:tr>
        <w:tc>
          <w:tcPr/>
          <w:p>
            <w:pPr>
              <w:pStyle w:val="Compact"/>
              <w:jc w:val="left"/>
            </w:pPr>
            <w:r>
              <w:t xml:space="preserve">elix_htn_compYes</w:t>
            </w:r>
          </w:p>
        </w:tc>
        <w:tc>
          <w:tcPr/>
          <w:p>
            <w:pPr>
              <w:pStyle w:val="Compact"/>
              <w:jc w:val="left"/>
            </w:pPr>
            <w:r>
              <w:t xml:space="preserve">0.95 (0.94–0.96)</w:t>
            </w:r>
          </w:p>
        </w:tc>
        <w:tc>
          <w:tcPr/>
          <w:p>
            <w:pPr>
              <w:pStyle w:val="Compact"/>
              <w:jc w:val="left"/>
            </w:pPr>
            <w:r>
              <w:t xml:space="preserve">&lt;0.001</w:t>
            </w:r>
          </w:p>
        </w:tc>
      </w:tr>
      <w:tr>
        <w:tc>
          <w:tcPr/>
          <w:p>
            <w:pPr>
              <w:pStyle w:val="Compact"/>
              <w:jc w:val="left"/>
            </w:pPr>
            <w:r>
              <w:t xml:space="preserve">HF_PhenotypeHFpEF</w:t>
            </w:r>
          </w:p>
        </w:tc>
        <w:tc>
          <w:tcPr/>
          <w:p>
            <w:pPr>
              <w:pStyle w:val="Compact"/>
              <w:jc w:val="left"/>
            </w:pPr>
            <w:r>
              <w:t xml:space="preserve">0.98 (0.98–0.99)</w:t>
            </w:r>
          </w:p>
        </w:tc>
        <w:tc>
          <w:tcPr/>
          <w:p>
            <w:pPr>
              <w:pStyle w:val="Compact"/>
              <w:jc w:val="left"/>
            </w:pPr>
            <w:r>
              <w:t xml:space="preserve">&lt;0.001</w:t>
            </w:r>
          </w:p>
        </w:tc>
      </w:tr>
      <w:tr>
        <w:tc>
          <w:tcPr/>
          <w:p>
            <w:pPr>
              <w:pStyle w:val="Compact"/>
              <w:jc w:val="left"/>
            </w:pPr>
            <w:r>
              <w:t xml:space="preserve">HF_PhenotypeCombined</w:t>
            </w:r>
          </w:p>
        </w:tc>
        <w:tc>
          <w:tcPr/>
          <w:p>
            <w:pPr>
              <w:pStyle w:val="Compact"/>
              <w:jc w:val="left"/>
            </w:pPr>
            <w:r>
              <w:t xml:space="preserve">1.02 (1.02–1.03)</w:t>
            </w:r>
          </w:p>
        </w:tc>
        <w:tc>
          <w:tcPr/>
          <w:p>
            <w:pPr>
              <w:pStyle w:val="Compact"/>
              <w:jc w:val="left"/>
            </w:pPr>
            <w:r>
              <w:t xml:space="preserve">&lt;0.001</w:t>
            </w:r>
          </w:p>
        </w:tc>
      </w:tr>
      <w:tr>
        <w:tc>
          <w:tcPr/>
          <w:p>
            <w:pPr>
              <w:pStyle w:val="Compact"/>
              <w:jc w:val="left"/>
            </w:pPr>
            <w:r>
              <w:t xml:space="preserve">HF_PhenotypeOther/unspecified</w:t>
            </w:r>
          </w:p>
        </w:tc>
        <w:tc>
          <w:tcPr/>
          <w:p>
            <w:pPr>
              <w:pStyle w:val="Compact"/>
              <w:jc w:val="left"/>
            </w:pPr>
            <w:r>
              <w:t xml:space="preserve">0.99 (0.97–1.00)</w:t>
            </w:r>
          </w:p>
        </w:tc>
        <w:tc>
          <w:tcPr/>
          <w:p>
            <w:pPr>
              <w:pStyle w:val="Compact"/>
              <w:jc w:val="left"/>
            </w:pPr>
            <w:r>
              <w:t xml:space="preserve">0.050</w:t>
            </w:r>
          </w:p>
        </w:tc>
      </w:tr>
      <w:tr>
        <w:tc>
          <w:tcPr/>
          <w:p>
            <w:pPr>
              <w:pStyle w:val="Compact"/>
              <w:jc w:val="left"/>
            </w:pPr>
            <w:r>
              <w:t xml:space="preserve">Cardiogenic_ShockYes</w:t>
            </w:r>
          </w:p>
        </w:tc>
        <w:tc>
          <w:tcPr/>
          <w:p>
            <w:pPr>
              <w:pStyle w:val="Compact"/>
              <w:jc w:val="left"/>
            </w:pPr>
            <w:r>
              <w:t xml:space="preserve">1.00 (0.98–1.02)</w:t>
            </w:r>
          </w:p>
        </w:tc>
        <w:tc>
          <w:tcPr/>
          <w:p>
            <w:pPr>
              <w:pStyle w:val="Compact"/>
              <w:jc w:val="left"/>
            </w:pPr>
            <w:r>
              <w:t xml:space="preserve">0.890</w:t>
            </w:r>
          </w:p>
        </w:tc>
      </w:tr>
      <w:tr>
        <w:tc>
          <w:tcPr/>
          <w:p>
            <w:pPr>
              <w:pStyle w:val="Compact"/>
              <w:jc w:val="left"/>
            </w:pPr>
            <w:r>
              <w:t xml:space="preserve">Mech_VentYes</w:t>
            </w:r>
          </w:p>
        </w:tc>
        <w:tc>
          <w:tcPr/>
          <w:p>
            <w:pPr>
              <w:pStyle w:val="Compact"/>
              <w:jc w:val="left"/>
            </w:pPr>
            <w:r>
              <w:t xml:space="preserve">0.93 (0.91–0.96)</w:t>
            </w:r>
          </w:p>
        </w:tc>
        <w:tc>
          <w:tcPr/>
          <w:p>
            <w:pPr>
              <w:pStyle w:val="Compact"/>
              <w:jc w:val="left"/>
            </w:pPr>
            <w:r>
              <w:t xml:space="preserve">&lt;0.001</w:t>
            </w:r>
          </w:p>
        </w:tc>
      </w:tr>
      <w:tr>
        <w:tc>
          <w:tcPr/>
          <w:p>
            <w:pPr>
              <w:pStyle w:val="Compact"/>
              <w:jc w:val="left"/>
            </w:pPr>
            <w:r>
              <w:t xml:space="preserve">Chronic_DialysisYes</w:t>
            </w:r>
          </w:p>
        </w:tc>
        <w:tc>
          <w:tcPr/>
          <w:p>
            <w:pPr>
              <w:pStyle w:val="Compact"/>
              <w:jc w:val="left"/>
            </w:pPr>
            <w:r>
              <w:t xml:space="preserve">1.25 (1.23–1.26)</w:t>
            </w:r>
          </w:p>
        </w:tc>
        <w:tc>
          <w:tcPr/>
          <w:p>
            <w:pPr>
              <w:pStyle w:val="Compact"/>
              <w:jc w:val="left"/>
            </w:pPr>
            <w:r>
              <w:t xml:space="preserve">&lt;0.001</w:t>
            </w:r>
          </w:p>
        </w:tc>
      </w:tr>
      <w:tr>
        <w:tc>
          <w:tcPr/>
          <w:p>
            <w:pPr>
              <w:pStyle w:val="Compact"/>
              <w:jc w:val="left"/>
            </w:pPr>
            <w:r>
              <w:t xml:space="preserve">CIEDYes</w:t>
            </w:r>
          </w:p>
        </w:tc>
        <w:tc>
          <w:tcPr/>
          <w:p>
            <w:pPr>
              <w:pStyle w:val="Compact"/>
              <w:jc w:val="left"/>
            </w:pPr>
            <w:r>
              <w:t xml:space="preserve">1.06 (1.05–1.07)</w:t>
            </w:r>
          </w:p>
        </w:tc>
        <w:tc>
          <w:tcPr/>
          <w:p>
            <w:pPr>
              <w:pStyle w:val="Compact"/>
              <w:jc w:val="left"/>
            </w:pPr>
            <w:r>
              <w:t xml:space="preserve">&lt;0.001</w:t>
            </w:r>
          </w:p>
        </w:tc>
      </w:tr>
      <w:tr>
        <w:tc>
          <w:tcPr/>
          <w:p>
            <w:pPr>
              <w:pStyle w:val="Compact"/>
              <w:jc w:val="left"/>
            </w:pPr>
            <w:r>
              <w:t xml:space="preserve">CardiomyopathyYes</w:t>
            </w:r>
          </w:p>
        </w:tc>
        <w:tc>
          <w:tcPr/>
          <w:p>
            <w:pPr>
              <w:pStyle w:val="Compact"/>
              <w:jc w:val="left"/>
            </w:pPr>
            <w:r>
              <w:t xml:space="preserve">0.93 (0.92–0.94)</w:t>
            </w:r>
          </w:p>
        </w:tc>
        <w:tc>
          <w:tcPr/>
          <w:p>
            <w:pPr>
              <w:pStyle w:val="Compact"/>
              <w:jc w:val="left"/>
            </w:pPr>
            <w:r>
              <w:t xml:space="preserve">&lt;0.001</w:t>
            </w:r>
          </w:p>
        </w:tc>
      </w:tr>
      <w:tr>
        <w:tc>
          <w:tcPr/>
          <w:p>
            <w:pPr>
              <w:pStyle w:val="Compact"/>
              <w:jc w:val="left"/>
            </w:pPr>
            <w:r>
              <w:t xml:space="preserve">Housing_InstabilityYes</w:t>
            </w:r>
          </w:p>
        </w:tc>
        <w:tc>
          <w:tcPr/>
          <w:p>
            <w:pPr>
              <w:pStyle w:val="Compact"/>
              <w:jc w:val="left"/>
            </w:pPr>
            <w:r>
              <w:t xml:space="preserve">1.39 (1.35–1.43)</w:t>
            </w:r>
          </w:p>
        </w:tc>
        <w:tc>
          <w:tcPr/>
          <w:p>
            <w:pPr>
              <w:pStyle w:val="Compact"/>
              <w:jc w:val="left"/>
            </w:pPr>
            <w:r>
              <w:t xml:space="preserve">&lt;0.001</w:t>
            </w:r>
          </w:p>
        </w:tc>
      </w:tr>
    </w:tbl>
    <w:bookmarkEnd w:id="92"/>
    <w:bookmarkEnd w:id="93"/>
    <w:bookmarkStart w:id="94" w:name="sec-limitations"/>
    <w:p>
      <w:pPr>
        <w:pStyle w:val="Heading1"/>
      </w:pPr>
      <w:r>
        <w:t xml:space="preserve">4. Limitations</w:t>
      </w:r>
    </w:p>
    <w:p>
      <w:pPr>
        <w:pStyle w:val="FirstParagraph"/>
      </w:pPr>
      <w:r>
        <w:rPr>
          <w:i/>
          <w:iCs/>
        </w:rPr>
        <w:t xml:space="preserve">Pre-written; can be used as the Limitations paragraph with minimal editing.</w:t>
      </w:r>
    </w:p>
    <w:p>
      <w:pPr>
        <w:pStyle w:val="BodyText"/>
      </w:pPr>
      <w:r>
        <w:t xml:space="preserve">This study has several limitations inherent to administrative claims data.</w:t>
      </w:r>
    </w:p>
    <w:p>
      <w:pPr>
        <w:pStyle w:val="BodyText"/>
      </w:pPr>
      <w:r>
        <w:rPr>
          <w:b/>
          <w:bCs/>
        </w:rPr>
        <w:t xml:space="preserve">Exposure is defined by diagnosis codes, not by toxicology.</w:t>
      </w:r>
      <w:r>
        <w:t xml:space="preserve"> </w:t>
      </w:r>
      <w:r>
        <w:t xml:space="preserve">Amphetamine-type</w:t>
      </w:r>
      <w:r>
        <w:t xml:space="preserve"> </w:t>
      </w:r>
      <w:r>
        <w:t xml:space="preserve">stimulant use disorder is under-coded in hospital discharge data, and coding</w:t>
      </w:r>
      <w:r>
        <w:t xml:space="preserve"> </w:t>
      </w:r>
      <w:r>
        <w:t xml:space="preserve">depends on whether the clinician documented it and the coder captured it.</w:t>
      </w:r>
      <w:r>
        <w:t xml:space="preserve"> </w:t>
      </w:r>
      <w:r>
        <w:t xml:space="preserve">Under-ascertainment of this kind is likely to be non-differential with respect</w:t>
      </w:r>
      <w:r>
        <w:t xml:space="preserve"> </w:t>
      </w:r>
      <w:r>
        <w:t xml:space="preserve">to readmission and would therefore bias toward the null, meaning the true</w:t>
      </w:r>
      <w:r>
        <w:t xml:space="preserve"> </w:t>
      </w:r>
      <w:r>
        <w:t xml:space="preserve">association may be stronger than the one reported. ICD-10-CM F15 covers</w:t>
      </w:r>
      <w:r>
        <w:t xml:space="preserve"> </w:t>
      </w:r>
      <w:r>
        <w:t xml:space="preserve">amphetamine-type stimulants including methamphetamine but also includes</w:t>
      </w:r>
      <w:r>
        <w:t xml:space="preserve"> </w:t>
      </w:r>
      <w:r>
        <w:t xml:space="preserve">caffeine and excludes cocaine, so the specific agent cannot be identified; the</w:t>
      </w:r>
      <w:r>
        <w:t xml:space="preserve"> </w:t>
      </w:r>
      <w:r>
        <w:t xml:space="preserve">exposure is deliberately named accordingly.</w:t>
      </w:r>
    </w:p>
    <w:p>
      <w:pPr>
        <w:pStyle w:val="BodyText"/>
      </w:pPr>
      <w:r>
        <w:rPr>
          <w:b/>
          <w:bCs/>
        </w:rPr>
        <w:t xml:space="preserve">Coding intensity increased across the study window</w:t>
      </w:r>
      <w:r>
        <w:t xml:space="preserve">, so apparent temporal</w:t>
      </w:r>
      <w:r>
        <w:t xml:space="preserve"> </w:t>
      </w:r>
      <w:r>
        <w:t xml:space="preserve">trends in the prevalence of an any-listed diagnosis reflect ascertainment as</w:t>
      </w:r>
      <w:r>
        <w:t xml:space="preserve"> </w:t>
      </w:r>
      <w:r>
        <w:t xml:space="preserve">well as incidence, and no biological trend is claimed. The seven data years are</w:t>
      </w:r>
      <w:r>
        <w:t xml:space="preserve"> </w:t>
      </w:r>
      <w:r>
        <w:t xml:space="preserve">independent annual cross-sections drawn from a partly changing hospital sample</w:t>
      </w:r>
      <w:r>
        <w:t xml:space="preserve"> </w:t>
      </w:r>
      <w:r>
        <w:t xml:space="preserve">rather than a longitudinal cohort. The year 2020 is anomalous because of</w:t>
      </w:r>
      <w:r>
        <w:t xml:space="preserve"> </w:t>
      </w:r>
      <w:r>
        <w:t xml:space="preserve">pandemic admission avoidance, COVID-19 coding and hospital capacity effects,</w:t>
      </w:r>
      <w:r>
        <w:t xml:space="preserve"> </w:t>
      </w:r>
      <w:r>
        <w:t xml:space="preserve">and is examined in a leave-2020-out sensitivity analysis.</w:t>
      </w:r>
    </w:p>
    <w:p>
      <w:pPr>
        <w:pStyle w:val="BodyText"/>
      </w:pPr>
      <w:r>
        <w:rPr>
          <w:b/>
          <w:bCs/>
        </w:rPr>
        <w:t xml:space="preserve">The NRD contains no race or ethnicity variable and no geographic identifier</w:t>
      </w:r>
      <w:r>
        <w:rPr>
          <w:b/>
          <w:bCs/>
        </w:rPr>
        <w:t xml:space="preserve"> </w:t>
      </w:r>
      <w:r>
        <w:rPr>
          <w:b/>
          <w:bCs/>
        </w:rPr>
        <w:t xml:space="preserve">below the national level.</w:t>
      </w:r>
      <w:r>
        <w:t xml:space="preserve"> </w:t>
      </w:r>
      <w:r>
        <w:t xml:space="preserve">Neither could be adjusted for. Given that stimulant</w:t>
      </w:r>
      <w:r>
        <w:t xml:space="preserve"> </w:t>
      </w:r>
      <w:r>
        <w:t xml:space="preserve">use, heart failure outcomes and readmission all vary by race and by region,</w:t>
      </w:r>
      <w:r>
        <w:t xml:space="preserve"> </w:t>
      </w:r>
      <w:r>
        <w:t xml:space="preserve">residual confounding on these axes cannot be excluded and no</w:t>
      </w:r>
      <w:r>
        <w:t xml:space="preserve"> </w:t>
      </w:r>
      <w:r>
        <w:t xml:space="preserve">regionally-specific inference is possible.</w:t>
      </w:r>
    </w:p>
    <w:p>
      <w:pPr>
        <w:pStyle w:val="BodyText"/>
      </w:pPr>
      <w:r>
        <w:rPr>
          <w:b/>
          <w:bCs/>
        </w:rPr>
        <w:t xml:space="preserve">Patient linkage does not cross calendar years.</w:t>
      </w:r>
      <w:r>
        <w:t xml:space="preserve"> </w:t>
      </w:r>
      <w:r>
        <w:t xml:space="preserve">A patient discharged in</w:t>
      </w:r>
      <w:r>
        <w:t xml:space="preserve"> </w:t>
      </w:r>
      <w:r>
        <w:t xml:space="preserve">December cannot be followed into the following January, which is why December</w:t>
      </w:r>
      <w:r>
        <w:t xml:space="preserve"> </w:t>
      </w:r>
      <w:r>
        <w:t xml:space="preserve">discharges were excluded; readmissions to hospitals in a different state, and</w:t>
      </w:r>
      <w:r>
        <w:t xml:space="preserve"> </w:t>
      </w:r>
      <w:r>
        <w:t xml:space="preserve">readmissions occurring after a within-year linkage break, are not observed.</w:t>
      </w:r>
      <w:r>
        <w:t xml:space="preserve"> </w:t>
      </w:r>
      <w:r>
        <w:t xml:space="preserve">The unit of analysis is the discharge, and a patient may contribute more than</w:t>
      </w:r>
      <w:r>
        <w:t xml:space="preserve"> </w:t>
      </w:r>
      <w:r>
        <w:t xml:space="preserve">one index admission within a year; a first-admission-only sensitivity analysis</w:t>
      </w:r>
      <w:r>
        <w:t xml:space="preserve"> </w:t>
      </w:r>
      <w:r>
        <w:t xml:space="preserve">addresses this.</w:t>
      </w:r>
    </w:p>
    <w:p>
      <w:pPr>
        <w:pStyle w:val="BodyText"/>
      </w:pPr>
      <w:r>
        <w:rPr>
          <w:b/>
          <w:bCs/>
        </w:rPr>
        <w:t xml:space="preserve">Clinical detail relevant to heart failure is absent.</w:t>
      </w:r>
      <w:r>
        <w:t xml:space="preserve"> </w:t>
      </w:r>
      <w:r>
        <w:t xml:space="preserve">The NRD carries no</w:t>
      </w:r>
      <w:r>
        <w:t xml:space="preserve"> </w:t>
      </w:r>
      <w:r>
        <w:t xml:space="preserve">ejection fraction, no natriuretic peptide concentration, no medication data,</w:t>
      </w:r>
      <w:r>
        <w:t xml:space="preserve"> </w:t>
      </w:r>
      <w:r>
        <w:t xml:space="preserve">no vital signs and no laboratory values. Heart failure phenotype is inferred</w:t>
      </w:r>
      <w:r>
        <w:t xml:space="preserve"> </w:t>
      </w:r>
      <w:r>
        <w:t xml:space="preserve">from the listed I50 subtype codes rather than measured. Adherence, outpatient</w:t>
      </w:r>
      <w:r>
        <w:t xml:space="preserve"> </w:t>
      </w:r>
      <w:r>
        <w:t xml:space="preserve">follow-up, social support and substance use treatment are unobserved. Residual</w:t>
      </w:r>
      <w:r>
        <w:t xml:space="preserve"> </w:t>
      </w:r>
      <w:r>
        <w:t xml:space="preserve">confounding by heart failure severity is therefore possible, and the reported</w:t>
      </w:r>
      <w:r>
        <w:t xml:space="preserve"> </w:t>
      </w:r>
      <w:r>
        <w:t xml:space="preserve">E-value quantifies how strong an unmeasured confounder would need to be to</w:t>
      </w:r>
      <w:r>
        <w:t xml:space="preserve"> </w:t>
      </w:r>
      <w:r>
        <w:t xml:space="preserve">explain the association away.</w:t>
      </w:r>
    </w:p>
    <w:p>
      <w:pPr>
        <w:pStyle w:val="BodyText"/>
      </w:pPr>
      <w:r>
        <w:rPr>
          <w:b/>
          <w:bCs/>
        </w:rPr>
        <w:t xml:space="preserve">Mediators were deliberately not adjusted for</w:t>
      </w:r>
      <w:r>
        <w:t xml:space="preserve"> </w:t>
      </w:r>
      <w:r>
        <w:t xml:space="preserve">in the primary model, so the</w:t>
      </w:r>
      <w:r>
        <w:t xml:space="preserve"> </w:t>
      </w:r>
      <w:r>
        <w:t xml:space="preserve">estimate is a total effect and not a direct effect; the over-adjusted model is</w:t>
      </w:r>
      <w:r>
        <w:t xml:space="preserve"> </w:t>
      </w:r>
      <w:r>
        <w:t xml:space="preserve">presented separately for transparency.</w:t>
      </w:r>
    </w:p>
    <w:p>
      <w:pPr>
        <w:pStyle w:val="BodyText"/>
      </w:pPr>
      <w:r>
        <w:rPr>
          <w:b/>
          <w:bCs/>
        </w:rPr>
        <w:t xml:space="preserve">This is an observational study and the association reported is not a causal</w:t>
      </w:r>
      <w:r>
        <w:rPr>
          <w:b/>
          <w:bCs/>
        </w:rPr>
        <w:t xml:space="preserve"> </w:t>
      </w:r>
      <w:r>
        <w:rPr>
          <w:b/>
          <w:bCs/>
        </w:rPr>
        <w:t xml:space="preserve">effect.</w:t>
      </w:r>
      <w:r>
        <w:t xml:space="preserve"> </w:t>
      </w:r>
      <w:r>
        <w:t xml:space="preserve">The negative control outcome and the E-value bound residual</w:t>
      </w:r>
      <w:r>
        <w:t xml:space="preserve"> </w:t>
      </w:r>
      <w:r>
        <w:t xml:space="preserve">confounding but do not eliminate it.</w:t>
      </w:r>
    </w:p>
    <w:bookmarkEnd w:id="94"/>
    <w:bookmarkStart w:id="95" w:name="sec-reviewers"/>
    <w:p>
      <w:pPr>
        <w:pStyle w:val="Heading1"/>
      </w:pPr>
      <w:r>
        <w:t xml:space="preserve">5. Anticipated statistical review</w:t>
      </w:r>
    </w:p>
    <w:p>
      <w:pPr>
        <w:pStyle w:val="FirstParagraph"/>
      </w:pPr>
      <w:r>
        <w:rPr>
          <w:i/>
          <w:iCs/>
        </w:rPr>
        <w:t xml:space="preserve">Prepared answers to the criticisms this design attracts. Each is already</w:t>
      </w:r>
      <w:r>
        <w:rPr>
          <w:i/>
          <w:iCs/>
        </w:rPr>
        <w:t xml:space="preserve"> </w:t>
      </w:r>
      <w:r>
        <w:rPr>
          <w:i/>
          <w:iCs/>
        </w:rPr>
        <w:t xml:space="preserve">supported by an analysis in this report.</w:t>
      </w:r>
    </w:p>
    <w:p>
      <w:pPr>
        <w:pStyle w:val="BodyText"/>
      </w:pPr>
      <w:r>
        <w:rPr>
          <w:b/>
          <w:bCs/>
        </w:rPr>
        <w:t xml:space="preserve">“Why logistic regression and not Cox?”</w:t>
      </w:r>
      <w:r>
        <w:t xml:space="preserve"> </w:t>
      </w:r>
      <w:r>
        <w:t xml:space="preserve">Follow-up is fixed at 30 days and</w:t>
      </w:r>
      <w:r>
        <w:t xml:space="preserve"> </w:t>
      </w:r>
      <w:r>
        <w:t xml:space="preserve">complete by design, so there is no informative censoring and a hazard ratio</w:t>
      </w:r>
      <w:r>
        <w:t xml:space="preserve"> </w:t>
      </w:r>
      <w:r>
        <w:t xml:space="preserve">adds nothing to a binary outcome. A Cox model on the full cohort with</w:t>
      </w:r>
      <w:r>
        <w:t xml:space="preserve"> </w:t>
      </w:r>
      <w:r>
        <w:t xml:space="preserve">administrative censoring at day 30 is reported as sensitivity analysis S4 and</w:t>
      </w:r>
      <w:r>
        <w:t xml:space="preserve"> </w:t>
      </w:r>
      <w:r>
        <w:t xml:space="preserve">agrees with the primary result.</w:t>
      </w:r>
    </w:p>
    <w:p>
      <w:pPr>
        <w:pStyle w:val="BodyText"/>
      </w:pPr>
      <w:r>
        <w:rPr>
          <w:b/>
          <w:bCs/>
        </w:rPr>
        <w:t xml:space="preserve">“An odds ratio overstates the risk ratio when the outcome is common.”</w:t>
      </w:r>
      <w:r>
        <w:t xml:space="preserve"> </w:t>
      </w:r>
      <w:r>
        <w:t xml:space="preserve">Agreed, which is why the headline results are absolute: adjusted risks, risk</w:t>
      </w:r>
      <w:r>
        <w:t xml:space="preserve"> </w:t>
      </w:r>
      <w:r>
        <w:t xml:space="preserve">difference and risk ratio from marginal standardization. The odds ratio is</w:t>
      </w:r>
      <w:r>
        <w:t xml:space="preserve"> </w:t>
      </w:r>
      <w:r>
        <w:t xml:space="preserve">reported as a secondary measure.</w:t>
      </w:r>
    </w:p>
    <w:p>
      <w:pPr>
        <w:pStyle w:val="BodyText"/>
      </w:pPr>
      <w:r>
        <w:rPr>
          <w:b/>
          <w:bCs/>
        </w:rPr>
        <w:t xml:space="preserve">“Did you account for the survey design?”</w:t>
      </w:r>
      <w:r>
        <w:t xml:space="preserve"> </w:t>
      </w:r>
      <w:r>
        <w:t xml:space="preserve">Yes, throughout, including in</w:t>
      </w:r>
      <w:r>
        <w:t xml:space="preserve"> </w:t>
      </w:r>
      <w:r>
        <w:t xml:space="preserve">descriptive statistics. The design was built once with year-unique stratum and</w:t>
      </w:r>
      <w:r>
        <w:t xml:space="preserve"> </w:t>
      </w:r>
      <w:r>
        <w:t xml:space="preserve">cluster identifiers and every analysis is a subset of it. Design properties,</w:t>
      </w:r>
      <w:r>
        <w:t xml:space="preserve"> </w:t>
      </w:r>
      <w:r>
        <w:t xml:space="preserve">including the number of single-PSU strata and the design degrees of freedom,</w:t>
      </w:r>
      <w:r>
        <w:t xml:space="preserve"> </w:t>
      </w:r>
      <w:r>
        <w:t xml:space="preserve">are in Table S1.</w:t>
      </w:r>
    </w:p>
    <w:p>
      <w:pPr>
        <w:pStyle w:val="BodyText"/>
      </w:pPr>
      <w:r>
        <w:rPr>
          <w:b/>
          <w:bCs/>
        </w:rPr>
        <w:t xml:space="preserve">“Table 1 has no p-values.”</w:t>
      </w:r>
      <w:r>
        <w:t xml:space="preserve"> </w:t>
      </w:r>
      <w:r>
        <w:t xml:space="preserve">By design. At this sample size a p-value in</w:t>
      </w:r>
      <w:r>
        <w:t xml:space="preserve"> </w:t>
      </w:r>
      <w:r>
        <w:t xml:space="preserve">Table 1 measures sample size, not imbalance. Standardized mean differences are</w:t>
      </w:r>
      <w:r>
        <w:t xml:space="preserve"> </w:t>
      </w:r>
      <w:r>
        <w:t xml:space="preserve">reported instead.</w:t>
      </w:r>
    </w:p>
    <w:p>
      <w:pPr>
        <w:pStyle w:val="BodyText"/>
      </w:pPr>
      <w:r>
        <w:rPr>
          <w:b/>
          <w:bCs/>
        </w:rPr>
        <w:t xml:space="preserve">“How do you know the comparator is clean?”</w:t>
      </w:r>
      <w:r>
        <w:t xml:space="preserve"> </w:t>
      </w:r>
      <w:r>
        <w:t xml:space="preserve">Patients with any non-stimulant</w:t>
      </w:r>
      <w:r>
        <w:t xml:space="preserve"> </w:t>
      </w:r>
      <w:r>
        <w:t xml:space="preserve">substance use disorder and no stimulant code were excluded, so the comparator</w:t>
      </w:r>
      <w:r>
        <w:t xml:space="preserve"> </w:t>
      </w:r>
      <w:r>
        <w:t xml:space="preserve">is a no-substance-use-disorder group rather than a mixed group.</w:t>
      </w:r>
    </w:p>
    <w:p>
      <w:pPr>
        <w:pStyle w:val="BodyText"/>
      </w:pPr>
      <w:r>
        <w:rPr>
          <w:b/>
          <w:bCs/>
        </w:rPr>
        <w:t xml:space="preserve">“Could this be confounded by homelessness?”</w:t>
      </w:r>
      <w:r>
        <w:t xml:space="preserve"> </w:t>
      </w:r>
      <w:r>
        <w:t xml:space="preserve">Housing instability is</w:t>
      </w:r>
      <w:r>
        <w:t xml:space="preserve"> </w:t>
      </w:r>
      <w:r>
        <w:t xml:space="preserve">adjusted for, and the estimate with and without that adjustment is shown in</w:t>
      </w:r>
      <w:r>
        <w:t xml:space="preserve"> </w:t>
      </w:r>
      <w:r>
        <w:t xml:space="preserve">Table 3b so the reader can see exactly how much it accounts for.</w:t>
      </w:r>
    </w:p>
    <w:p>
      <w:pPr>
        <w:pStyle w:val="BodyText"/>
      </w:pPr>
      <w:r>
        <w:rPr>
          <w:b/>
          <w:bCs/>
        </w:rPr>
        <w:t xml:space="preserve">“Could unmeasured confounding explain this?”</w:t>
      </w:r>
      <w:r>
        <w:t xml:space="preserve"> </w:t>
      </w:r>
      <w:r>
        <w:t xml:space="preserve">The E-value in</w:t>
      </w:r>
      <w:r>
        <w:t xml:space="preserve"> </w:t>
      </w:r>
      <w:hyperlink w:anchor="sec-evalue">
        <w:r>
          <w:rPr>
            <w:rStyle w:val="Hyperlink"/>
          </w:rPr>
          <w:t xml:space="preserve">Section 3.3.1</w:t>
        </w:r>
      </w:hyperlink>
      <w:r>
        <w:t xml:space="preserve"> </w:t>
      </w:r>
      <w:r>
        <w:t xml:space="preserve">gives the minimum strength required. The negative control outcome tests for</w:t>
      </w:r>
      <w:r>
        <w:t xml:space="preserve"> </w:t>
      </w:r>
      <w:r>
        <w:t xml:space="preserve">gross residual confounding and differential surveillance.</w:t>
      </w:r>
    </w:p>
    <w:p>
      <w:pPr>
        <w:pStyle w:val="BodyText"/>
      </w:pPr>
      <w:r>
        <w:rPr>
          <w:b/>
          <w:bCs/>
        </w:rPr>
        <w:t xml:space="preserve">“Why not use propensity score matching?”</w:t>
      </w:r>
      <w:r>
        <w:t xml:space="preserve"> </w:t>
      </w:r>
      <w:r>
        <w:t xml:space="preserve">Overlap weighting achieves exact</w:t>
      </w:r>
      <w:r>
        <w:t xml:space="preserve"> </w:t>
      </w:r>
      <w:r>
        <w:t xml:space="preserve">balance on every covariate in the propensity model with bounded weights and no</w:t>
      </w:r>
      <w:r>
        <w:t xml:space="preserve"> </w:t>
      </w:r>
      <w:r>
        <w:t xml:space="preserve">arbitrary trimming or caliper, and retains the whole cohort. It is reported as</w:t>
      </w:r>
      <w:r>
        <w:t xml:space="preserve"> </w:t>
      </w:r>
      <w:r>
        <w:t xml:space="preserve">a co-estimator, not a replacement, and the balance achieved is shown in Table</w:t>
      </w:r>
      <w:r>
        <w:t xml:space="preserve"> </w:t>
      </w:r>
      <w:r>
        <w:t xml:space="preserve">S6 and Figure S3.</w:t>
      </w:r>
    </w:p>
    <w:p>
      <w:pPr>
        <w:pStyle w:val="BodyText"/>
      </w:pPr>
      <w:r>
        <w:rPr>
          <w:b/>
          <w:bCs/>
        </w:rPr>
        <w:t xml:space="preserve">“Are the subgroup findings real?”</w:t>
      </w:r>
      <w:r>
        <w:t xml:space="preserve"> </w:t>
      </w:r>
      <w:r>
        <w:t xml:space="preserve">They are exploratory, not</w:t>
      </w:r>
      <w:r>
        <w:t xml:space="preserve"> </w:t>
      </w:r>
      <w:r>
        <w:t xml:space="preserve">multiplicity-adjusted, assessed by formal interaction tests rather than by</w:t>
      </w:r>
      <w:r>
        <w:t xml:space="preserve"> </w:t>
      </w:r>
      <w:r>
        <w:t xml:space="preserve">overlapping intervals, and excluded from the Conclusions.</w:t>
      </w:r>
    </w:p>
    <w:p>
      <w:pPr>
        <w:pStyle w:val="BodyText"/>
      </w:pPr>
      <w:r>
        <w:rPr>
          <w:b/>
          <w:bCs/>
        </w:rPr>
        <w:t xml:space="preserve">“Is age adequately controlled?”</w:t>
      </w:r>
      <w:r>
        <w:t xml:space="preserve"> </w:t>
      </w:r>
      <w:r>
        <w:t xml:space="preserve">Age is modelled as a restricted cubic</w:t>
      </w:r>
      <w:r>
        <w:t xml:space="preserve"> </w:t>
      </w:r>
      <w:r>
        <w:t xml:space="preserve">spline rather than linearly or categorically, which is important because the</w:t>
      </w:r>
      <w:r>
        <w:t xml:space="preserve"> </w:t>
      </w:r>
      <w:r>
        <w:t xml:space="preserve">arms differ substantially in age.</w:t>
      </w:r>
    </w:p>
    <w:bookmarkEnd w:id="95"/>
    <w:bookmarkStart w:id="97" w:name="sec-codelists"/>
    <w:p>
      <w:pPr>
        <w:pStyle w:val="Heading1"/>
      </w:pPr>
      <w:r>
        <w:t xml:space="preserve">6. Reference material</w:t>
      </w:r>
    </w:p>
    <w:bookmarkStart w:id="96" w:name="code-lists"/>
    <w:p>
      <w:pPr>
        <w:pStyle w:val="Heading2"/>
      </w:pPr>
      <w:r>
        <w:t xml:space="preserve">6.1 Code lists</w:t>
      </w:r>
    </w:p>
    <w:p>
      <w:pPr>
        <w:pStyle w:val="TableCaption"/>
      </w:pPr>
      <w:r>
        <w:t xml:space="preserve">Table S7. Complete list of ICD-10-CM and ICD-10-PCS codes used to define the index condition, the exposure, the exclusions and every clinical covariate. Supplied so that the definitions can be reproduced exactly.</w:t>
      </w:r>
    </w:p>
    <w:tbl>
      <w:tblPr>
        <w:tblStyle w:val="Table"/>
        <w:tblW w:type="pct" w:w="5000"/>
        <w:tblLayout w:type="fixed"/>
        <w:tblLook w:firstRow="1" w:lastRow="0" w:firstColumn="0" w:lastColumn="0" w:noHBand="0" w:noVBand="0" w:val="0020"/>
        <w:tblCaption w:val="Table S7. Complete list of ICD-10-CM and ICD-10-PCS codes used to define the index condition, the exposure, the exclusions and every clinical covariate. Supplied so that the definitions can be reproduced exactly."/>
      </w:tblPr>
      <w:tblGrid>
        <w:gridCol w:w="5670"/>
        <w:gridCol w:w="990"/>
        <w:gridCol w:w="1260"/>
      </w:tblGrid>
      <w:tr>
        <w:trPr>
          <w:tblHeader w:val="on"/>
        </w:trPr>
        <w:tc>
          <w:tcPr/>
          <w:p>
            <w:pPr>
              <w:pStyle w:val="Compact"/>
              <w:jc w:val="left"/>
            </w:pPr>
            <w:r>
              <w:t xml:space="preserve">Group</w:t>
            </w:r>
          </w:p>
        </w:tc>
        <w:tc>
          <w:tcPr/>
          <w:p>
            <w:pPr>
              <w:pStyle w:val="Compact"/>
              <w:jc w:val="left"/>
            </w:pPr>
            <w:r>
              <w:t xml:space="preserve">System</w:t>
            </w:r>
          </w:p>
        </w:tc>
        <w:tc>
          <w:tcPr/>
          <w:p>
            <w:pPr>
              <w:pStyle w:val="Compact"/>
              <w:jc w:val="left"/>
            </w:pPr>
            <w:r>
              <w:t xml:space="preserve">Code</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I501</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I509</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I5020</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I5021</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I5022</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I5023</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I5030</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I5031</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I5032</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I5033</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I5040</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I5041</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I5042</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I5043</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I50810</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I50811</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I50812</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I50813</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I50814</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I5082</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I5083</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I5084</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I5089</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I110</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I130</w:t>
            </w:r>
          </w:p>
        </w:tc>
      </w:tr>
      <w:tr>
        <w:tc>
          <w:tcPr/>
          <w:p>
            <w:pPr>
              <w:pStyle w:val="Compact"/>
              <w:jc w:val="left"/>
            </w:pPr>
            <w:r>
              <w:t xml:space="preserve">Heart failure (principal diagnosis, index cohort)</w:t>
            </w:r>
          </w:p>
        </w:tc>
        <w:tc>
          <w:tcPr/>
          <w:p>
            <w:pPr>
              <w:pStyle w:val="Compact"/>
              <w:jc w:val="left"/>
            </w:pPr>
            <w:r>
              <w:t xml:space="preserve">ICD-10-CM</w:t>
            </w:r>
          </w:p>
        </w:tc>
        <w:tc>
          <w:tcPr/>
          <w:p>
            <w:pPr>
              <w:pStyle w:val="Compact"/>
              <w:jc w:val="left"/>
            </w:pPr>
            <w:r>
              <w:t xml:space="preserve">I132</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F15120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F15121</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F15122</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F15129</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F1513</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F1514</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F15150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F15151</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F15159</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F15180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F15181</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F15182</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F15188</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F1519</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F15220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F15221</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F15222</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F15229</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F1523</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F1524</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F15250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F15251</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F15259</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F15280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F15281</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F15282</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F15288</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F1529</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F15920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F15921</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F15922</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F15929</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F1593</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F1594</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F15950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F15951</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F15959</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F15980</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F15981</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F15982</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F15988</w:t>
            </w:r>
          </w:p>
        </w:tc>
      </w:tr>
      <w:tr>
        <w:tc>
          <w:tcPr/>
          <w:p>
            <w:pPr>
              <w:pStyle w:val="Compact"/>
              <w:jc w:val="left"/>
            </w:pPr>
            <w:r>
              <w:t xml:space="preserve">Amphetamine-type stimulant use disorder (any-listed, exposure)</w:t>
            </w:r>
          </w:p>
        </w:tc>
        <w:tc>
          <w:tcPr/>
          <w:p>
            <w:pPr>
              <w:pStyle w:val="Compact"/>
              <w:jc w:val="left"/>
            </w:pPr>
            <w:r>
              <w:t xml:space="preserve">ICD-10-CM</w:t>
            </w:r>
          </w:p>
        </w:tc>
        <w:tc>
          <w:tcPr/>
          <w:p>
            <w:pPr>
              <w:pStyle w:val="Compact"/>
              <w:jc w:val="left"/>
            </w:pPr>
            <w:r>
              <w:t xml:space="preserve">F1599</w:t>
            </w:r>
          </w:p>
        </w:tc>
      </w:tr>
      <w:tr>
        <w:tc>
          <w:tcPr/>
          <w:p>
            <w:pPr>
              <w:pStyle w:val="Compact"/>
              <w:jc w:val="left"/>
            </w:pPr>
            <w:r>
              <w:t xml:space="preserve">Stimulant use disorder in remission (excluded from exposure)</w:t>
            </w:r>
          </w:p>
        </w:tc>
        <w:tc>
          <w:tcPr/>
          <w:p>
            <w:pPr>
              <w:pStyle w:val="Compact"/>
              <w:jc w:val="left"/>
            </w:pPr>
            <w:r>
              <w:t xml:space="preserve">ICD-10-CM</w:t>
            </w:r>
          </w:p>
        </w:tc>
        <w:tc>
          <w:tcPr/>
          <w:p>
            <w:pPr>
              <w:pStyle w:val="Compact"/>
              <w:jc w:val="left"/>
            </w:pPr>
            <w:r>
              <w:t xml:space="preserve">F1511</w:t>
            </w:r>
          </w:p>
        </w:tc>
      </w:tr>
      <w:tr>
        <w:tc>
          <w:tcPr/>
          <w:p>
            <w:pPr>
              <w:pStyle w:val="Compact"/>
              <w:jc w:val="left"/>
            </w:pPr>
            <w:r>
              <w:t xml:space="preserve">Stimulant use disorder in remission (excluded from exposure)</w:t>
            </w:r>
          </w:p>
        </w:tc>
        <w:tc>
          <w:tcPr/>
          <w:p>
            <w:pPr>
              <w:pStyle w:val="Compact"/>
              <w:jc w:val="left"/>
            </w:pPr>
            <w:r>
              <w:t xml:space="preserve">ICD-10-CM</w:t>
            </w:r>
          </w:p>
        </w:tc>
        <w:tc>
          <w:tcPr/>
          <w:p>
            <w:pPr>
              <w:pStyle w:val="Compact"/>
              <w:jc w:val="left"/>
            </w:pPr>
            <w:r>
              <w:t xml:space="preserve">F1521</w:t>
            </w:r>
          </w:p>
        </w:tc>
      </w:tr>
      <w:tr>
        <w:tc>
          <w:tcPr/>
          <w:p>
            <w:pPr>
              <w:pStyle w:val="Compact"/>
              <w:jc w:val="left"/>
            </w:pPr>
            <w:r>
              <w:t xml:space="preserve">Stimulant use disorder in remission (excluded from exposure)</w:t>
            </w:r>
          </w:p>
        </w:tc>
        <w:tc>
          <w:tcPr/>
          <w:p>
            <w:pPr>
              <w:pStyle w:val="Compact"/>
              <w:jc w:val="left"/>
            </w:pPr>
            <w:r>
              <w:t xml:space="preserve">ICD-10-CM</w:t>
            </w:r>
          </w:p>
        </w:tc>
        <w:tc>
          <w:tcPr/>
          <w:p>
            <w:pPr>
              <w:pStyle w:val="Compact"/>
              <w:jc w:val="left"/>
            </w:pPr>
            <w:r>
              <w:t xml:space="preserve">F1591</w:t>
            </w:r>
          </w:p>
        </w:tc>
      </w:tr>
      <w:tr>
        <w:tc>
          <w:tcPr/>
          <w:p>
            <w:pPr>
              <w:pStyle w:val="Compact"/>
              <w:jc w:val="left"/>
            </w:pPr>
            <w:r>
              <w:t xml:space="preserve">Other substance use disorder (cohort exclusion, prefix match)</w:t>
            </w:r>
          </w:p>
        </w:tc>
        <w:tc>
          <w:tcPr/>
          <w:p>
            <w:pPr>
              <w:pStyle w:val="Compact"/>
              <w:jc w:val="left"/>
            </w:pPr>
            <w:r>
              <w:t xml:space="preserve">ICD-10-CM</w:t>
            </w:r>
          </w:p>
        </w:tc>
        <w:tc>
          <w:tcPr/>
          <w:p>
            <w:pPr>
              <w:pStyle w:val="Compact"/>
              <w:jc w:val="left"/>
            </w:pPr>
            <w:r>
              <w:t xml:space="preserve">F101 (prefix)</w:t>
            </w:r>
          </w:p>
        </w:tc>
      </w:tr>
      <w:tr>
        <w:tc>
          <w:tcPr/>
          <w:p>
            <w:pPr>
              <w:pStyle w:val="Compact"/>
              <w:jc w:val="left"/>
            </w:pPr>
            <w:r>
              <w:t xml:space="preserve">Other substance use disorder (cohort exclusion, prefix match)</w:t>
            </w:r>
          </w:p>
        </w:tc>
        <w:tc>
          <w:tcPr/>
          <w:p>
            <w:pPr>
              <w:pStyle w:val="Compact"/>
              <w:jc w:val="left"/>
            </w:pPr>
            <w:r>
              <w:t xml:space="preserve">ICD-10-CM</w:t>
            </w:r>
          </w:p>
        </w:tc>
        <w:tc>
          <w:tcPr/>
          <w:p>
            <w:pPr>
              <w:pStyle w:val="Compact"/>
              <w:jc w:val="left"/>
            </w:pPr>
            <w:r>
              <w:t xml:space="preserve">F102 (prefix)</w:t>
            </w:r>
          </w:p>
        </w:tc>
      </w:tr>
      <w:tr>
        <w:tc>
          <w:tcPr/>
          <w:p>
            <w:pPr>
              <w:pStyle w:val="Compact"/>
              <w:jc w:val="left"/>
            </w:pPr>
            <w:r>
              <w:t xml:space="preserve">Other substance use disorder (cohort exclusion, prefix match)</w:t>
            </w:r>
          </w:p>
        </w:tc>
        <w:tc>
          <w:tcPr/>
          <w:p>
            <w:pPr>
              <w:pStyle w:val="Compact"/>
              <w:jc w:val="left"/>
            </w:pPr>
            <w:r>
              <w:t xml:space="preserve">ICD-10-CM</w:t>
            </w:r>
          </w:p>
        </w:tc>
        <w:tc>
          <w:tcPr/>
          <w:p>
            <w:pPr>
              <w:pStyle w:val="Compact"/>
              <w:jc w:val="left"/>
            </w:pPr>
            <w:r>
              <w:t xml:space="preserve">F11 (prefix)</w:t>
            </w:r>
          </w:p>
        </w:tc>
      </w:tr>
      <w:tr>
        <w:tc>
          <w:tcPr/>
          <w:p>
            <w:pPr>
              <w:pStyle w:val="Compact"/>
              <w:jc w:val="left"/>
            </w:pPr>
            <w:r>
              <w:t xml:space="preserve">Other substance use disorder (cohort exclusion, prefix match)</w:t>
            </w:r>
          </w:p>
        </w:tc>
        <w:tc>
          <w:tcPr/>
          <w:p>
            <w:pPr>
              <w:pStyle w:val="Compact"/>
              <w:jc w:val="left"/>
            </w:pPr>
            <w:r>
              <w:t xml:space="preserve">ICD-10-CM</w:t>
            </w:r>
          </w:p>
        </w:tc>
        <w:tc>
          <w:tcPr/>
          <w:p>
            <w:pPr>
              <w:pStyle w:val="Compact"/>
              <w:jc w:val="left"/>
            </w:pPr>
            <w:r>
              <w:t xml:space="preserve">F12 (prefix)</w:t>
            </w:r>
          </w:p>
        </w:tc>
      </w:tr>
      <w:tr>
        <w:tc>
          <w:tcPr/>
          <w:p>
            <w:pPr>
              <w:pStyle w:val="Compact"/>
              <w:jc w:val="left"/>
            </w:pPr>
            <w:r>
              <w:t xml:space="preserve">Other substance use disorder (cohort exclusion, prefix match)</w:t>
            </w:r>
          </w:p>
        </w:tc>
        <w:tc>
          <w:tcPr/>
          <w:p>
            <w:pPr>
              <w:pStyle w:val="Compact"/>
              <w:jc w:val="left"/>
            </w:pPr>
            <w:r>
              <w:t xml:space="preserve">ICD-10-CM</w:t>
            </w:r>
          </w:p>
        </w:tc>
        <w:tc>
          <w:tcPr/>
          <w:p>
            <w:pPr>
              <w:pStyle w:val="Compact"/>
              <w:jc w:val="left"/>
            </w:pPr>
            <w:r>
              <w:t xml:space="preserve">F13 (prefix)</w:t>
            </w:r>
          </w:p>
        </w:tc>
      </w:tr>
      <w:tr>
        <w:tc>
          <w:tcPr/>
          <w:p>
            <w:pPr>
              <w:pStyle w:val="Compact"/>
              <w:jc w:val="left"/>
            </w:pPr>
            <w:r>
              <w:t xml:space="preserve">Other substance use disorder (cohort exclusion, prefix match)</w:t>
            </w:r>
          </w:p>
        </w:tc>
        <w:tc>
          <w:tcPr/>
          <w:p>
            <w:pPr>
              <w:pStyle w:val="Compact"/>
              <w:jc w:val="left"/>
            </w:pPr>
            <w:r>
              <w:t xml:space="preserve">ICD-10-CM</w:t>
            </w:r>
          </w:p>
        </w:tc>
        <w:tc>
          <w:tcPr/>
          <w:p>
            <w:pPr>
              <w:pStyle w:val="Compact"/>
              <w:jc w:val="left"/>
            </w:pPr>
            <w:r>
              <w:t xml:space="preserve">F14 (prefix)</w:t>
            </w:r>
          </w:p>
        </w:tc>
      </w:tr>
      <w:tr>
        <w:tc>
          <w:tcPr/>
          <w:p>
            <w:pPr>
              <w:pStyle w:val="Compact"/>
              <w:jc w:val="left"/>
            </w:pPr>
            <w:r>
              <w:t xml:space="preserve">Other substance use disorder (cohort exclusion, prefix match)</w:t>
            </w:r>
          </w:p>
        </w:tc>
        <w:tc>
          <w:tcPr/>
          <w:p>
            <w:pPr>
              <w:pStyle w:val="Compact"/>
              <w:jc w:val="left"/>
            </w:pPr>
            <w:r>
              <w:t xml:space="preserve">ICD-10-CM</w:t>
            </w:r>
          </w:p>
        </w:tc>
        <w:tc>
          <w:tcPr/>
          <w:p>
            <w:pPr>
              <w:pStyle w:val="Compact"/>
              <w:jc w:val="left"/>
            </w:pPr>
            <w:r>
              <w:t xml:space="preserve">F16 (prefix)</w:t>
            </w:r>
          </w:p>
        </w:tc>
      </w:tr>
      <w:tr>
        <w:tc>
          <w:tcPr/>
          <w:p>
            <w:pPr>
              <w:pStyle w:val="Compact"/>
              <w:jc w:val="left"/>
            </w:pPr>
            <w:r>
              <w:t xml:space="preserve">Other substance use disorder (cohort exclusion, prefix match)</w:t>
            </w:r>
          </w:p>
        </w:tc>
        <w:tc>
          <w:tcPr/>
          <w:p>
            <w:pPr>
              <w:pStyle w:val="Compact"/>
              <w:jc w:val="left"/>
            </w:pPr>
            <w:r>
              <w:t xml:space="preserve">ICD-10-CM</w:t>
            </w:r>
          </w:p>
        </w:tc>
        <w:tc>
          <w:tcPr/>
          <w:p>
            <w:pPr>
              <w:pStyle w:val="Compact"/>
              <w:jc w:val="left"/>
            </w:pPr>
            <w:r>
              <w:t xml:space="preserve">F18 (prefix)</w:t>
            </w:r>
          </w:p>
        </w:tc>
      </w:tr>
      <w:tr>
        <w:tc>
          <w:tcPr/>
          <w:p>
            <w:pPr>
              <w:pStyle w:val="Compact"/>
              <w:jc w:val="left"/>
            </w:pPr>
            <w:r>
              <w:t xml:space="preserve">Other substance use disorder (cohort exclusion, prefix match)</w:t>
            </w:r>
          </w:p>
        </w:tc>
        <w:tc>
          <w:tcPr/>
          <w:p>
            <w:pPr>
              <w:pStyle w:val="Compact"/>
              <w:jc w:val="left"/>
            </w:pPr>
            <w:r>
              <w:t xml:space="preserve">ICD-10-CM</w:t>
            </w:r>
          </w:p>
        </w:tc>
        <w:tc>
          <w:tcPr/>
          <w:p>
            <w:pPr>
              <w:pStyle w:val="Compact"/>
              <w:jc w:val="left"/>
            </w:pPr>
            <w:r>
              <w:t xml:space="preserve">F19 (prefix)</w:t>
            </w:r>
          </w:p>
        </w:tc>
      </w:tr>
      <w:tr>
        <w:tc>
          <w:tcPr/>
          <w:p>
            <w:pPr>
              <w:pStyle w:val="Compact"/>
              <w:jc w:val="left"/>
            </w:pPr>
            <w:r>
              <w:t xml:space="preserve">Housing instability</w:t>
            </w:r>
          </w:p>
        </w:tc>
        <w:tc>
          <w:tcPr/>
          <w:p>
            <w:pPr>
              <w:pStyle w:val="Compact"/>
              <w:jc w:val="left"/>
            </w:pPr>
            <w:r>
              <w:t xml:space="preserve">ICD-10-CM</w:t>
            </w:r>
          </w:p>
        </w:tc>
        <w:tc>
          <w:tcPr/>
          <w:p>
            <w:pPr>
              <w:pStyle w:val="Compact"/>
              <w:jc w:val="left"/>
            </w:pPr>
            <w:r>
              <w:t xml:space="preserve">Z59 (prefix)</w:t>
            </w:r>
          </w:p>
        </w:tc>
      </w:tr>
      <w:tr>
        <w:tc>
          <w:tcPr/>
          <w:p>
            <w:pPr>
              <w:pStyle w:val="Compact"/>
              <w:jc w:val="left"/>
            </w:pPr>
            <w:r>
              <w:t xml:space="preserve">Cardiogenic shock</w:t>
            </w:r>
          </w:p>
        </w:tc>
        <w:tc>
          <w:tcPr/>
          <w:p>
            <w:pPr>
              <w:pStyle w:val="Compact"/>
              <w:jc w:val="left"/>
            </w:pPr>
            <w:r>
              <w:t xml:space="preserve">ICD-10-CM</w:t>
            </w:r>
          </w:p>
        </w:tc>
        <w:tc>
          <w:tcPr/>
          <w:p>
            <w:pPr>
              <w:pStyle w:val="Compact"/>
              <w:jc w:val="left"/>
            </w:pPr>
            <w:r>
              <w:t xml:space="preserve">R570</w:t>
            </w:r>
          </w:p>
        </w:tc>
      </w:tr>
      <w:tr>
        <w:tc>
          <w:tcPr/>
          <w:p>
            <w:pPr>
              <w:pStyle w:val="Compact"/>
              <w:jc w:val="left"/>
            </w:pPr>
            <w:r>
              <w:t xml:space="preserve">Cardiomyopathy</w:t>
            </w:r>
          </w:p>
        </w:tc>
        <w:tc>
          <w:tcPr/>
          <w:p>
            <w:pPr>
              <w:pStyle w:val="Compact"/>
              <w:jc w:val="left"/>
            </w:pPr>
            <w:r>
              <w:t xml:space="preserve">ICD-10-CM</w:t>
            </w:r>
          </w:p>
        </w:tc>
        <w:tc>
          <w:tcPr/>
          <w:p>
            <w:pPr>
              <w:pStyle w:val="Compact"/>
              <w:jc w:val="left"/>
            </w:pPr>
            <w:r>
              <w:t xml:space="preserve">I42 (prefix)</w:t>
            </w:r>
          </w:p>
        </w:tc>
      </w:tr>
      <w:tr>
        <w:tc>
          <w:tcPr/>
          <w:p>
            <w:pPr>
              <w:pStyle w:val="Compact"/>
              <w:jc w:val="left"/>
            </w:pPr>
            <w:r>
              <w:t xml:space="preserve">Acute myocardial infarction at index</w:t>
            </w:r>
          </w:p>
        </w:tc>
        <w:tc>
          <w:tcPr/>
          <w:p>
            <w:pPr>
              <w:pStyle w:val="Compact"/>
              <w:jc w:val="left"/>
            </w:pPr>
            <w:r>
              <w:t xml:space="preserve">ICD-10-CM</w:t>
            </w:r>
          </w:p>
        </w:tc>
        <w:tc>
          <w:tcPr/>
          <w:p>
            <w:pPr>
              <w:pStyle w:val="Compact"/>
              <w:jc w:val="left"/>
            </w:pPr>
            <w:r>
              <w:t xml:space="preserve">I21 (prefix)</w:t>
            </w:r>
          </w:p>
        </w:tc>
      </w:tr>
      <w:tr>
        <w:tc>
          <w:tcPr/>
          <w:p>
            <w:pPr>
              <w:pStyle w:val="Compact"/>
              <w:jc w:val="left"/>
            </w:pPr>
            <w:r>
              <w:t xml:space="preserve">Acute myocardial infarction at index</w:t>
            </w:r>
          </w:p>
        </w:tc>
        <w:tc>
          <w:tcPr/>
          <w:p>
            <w:pPr>
              <w:pStyle w:val="Compact"/>
              <w:jc w:val="left"/>
            </w:pPr>
            <w:r>
              <w:t xml:space="preserve">ICD-10-CM</w:t>
            </w:r>
          </w:p>
        </w:tc>
        <w:tc>
          <w:tcPr/>
          <w:p>
            <w:pPr>
              <w:pStyle w:val="Compact"/>
              <w:jc w:val="left"/>
            </w:pPr>
            <w:r>
              <w:t xml:space="preserve">I22 (prefix)</w:t>
            </w:r>
          </w:p>
        </w:tc>
      </w:tr>
      <w:tr>
        <w:tc>
          <w:tcPr/>
          <w:p>
            <w:pPr>
              <w:pStyle w:val="Compact"/>
              <w:jc w:val="left"/>
            </w:pPr>
            <w:r>
              <w:t xml:space="preserve">Nicotine dependence (Table 1 only)</w:t>
            </w:r>
          </w:p>
        </w:tc>
        <w:tc>
          <w:tcPr/>
          <w:p>
            <w:pPr>
              <w:pStyle w:val="Compact"/>
              <w:jc w:val="left"/>
            </w:pPr>
            <w:r>
              <w:t xml:space="preserve">ICD-10-CM</w:t>
            </w:r>
          </w:p>
        </w:tc>
        <w:tc>
          <w:tcPr/>
          <w:p>
            <w:pPr>
              <w:pStyle w:val="Compact"/>
              <w:jc w:val="left"/>
            </w:pPr>
            <w:r>
              <w:t xml:space="preserve">F172 (prefix)</w:t>
            </w:r>
          </w:p>
        </w:tc>
      </w:tr>
      <w:tr>
        <w:tc>
          <w:tcPr/>
          <w:p>
            <w:pPr>
              <w:pStyle w:val="Compact"/>
              <w:jc w:val="left"/>
            </w:pPr>
            <w:r>
              <w:t xml:space="preserve">Cardiac implantable electronic device</w:t>
            </w:r>
          </w:p>
        </w:tc>
        <w:tc>
          <w:tcPr/>
          <w:p>
            <w:pPr>
              <w:pStyle w:val="Compact"/>
              <w:jc w:val="left"/>
            </w:pPr>
            <w:r>
              <w:t xml:space="preserve">ICD-10-CM</w:t>
            </w:r>
          </w:p>
        </w:tc>
        <w:tc>
          <w:tcPr/>
          <w:p>
            <w:pPr>
              <w:pStyle w:val="Compact"/>
              <w:jc w:val="left"/>
            </w:pPr>
            <w:r>
              <w:t xml:space="preserve">Z950</w:t>
            </w:r>
          </w:p>
        </w:tc>
      </w:tr>
      <w:tr>
        <w:tc>
          <w:tcPr/>
          <w:p>
            <w:pPr>
              <w:pStyle w:val="Compact"/>
              <w:jc w:val="left"/>
            </w:pPr>
            <w:r>
              <w:t xml:space="preserve">Cardiac implantable electronic device</w:t>
            </w:r>
          </w:p>
        </w:tc>
        <w:tc>
          <w:tcPr/>
          <w:p>
            <w:pPr>
              <w:pStyle w:val="Compact"/>
              <w:jc w:val="left"/>
            </w:pPr>
            <w:r>
              <w:t xml:space="preserve">ICD-10-CM</w:t>
            </w:r>
          </w:p>
        </w:tc>
        <w:tc>
          <w:tcPr/>
          <w:p>
            <w:pPr>
              <w:pStyle w:val="Compact"/>
              <w:jc w:val="left"/>
            </w:pPr>
            <w:r>
              <w:t xml:space="preserve">Z95810</w:t>
            </w:r>
          </w:p>
        </w:tc>
      </w:tr>
      <w:tr>
        <w:tc>
          <w:tcPr/>
          <w:p>
            <w:pPr>
              <w:pStyle w:val="Compact"/>
              <w:jc w:val="left"/>
            </w:pPr>
            <w:r>
              <w:t xml:space="preserve">Invasive mechanical ventilation</w:t>
            </w:r>
          </w:p>
        </w:tc>
        <w:tc>
          <w:tcPr/>
          <w:p>
            <w:pPr>
              <w:pStyle w:val="Compact"/>
              <w:jc w:val="left"/>
            </w:pPr>
            <w:r>
              <w:t xml:space="preserve">ICD-10-PCS</w:t>
            </w:r>
          </w:p>
        </w:tc>
        <w:tc>
          <w:tcPr/>
          <w:p>
            <w:pPr>
              <w:pStyle w:val="Compact"/>
              <w:jc w:val="left"/>
            </w:pPr>
            <w:r>
              <w:t xml:space="preserve">5A1935Z</w:t>
            </w:r>
          </w:p>
        </w:tc>
      </w:tr>
      <w:tr>
        <w:tc>
          <w:tcPr/>
          <w:p>
            <w:pPr>
              <w:pStyle w:val="Compact"/>
              <w:jc w:val="left"/>
            </w:pPr>
            <w:r>
              <w:t xml:space="preserve">Invasive mechanical ventilation</w:t>
            </w:r>
          </w:p>
        </w:tc>
        <w:tc>
          <w:tcPr/>
          <w:p>
            <w:pPr>
              <w:pStyle w:val="Compact"/>
              <w:jc w:val="left"/>
            </w:pPr>
            <w:r>
              <w:t xml:space="preserve">ICD-10-PCS</w:t>
            </w:r>
          </w:p>
        </w:tc>
        <w:tc>
          <w:tcPr/>
          <w:p>
            <w:pPr>
              <w:pStyle w:val="Compact"/>
              <w:jc w:val="left"/>
            </w:pPr>
            <w:r>
              <w:t xml:space="preserve">5A1945Z</w:t>
            </w:r>
          </w:p>
        </w:tc>
      </w:tr>
      <w:tr>
        <w:tc>
          <w:tcPr/>
          <w:p>
            <w:pPr>
              <w:pStyle w:val="Compact"/>
              <w:jc w:val="left"/>
            </w:pPr>
            <w:r>
              <w:t xml:space="preserve">Invasive mechanical ventilation</w:t>
            </w:r>
          </w:p>
        </w:tc>
        <w:tc>
          <w:tcPr/>
          <w:p>
            <w:pPr>
              <w:pStyle w:val="Compact"/>
              <w:jc w:val="left"/>
            </w:pPr>
            <w:r>
              <w:t xml:space="preserve">ICD-10-PCS</w:t>
            </w:r>
          </w:p>
        </w:tc>
        <w:tc>
          <w:tcPr/>
          <w:p>
            <w:pPr>
              <w:pStyle w:val="Compact"/>
              <w:jc w:val="left"/>
            </w:pPr>
            <w:r>
              <w:t xml:space="preserve">5A1955Z</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N186</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Z992</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Z4901</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Z4902</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Z4931</w:t>
            </w:r>
          </w:p>
        </w:tc>
      </w:tr>
      <w:tr>
        <w:tc>
          <w:tcPr/>
          <w:p>
            <w:pPr>
              <w:pStyle w:val="Compact"/>
              <w:jc w:val="left"/>
            </w:pPr>
            <w:r>
              <w:t xml:space="preserve">Chronic dialysis dependence</w:t>
            </w:r>
          </w:p>
        </w:tc>
        <w:tc>
          <w:tcPr/>
          <w:p>
            <w:pPr>
              <w:pStyle w:val="Compact"/>
              <w:jc w:val="left"/>
            </w:pPr>
            <w:r>
              <w:t xml:space="preserve">ICD-10-CM</w:t>
            </w:r>
          </w:p>
        </w:tc>
        <w:tc>
          <w:tcPr/>
          <w:p>
            <w:pPr>
              <w:pStyle w:val="Compact"/>
              <w:jc w:val="left"/>
            </w:pPr>
            <w:r>
              <w:t xml:space="preserve">Z4932</w:t>
            </w:r>
          </w:p>
        </w:tc>
      </w:tr>
      <w:tr>
        <w:tc>
          <w:tcPr/>
          <w:p>
            <w:pPr>
              <w:pStyle w:val="Compact"/>
              <w:jc w:val="left"/>
            </w:pPr>
            <w:r>
              <w:t xml:space="preserve">Chronic dialysis dependence</w:t>
            </w:r>
          </w:p>
        </w:tc>
        <w:tc>
          <w:tcPr/>
          <w:p>
            <w:pPr>
              <w:pStyle w:val="Compact"/>
              <w:jc w:val="left"/>
            </w:pPr>
            <w:r>
              <w:t xml:space="preserve">ICD-10-PCS</w:t>
            </w:r>
          </w:p>
        </w:tc>
        <w:tc>
          <w:tcPr/>
          <w:p>
            <w:pPr>
              <w:pStyle w:val="Compact"/>
              <w:jc w:val="left"/>
            </w:pPr>
            <w:r>
              <w:t xml:space="preserve">5A1D60Z</w:t>
            </w:r>
          </w:p>
        </w:tc>
      </w:tr>
      <w:tr>
        <w:tc>
          <w:tcPr/>
          <w:p>
            <w:pPr>
              <w:pStyle w:val="Compact"/>
              <w:jc w:val="left"/>
            </w:pPr>
            <w:r>
              <w:t xml:space="preserve">Chronic dialysis dependence</w:t>
            </w:r>
          </w:p>
        </w:tc>
        <w:tc>
          <w:tcPr/>
          <w:p>
            <w:pPr>
              <w:pStyle w:val="Compact"/>
              <w:jc w:val="left"/>
            </w:pPr>
            <w:r>
              <w:t xml:space="preserve">ICD-10-PCS</w:t>
            </w:r>
          </w:p>
        </w:tc>
        <w:tc>
          <w:tcPr/>
          <w:p>
            <w:pPr>
              <w:pStyle w:val="Compact"/>
              <w:jc w:val="left"/>
            </w:pPr>
            <w:r>
              <w:t xml:space="preserve">5A1D70Z</w:t>
            </w:r>
          </w:p>
        </w:tc>
      </w:tr>
      <w:tr>
        <w:tc>
          <w:tcPr/>
          <w:p>
            <w:pPr>
              <w:pStyle w:val="Compact"/>
              <w:jc w:val="left"/>
            </w:pPr>
            <w:r>
              <w:t xml:space="preserve">Chronic dialysis dependence</w:t>
            </w:r>
          </w:p>
        </w:tc>
        <w:tc>
          <w:tcPr/>
          <w:p>
            <w:pPr>
              <w:pStyle w:val="Compact"/>
              <w:jc w:val="left"/>
            </w:pPr>
            <w:r>
              <w:t xml:space="preserve">ICD-10-PCS</w:t>
            </w:r>
          </w:p>
        </w:tc>
        <w:tc>
          <w:tcPr/>
          <w:p>
            <w:pPr>
              <w:pStyle w:val="Compact"/>
              <w:jc w:val="left"/>
            </w:pPr>
            <w:r>
              <w:t xml:space="preserve">5A1D80Z</w:t>
            </w:r>
          </w:p>
        </w:tc>
      </w:tr>
      <w:tr>
        <w:tc>
          <w:tcPr/>
          <w:p>
            <w:pPr>
              <w:pStyle w:val="Compact"/>
              <w:jc w:val="left"/>
            </w:pPr>
            <w:r>
              <w:t xml:space="preserve">Chronic dialysis dependence</w:t>
            </w:r>
          </w:p>
        </w:tc>
        <w:tc>
          <w:tcPr/>
          <w:p>
            <w:pPr>
              <w:pStyle w:val="Compact"/>
              <w:jc w:val="left"/>
            </w:pPr>
            <w:r>
              <w:t xml:space="preserve">ICD-10-PCS</w:t>
            </w:r>
          </w:p>
        </w:tc>
        <w:tc>
          <w:tcPr/>
          <w:p>
            <w:pPr>
              <w:pStyle w:val="Compact"/>
              <w:jc w:val="left"/>
            </w:pPr>
            <w:r>
              <w:t xml:space="preserve">3E1M39Z</w:t>
            </w:r>
          </w:p>
        </w:tc>
      </w:tr>
    </w:tbl>
    <w:bookmarkEnd w:id="96"/>
    <w:bookmarkEnd w:id="97"/>
    <w:bookmarkStart w:id="99" w:name="sec-verification"/>
    <w:p>
      <w:pPr>
        <w:pStyle w:val="Heading1"/>
      </w:pPr>
      <w:r>
        <w:t xml:space="preserve">7. Verification log</w:t>
      </w:r>
    </w:p>
    <w:p>
      <w:pPr>
        <w:pStyle w:val="FirstParagraph"/>
      </w:pPr>
      <w:r>
        <w:t xml:space="preserve">Checks run automatically during this render:</w:t>
      </w:r>
    </w:p>
    <w:p>
      <w:pPr>
        <w:pStyle w:val="Compact"/>
        <w:numPr>
          <w:ilvl w:val="0"/>
          <w:numId w:val="1006"/>
        </w:numPr>
      </w:pPr>
      <w:r>
        <w:rPr>
          <w:b/>
          <w:bCs/>
        </w:rPr>
        <w:t xml:space="preserve">Design built once on the full cohort, all analyses subset from it</w:t>
      </w:r>
      <w:r>
        <w:t xml:space="preserve">: PASS</w:t>
      </w:r>
    </w:p>
    <w:p>
      <w:pPr>
        <w:pStyle w:val="Compact"/>
        <w:numPr>
          <w:ilvl w:val="0"/>
          <w:numId w:val="1006"/>
        </w:numPr>
      </w:pPr>
      <w:r>
        <w:rPr>
          <w:b/>
          <w:bCs/>
        </w:rPr>
        <w:t xml:space="preserve">Year-unique stratum and cluster identifiers present</w:t>
      </w:r>
      <w:r>
        <w:t xml:space="preserve">: PASS</w:t>
      </w:r>
    </w:p>
    <w:p>
      <w:pPr>
        <w:pStyle w:val="Compact"/>
        <w:numPr>
          <w:ilvl w:val="0"/>
          <w:numId w:val="1006"/>
        </w:numPr>
      </w:pPr>
      <w:r>
        <w:rPr>
          <w:b/>
          <w:bCs/>
        </w:rPr>
        <w:t xml:space="preserve">Factor levels re-applied and validated after the parquet round-trip</w:t>
      </w:r>
      <w:r>
        <w:t xml:space="preserve">: PASS</w:t>
      </w:r>
    </w:p>
    <w:p>
      <w:pPr>
        <w:pStyle w:val="Compact"/>
        <w:numPr>
          <w:ilvl w:val="0"/>
          <w:numId w:val="1006"/>
        </w:numPr>
      </w:pPr>
      <w:r>
        <w:rPr>
          <w:b/>
          <w:bCs/>
        </w:rPr>
        <w:t xml:space="preserve">Odds ratio and risk difference point in the same direction</w:t>
      </w:r>
      <w:r>
        <w:t xml:space="preserve">: PASS – the analysis stops if they disagree</w:t>
      </w:r>
    </w:p>
    <w:p>
      <w:pPr>
        <w:pStyle w:val="Compact"/>
        <w:numPr>
          <w:ilvl w:val="0"/>
          <w:numId w:val="1006"/>
        </w:numPr>
      </w:pPr>
      <w:r>
        <w:rPr>
          <w:b/>
          <w:bCs/>
        </w:rPr>
        <w:t xml:space="preserve">g-computation independently re-computed</w:t>
      </w:r>
      <w:r>
        <w:t xml:space="preserve">: PASS – AGREE (within the pre-specified numerical tolerance)</w:t>
      </w:r>
    </w:p>
    <w:p>
      <w:pPr>
        <w:pStyle w:val="Compact"/>
        <w:numPr>
          <w:ilvl w:val="0"/>
          <w:numId w:val="1006"/>
        </w:numPr>
      </w:pPr>
      <w:r>
        <w:rPr>
          <w:b/>
          <w:bCs/>
        </w:rPr>
        <w:t xml:space="preserve">December discharges, in-hospital deaths and transfers out excluded from index admissions</w:t>
      </w:r>
      <w:r>
        <w:t xml:space="preserve">: PASS – asserted in the cohort build</w:t>
      </w:r>
    </w:p>
    <w:p>
      <w:pPr>
        <w:pStyle w:val="Compact"/>
        <w:numPr>
          <w:ilvl w:val="0"/>
          <w:numId w:val="1006"/>
        </w:numPr>
      </w:pPr>
      <w:r>
        <w:rPr>
          <w:b/>
          <w:bCs/>
        </w:rPr>
        <w:t xml:space="preserve">Two independent readmission-linkage routines agree exactly</w:t>
      </w:r>
      <w:r>
        <w:t xml:space="preserve">: PASS – asserted in the cohort build</w:t>
      </w:r>
    </w:p>
    <w:p>
      <w:pPr>
        <w:pStyle w:val="Compact"/>
        <w:numPr>
          <w:ilvl w:val="0"/>
          <w:numId w:val="1006"/>
        </w:numPr>
      </w:pPr>
      <w:r>
        <w:rPr>
          <w:b/>
          <w:bCs/>
        </w:rPr>
        <w:t xml:space="preserve">Attrition ladder reconciles with the collected cohort</w:t>
      </w:r>
      <w:r>
        <w:t xml:space="preserve">: PASS – asserted in the cohort build</w:t>
      </w:r>
    </w:p>
    <w:bookmarkStart w:id="98" w:name="sec-scan"/>
    <w:p>
      <w:pPr>
        <w:pStyle w:val="Heading2"/>
      </w:pPr>
      <w:r>
        <w:t xml:space="preserve">7.1 Small-cell suppression scan</w:t>
      </w:r>
    </w:p>
    <w:p>
      <w:pPr>
        <w:pStyle w:val="FirstParagraph"/>
      </w:pPr>
      <w:r>
        <w:rPr>
          <w:b/>
          <w:bCs/>
        </w:rPr>
        <w:t xml:space="preserve">ATTENTION.</w:t>
      </w:r>
      <w:r>
        <w:t xml:space="preserve"> </w:t>
      </w:r>
      <w:r>
        <w:t xml:space="preserve">The following tables contain cells below the minimum and must be checked before submission:</w:t>
      </w:r>
    </w:p>
    <w:p>
      <w:pPr>
        <w:pStyle w:val="Compact"/>
        <w:numPr>
          <w:ilvl w:val="0"/>
          <w:numId w:val="1007"/>
        </w:numPr>
      </w:pPr>
      <w:r>
        <w:t xml:space="preserve">Table 1 (baseline):</w:t>
      </w:r>
    </w:p>
    <w:p>
      <w:pPr>
        <w:pStyle w:val="Compact"/>
        <w:numPr>
          <w:ilvl w:val="0"/>
          <w:numId w:val="1007"/>
        </w:numPr>
      </w:pPr>
      <w:r>
        <w:t xml:space="preserve">Table 2 (unadjusted outcomes):</w:t>
      </w:r>
    </w:p>
    <w:p>
      <w:pPr>
        <w:pStyle w:val="Compact"/>
        <w:numPr>
          <w:ilvl w:val="0"/>
          <w:numId w:val="1007"/>
        </w:numPr>
      </w:pPr>
      <w:r>
        <w:t xml:space="preserve">Table 5 (cause of readmission):</w:t>
      </w:r>
    </w:p>
    <w:p>
      <w:pPr>
        <w:pStyle w:val="Compact"/>
        <w:numPr>
          <w:ilvl w:val="0"/>
          <w:numId w:val="1007"/>
        </w:numPr>
      </w:pPr>
      <w:r>
        <w:t xml:space="preserve">Table S3 (temporal trends):</w:t>
      </w:r>
    </w:p>
    <w:p>
      <w:r>
        <w:pict>
          <v:rect style="width:0;height:1.5pt" o:hralign="center" o:hrstd="t" o:hr="t"/>
        </w:pict>
      </w:r>
    </w:p>
    <w:p>
      <w:pPr>
        <w:pStyle w:val="FirstParagraph"/>
      </w:pPr>
      <w:r>
        <w:t xml:space="preserve">Rendered 2026-10-05 00:08 on the real analysis file.</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30" Target="media/rId30.png" /><Relationship Type="http://schemas.openxmlformats.org/officeDocument/2006/relationships/image" Id="rId49" Target="media/rId49.png" /><Relationship Type="http://schemas.openxmlformats.org/officeDocument/2006/relationships/image" Id="rId88" Target="media/rId88.png" /><Relationship Type="http://schemas.openxmlformats.org/officeDocument/2006/relationships/image" Id="rId37" Target="media/rId37.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image" Id="rId46" Target="media/rId46.png" /><Relationship Type="http://schemas.openxmlformats.org/officeDocument/2006/relationships/image" Id="rId76" Target="media/rId76.png" /><Relationship Type="http://schemas.openxmlformats.org/officeDocument/2006/relationships/image" Id="rId53" Target="media/rId53.png" /><Relationship Type="http://schemas.openxmlformats.org/officeDocument/2006/relationships/image" Id="rId70" Target="media/rId70.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Amphetamine-type stimulant use disorder and 30-day readmission after a heart failure hospitalization</dc:title>
  <dc:creator>Statistical analysis: Muhammad Saad</dc:creator>
  <cp:keywords/>
  <dcterms:created xsi:type="dcterms:W3CDTF">2026-10-04T19:08:13Z</dcterms:created>
  <dcterms:modified xsi:type="dcterms:W3CDTF">2026-10-04T19:08:13Z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5 October 2026</vt:lpwstr>
  </property>
  <property fmtid="{D5CDD505-2E9C-101B-9397-08002B2CF9AE}" pid="6" name="date-format">
    <vt:lpwstr>D MMMM YYYY</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Nationwide Readmissions Database, 2016-2022 – statistical report and standalone methods</vt:lpwstr>
  </property>
  <property fmtid="{D5CDD505-2E9C-101B-9397-08002B2CF9AE}" pid="14" name="toc-title">
    <vt:lpwstr>Table of contents</vt:lpwstr>
  </property>
</Properties>
</file>