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6.png" ContentType="image/png"/>
  <Override PartName="/word/media/rId41.png" ContentType="image/png"/>
  <Override PartName="/word/media/rId55.png" ContentType="image/png"/>
  <Override PartName="/word/media/rId32.png" ContentType="image/png"/>
  <Override PartName="/word/media/rId48.png" ContentType="image/png"/>
  <Override PartName="/word/media/rId45.png" ContentType="image/png"/>
  <Override PartName="/word/media/rId61.png" ContentType="image/png"/>
  <Override PartName="/word/media/rId64.png" ContentType="image/png"/>
  <Override PartName="/word/media/rId72.png" ContentType="image/png"/>
  <Override PartName="/word/media/rId68.png" ContentType="image/png"/>
  <Override PartName="/word/media/rId75.png" ContentType="image/png"/>
  <Override PartName="/word/media/rId11.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Precipitant-stratified 30-day readmission after type 2 myocardial infarction</w:t>
      </w:r>
    </w:p>
    <w:p>
      <w:pPr>
        <w:pStyle w:val="Subtitle"/>
      </w:pPr>
      <w:r>
        <w:t xml:space="preserve">Nationwide Readmissions Database, 2018–2022 — statistical report</w:t>
      </w:r>
    </w:p>
    <w:p>
      <w:pPr>
        <w:pStyle w:val="Author"/>
      </w:pPr>
      <w:r>
        <w:t xml:space="preserve">Statistical analysis: Saad</w:t>
      </w:r>
    </w:p>
    <w:p>
      <w:pPr>
        <w:pStyle w:val="Date"/>
      </w:pPr>
      <w:r>
        <w:t xml:space="preserve">2026-09-28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provenance"/>
    <w:p>
      <w:pPr>
        <w:pStyle w:val="Heading1"/>
      </w:pPr>
      <w:r>
        <w:t xml:space="preserve">1. Provenance</w:t>
      </w:r>
    </w:p>
    <w:p>
      <w:pPr>
        <w:pStyle w:val="TableCaption"/>
      </w:pPr>
      <w:r>
        <w:t xml:space="preserve">Run provenance.</w:t>
      </w:r>
    </w:p>
    <w:tbl>
      <w:tblPr>
        <w:tblStyle w:val="Table"/>
        <w:tblW w:type="pct" w:w="5000"/>
        <w:tblLayout w:type="fixed"/>
        <w:tblLook w:firstRow="1" w:lastRow="0" w:firstColumn="0" w:lastColumn="0" w:noHBand="0" w:noVBand="0" w:val="0020"/>
        <w:tblCaption w:val="Run provenance."/>
      </w:tblPr>
      <w:tblGrid>
        <w:gridCol w:w="2640"/>
        <w:gridCol w:w="5280"/>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Study</w:t>
            </w:r>
          </w:p>
        </w:tc>
        <w:tc>
          <w:tcPr/>
          <w:p>
            <w:pPr>
              <w:pStyle w:val="Compact"/>
              <w:jc w:val="left"/>
            </w:pPr>
            <w:r>
              <w:t xml:space="preserve">NRD_Saad_T2MI_Precip</w:t>
            </w:r>
          </w:p>
        </w:tc>
      </w:tr>
      <w:tr>
        <w:tc>
          <w:tcPr/>
          <w:p>
            <w:pPr>
              <w:pStyle w:val="Compact"/>
              <w:jc w:val="left"/>
            </w:pPr>
            <w:r>
              <w:t xml:space="preserve">Run at</w:t>
            </w:r>
          </w:p>
        </w:tc>
        <w:tc>
          <w:tcPr/>
          <w:p>
            <w:pPr>
              <w:pStyle w:val="Compact"/>
              <w:jc w:val="left"/>
            </w:pPr>
            <w:r>
              <w:t xml:space="preserve">2026-09-28 02:35</w:t>
            </w:r>
          </w:p>
        </w:tc>
      </w:tr>
      <w:tr>
        <w:tc>
          <w:tcPr/>
          <w:p>
            <w:pPr>
              <w:pStyle w:val="Compact"/>
              <w:jc w:val="left"/>
            </w:pPr>
            <w:r>
              <w:t xml:space="preserve">R version</w:t>
            </w:r>
          </w:p>
        </w:tc>
        <w:tc>
          <w:tcPr/>
          <w:p>
            <w:pPr>
              <w:pStyle w:val="Compact"/>
              <w:jc w:val="left"/>
            </w:pPr>
            <w:r>
              <w:t xml:space="preserve">R version 4.6.1 (2026-06-24 ucrt)</w:t>
            </w:r>
          </w:p>
        </w:tc>
      </w:tr>
      <w:tr>
        <w:tc>
          <w:tcPr/>
          <w:p>
            <w:pPr>
              <w:pStyle w:val="Compact"/>
              <w:jc w:val="left"/>
            </w:pPr>
            <w:r>
              <w:t xml:space="preserve">survey package</w:t>
            </w:r>
          </w:p>
        </w:tc>
        <w:tc>
          <w:tcPr/>
          <w:p>
            <w:pPr>
              <w:pStyle w:val="Compact"/>
              <w:jc w:val="left"/>
            </w:pPr>
            <w:r>
              <w:t xml:space="preserve">4.5</w:t>
            </w:r>
          </w:p>
        </w:tc>
      </w:tr>
      <w:tr>
        <w:tc>
          <w:tcPr/>
          <w:p>
            <w:pPr>
              <w:pStyle w:val="Compact"/>
              <w:jc w:val="left"/>
            </w:pPr>
            <w:r>
              <w:t xml:space="preserve">marginaleffects package</w:t>
            </w:r>
          </w:p>
        </w:tc>
        <w:tc>
          <w:tcPr/>
          <w:p>
            <w:pPr>
              <w:pStyle w:val="Compact"/>
              <w:jc w:val="left"/>
            </w:pPr>
            <w:r>
              <w:t xml:space="preserve">1.0.0</w:t>
            </w:r>
          </w:p>
        </w:tc>
      </w:tr>
      <w:tr>
        <w:tc>
          <w:tcPr/>
          <w:p>
            <w:pPr>
              <w:pStyle w:val="Compact"/>
              <w:jc w:val="left"/>
            </w:pPr>
            <w:r>
              <w:t xml:space="preserve">Platform</w:t>
            </w:r>
          </w:p>
        </w:tc>
        <w:tc>
          <w:tcPr/>
          <w:p>
            <w:pPr>
              <w:pStyle w:val="Compact"/>
              <w:jc w:val="left"/>
            </w:pPr>
            <w:r>
              <w:t xml:space="preserve">x86_64-w64-mingw32</w:t>
            </w:r>
          </w:p>
        </w:tc>
      </w:tr>
      <w:tr>
        <w:tc>
          <w:tcPr/>
          <w:p>
            <w:pPr>
              <w:pStyle w:val="Compact"/>
              <w:jc w:val="left"/>
            </w:pPr>
            <w:r>
              <w:t xml:space="preserve">Data</w:t>
            </w:r>
          </w:p>
        </w:tc>
        <w:tc>
          <w:tcPr/>
          <w:p>
            <w:pPr>
              <w:pStyle w:val="Compact"/>
              <w:jc w:val="left"/>
            </w:pPr>
            <w:r>
              <w:t xml:space="preserve">HCUP Nationwide Readmissions Database 2018-2022</w:t>
            </w:r>
          </w:p>
        </w:tc>
      </w:tr>
    </w:tbl>
    <w:bookmarkEnd w:id="9"/>
    <w:bookmarkStart w:id="16" w:name="methods-summary"/>
    <w:p>
      <w:pPr>
        <w:pStyle w:val="Heading1"/>
      </w:pPr>
      <w:r>
        <w:t xml:space="preserve">2. Methods summary</w:t>
      </w:r>
    </w:p>
    <w:bookmarkStart w:id="10" w:name="cohort"/>
    <w:p>
      <w:pPr>
        <w:pStyle w:val="Heading2"/>
      </w:pPr>
      <w:r>
        <w:t xml:space="preserve">2.1 Cohort</w:t>
      </w:r>
    </w:p>
    <w:p>
      <w:pPr>
        <w:pStyle w:val="FirstParagraph"/>
      </w:pPr>
      <w:r>
        <w:t xml:space="preserve">Index admissions are</w:t>
      </w:r>
      <w:r>
        <w:t xml:space="preserve"> </w:t>
      </w:r>
      <w:r>
        <w:rPr>
          <w:b/>
          <w:bCs/>
        </w:rPr>
        <w:t xml:space="preserve">any-listed</w:t>
      </w:r>
      <w:r>
        <w:t xml:space="preserve"> </w:t>
      </w:r>
      <w:r>
        <w:t xml:space="preserve">type 2 myocardial infarction (ICD-10-CM</w:t>
      </w:r>
      <w:r>
        <w:t xml:space="preserve"> </w:t>
      </w:r>
      <w:r>
        <w:rPr>
          <w:b/>
          <w:bCs/>
        </w:rPr>
        <w:t xml:space="preserve">I21.A1</w:t>
      </w:r>
      <w:r>
        <w:t xml:space="preserve">) among adults, discharged 2018–2022. I21.A1 is overwhelmingly a</w:t>
      </w:r>
      <w:r>
        <w:t xml:space="preserve"> </w:t>
      </w:r>
      <w:r>
        <w:rPr>
          <w:i/>
          <w:iCs/>
        </w:rPr>
        <w:t xml:space="preserve">secondary</w:t>
      </w:r>
      <w:r>
        <w:t xml:space="preserve"> </w:t>
      </w:r>
      <w:r>
        <w:t xml:space="preserve">diagnosis, which is the clinically correct picture for a</w:t>
      </w:r>
      <w:r>
        <w:t xml:space="preserve"> </w:t>
      </w:r>
      <w:r>
        <w:t xml:space="preserve">supply–demand infarction, so the any-listed definition is mandatory; a</w:t>
      </w:r>
      <w:r>
        <w:t xml:space="preserve"> </w:t>
      </w:r>
      <w:r>
        <w:t xml:space="preserve">principal-diagnosis-only cohort is sensitivity S5. The window starts in 2018</w:t>
      </w:r>
      <w:r>
        <w:t xml:space="preserve"> </w:t>
      </w:r>
      <w:r>
        <w:t xml:space="preserve">because I21.A1 became effective on 1 October 2017; 2016 has no I21.A1 records</w:t>
      </w:r>
      <w:r>
        <w:t xml:space="preserve"> </w:t>
      </w:r>
      <w:r>
        <w:t xml:space="preserve">and 2017 has one quarter, which would manufacture a spurious trend. Project 1</w:t>
      </w:r>
      <w:r>
        <w:t xml:space="preserve"> </w:t>
      </w:r>
      <w:r>
        <w:t xml:space="preserve">reads only the 2018–2022 files and asserts that no other year is present.</w:t>
      </w:r>
    </w:p>
    <w:p>
      <w:pPr>
        <w:pStyle w:val="BodyText"/>
      </w:pPr>
      <w:r>
        <w:t xml:space="preserve">Excluded: records also carrying</w:t>
      </w:r>
      <w:r>
        <w:t xml:space="preserve"> </w:t>
      </w:r>
      <w:r>
        <w:rPr>
          <w:b/>
          <w:bCs/>
        </w:rPr>
        <w:t xml:space="preserve">I21.A9</w:t>
      </w:r>
      <w:r>
        <w:t xml:space="preserve"> </w:t>
      </w:r>
      <w:r>
        <w:t xml:space="preserve">(other MI type) and records carrying</w:t>
      </w:r>
      <w:r>
        <w:t xml:space="preserve"> </w:t>
      </w:r>
      <w:r>
        <w:rPr>
          <w:b/>
          <w:bCs/>
        </w:rPr>
        <w:t xml:space="preserve">both</w:t>
      </w:r>
      <w:r>
        <w:t xml:space="preserve"> </w:t>
      </w:r>
      <w:r>
        <w:t xml:space="preserve">a type 1 and a type 2 code (uninterpretable as to which event drove the</w:t>
      </w:r>
      <w:r>
        <w:t xml:space="preserve"> </w:t>
      </w:r>
      <w:r>
        <w:t xml:space="preserve">admission; 28,316 such records, reported as a finding in its own</w:t>
      </w:r>
      <w:r>
        <w:t xml:space="preserve"> </w:t>
      </w:r>
      <w:r>
        <w:t xml:space="preserve">right).</w:t>
      </w:r>
    </w:p>
    <w:p>
      <w:pPr>
        <w:pStyle w:val="BodyText"/>
      </w:pPr>
      <w:r>
        <w:rPr>
          <w:b/>
          <w:bCs/>
        </w:rPr>
        <w:t xml:space="preserve">Type 1 versus type 2 comparison (secondary aim 2) — descriptive and</w:t>
      </w:r>
      <w:r>
        <w:rPr>
          <w:b/>
          <w:bCs/>
        </w:rPr>
        <w:t xml:space="preserve"> </w:t>
      </w:r>
      <w:r>
        <w:rPr>
          <w:b/>
          <w:bCs/>
        </w:rPr>
        <w:t xml:space="preserve">explicitly NON-CAUSAL.</w:t>
      </w:r>
      <w:r>
        <w:t xml:space="preserve"> </w:t>
      </w:r>
      <w:r>
        <w:t xml:space="preserve">The type 1 comparator (any-listed I21.0–I21.4, I21.9</w:t>
      </w:r>
      <w:r>
        <w:t xml:space="preserve"> </w:t>
      </w:r>
      <w:r>
        <w:t xml:space="preserve">or I22.x without I21.A1, same years and exclusions, linked for 30-day</w:t>
      </w:r>
      <w:r>
        <w:t xml:space="preserve"> </w:t>
      </w:r>
      <w:r>
        <w:t xml:space="preserve">readmission in the same pass) is used only to</w:t>
      </w:r>
      <w:r>
        <w:t xml:space="preserve"> </w:t>
      </w:r>
      <w:r>
        <w:rPr>
          <w:i/>
          <w:iCs/>
        </w:rPr>
        <w:t xml:space="preserve">describe</w:t>
      </w:r>
      <w:r>
        <w:t xml:space="preserve"> </w:t>
      </w:r>
      <w:r>
        <w:t xml:space="preserve">how the two coded</w:t>
      </w:r>
      <w:r>
        <w:t xml:space="preserve"> </w:t>
      </w:r>
      <w:r>
        <w:t xml:space="preserve">populations differ. The two are not competing treatments, and no causal</w:t>
      </w:r>
      <w:r>
        <w:t xml:space="preserve"> </w:t>
      </w:r>
      <w:r>
        <w:t xml:space="preserve">contrast is estimated or implied.</w:t>
      </w:r>
    </w:p>
    <w:bookmarkEnd w:id="10"/>
    <w:bookmarkStart w:id="14" w:name="exposure-the-precipitant-hierarchy"/>
    <w:p>
      <w:pPr>
        <w:pStyle w:val="Heading2"/>
      </w:pPr>
      <w:r>
        <w:t xml:space="preserve">2.2 Exposure: the precipitant hierarchy</w:t>
      </w:r>
    </w:p>
    <w:p>
      <w:pPr>
        <w:pStyle w:val="FirstParagraph"/>
      </w:pPr>
      <w:r>
        <w:t xml:space="preserve">Eight mutually exclusive and exhaustive classes, assigned by a hierarchy</w:t>
      </w:r>
      <w:r>
        <w:t xml:space="preserve"> </w:t>
      </w:r>
      <w:r>
        <w:rPr>
          <w:b/>
          <w:bCs/>
        </w:rPr>
        <w:t xml:space="preserve">frozen before any result was seen</w:t>
      </w:r>
      <w:r>
        <w:t xml:space="preserve"> </w:t>
      </w:r>
      <w:r>
        <w:t xml:space="preserve">(SAP B3.2): (1) sepsis or severe</w:t>
      </w:r>
      <w:r>
        <w:t xml:space="preserve"> </w:t>
      </w:r>
      <w:r>
        <w:t xml:space="preserve">infection; (2) acute GI bleed or blood-loss anaemia; (3) hypertensive</w:t>
      </w:r>
      <w:r>
        <w:t xml:space="preserve"> </w:t>
      </w:r>
      <w:r>
        <w:t xml:space="preserve">emergency; (4) tachyarrhythmia; (5) acute respiratory failure; (6) hypovolaemia</w:t>
      </w:r>
      <w:r>
        <w:t xml:space="preserve"> </w:t>
      </w:r>
      <w:r>
        <w:t xml:space="preserve">or non-cardiogenic shock; (7) perioperative; (8) none of the above. Ranks 1–6</w:t>
      </w:r>
      <w:r>
        <w:t xml:space="preserve"> </w:t>
      </w:r>
      <w:r>
        <w:t xml:space="preserve">are tested on the</w:t>
      </w:r>
      <w:r>
        <w:t xml:space="preserve"> </w:t>
      </w:r>
      <w:r>
        <w:rPr>
          <w:b/>
          <w:bCs/>
        </w:rPr>
        <w:t xml:space="preserve">principal diagnosis first</w:t>
      </w:r>
      <w:r>
        <w:t xml:space="preserve">, then on any secondary</w:t>
      </w:r>
      <w:r>
        <w:t xml:space="preserve"> </w:t>
      </w:r>
      <w:r>
        <w:t xml:space="preserve">diagnosis; rank 7 is procedure-based; rank 8 is the residual. The SAP asked</w:t>
      </w:r>
      <w:r>
        <w:t xml:space="preserve"> </w:t>
      </w:r>
      <w:r>
        <w:t xml:space="preserve">for</w:t>
      </w:r>
      <w:r>
        <w:t xml:space="preserve"> </w:t>
      </w:r>
      <w:r>
        <w:rPr>
          <w:i/>
          <w:iCs/>
        </w:rPr>
        <w:t xml:space="preserve">present-on-admission-positive</w:t>
      </w:r>
      <w:r>
        <w:t xml:space="preserve"> </w:t>
      </w:r>
      <w:r>
        <w:t xml:space="preserve">secondary diagnoses;</w:t>
      </w:r>
      <w:r>
        <w:t xml:space="preserve"> </w:t>
      </w:r>
      <w:r>
        <w:rPr>
          <w:b/>
          <w:bCs/>
        </w:rPr>
        <w:t xml:space="preserve">no NRD file carries</w:t>
      </w:r>
      <w:r>
        <w:rPr>
          <w:b/>
          <w:bCs/>
        </w:rPr>
        <w:t xml:space="preserve"> </w:t>
      </w:r>
      <w:r>
        <w:rPr>
          <w:b/>
          <w:bCs/>
        </w:rPr>
        <w:t xml:space="preserve">a POA indicator</w:t>
      </w:r>
      <w:r>
        <w:t xml:space="preserve">, so all secondary diagnoses are used and a complication that</w:t>
      </w:r>
      <w:r>
        <w:t xml:space="preserve"> </w:t>
      </w:r>
      <w:r>
        <w:t xml:space="preserve">arose after admission cannot be distinguished from a precipitant (a stated</w:t>
      </w:r>
      <w:r>
        <w:t xml:space="preserve"> </w:t>
      </w:r>
      <w:r>
        <w:t xml:space="preserve">limitation). Reference class:</w:t>
      </w:r>
      <w:r>
        <w:t xml:space="preserve"> </w:t>
      </w:r>
      <w:r>
        <w:rPr>
          <w:b/>
          <w:bCs/>
        </w:rPr>
        <w:t xml:space="preserve">Sepsis or severe infection</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C:\Users\saada\AppData\Local\Programs\Positron\resources\app\quarto\share\formats\docx\important.png" id="1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Definitional decisions a cardiologist reviewer will check</w:t>
            </w:r>
          </w:p>
        </w:tc>
      </w:tr>
      <w:tr>
        <w:trPr>
          <w:cantSplit/>
        </w:trPr>
        <w:tc>
          <w:tcPr>
            <w:tcMar>
              <w:top w:w="108" w:type="dxa"/>
              <w:bottom w:w="108" w:type="dxa"/>
            </w:tcMar>
          </w:tcPr>
          <w:p>
            <w:pPr>
              <w:pStyle w:val="BodyText"/>
            </w:pPr>
            <w:pPr>
              <w:spacing w:before="16"/>
            </w:pPr>
            <w:r>
              <w:rPr>
                <w:b/>
                <w:bCs/>
              </w:rPr>
              <w:t xml:space="preserve">Cardiogenic shock (R57.0) is not a precipitant.</w:t>
            </w:r>
            <w:r>
              <w:t xml:space="preserve"> </w:t>
            </w:r>
            <w:r>
              <w:t xml:space="preserve">It is a consequence of the</w:t>
            </w:r>
            <w:r>
              <w:t xml:space="preserve"> </w:t>
            </w:r>
            <w:r>
              <w:t xml:space="preserve">infarction and is entered as a covariate.</w:t>
            </w:r>
          </w:p>
          <w:p>
            <w:pPr>
              <w:pStyle w:val="BodyText"/>
            </w:pPr>
            <w:r>
              <w:rPr>
                <w:b/>
                <w:bCs/>
              </w:rPr>
              <w:t xml:space="preserve">Hypertensive emergency is I16.1 and I16.9 only.</w:t>
            </w:r>
            <w:r>
              <w:t xml:space="preserve"> </w:t>
            </w:r>
            <w:r>
              <w:t xml:space="preserve">I16.0 is hypertensive</w:t>
            </w:r>
            <w:r>
              <w:t xml:space="preserve"> </w:t>
            </w:r>
            <w:r>
              <w:rPr>
                <w:i/>
                <w:iCs/>
              </w:rPr>
              <w:t xml:space="preserve">urgency</w:t>
            </w:r>
            <w:r>
              <w:t xml:space="preserve"> </w:t>
            </w:r>
            <w:r>
              <w:t xml:space="preserve">and is never a precipitant in any rank (including rank 7, which is</w:t>
            </w:r>
            <w:r>
              <w:t xml:space="preserve"> </w:t>
            </w:r>
            <w:r>
              <w:t xml:space="preserve">procedure-based); 39,889 index admissions carry I16.0 and are</w:t>
            </w:r>
            <w:r>
              <w:t xml:space="preserve"> </w:t>
            </w:r>
            <w:r>
              <w:t xml:space="preserve">reported only as a count.</w:t>
            </w:r>
          </w:p>
          <w:p>
            <w:pPr>
              <w:pStyle w:val="BodyText"/>
            </w:pPr>
            <w:pPr>
              <w:spacing w:after="16"/>
            </w:pPr>
            <w:r>
              <w:rPr>
                <w:b/>
                <w:bCs/>
              </w:rPr>
              <w:t xml:space="preserve">Perioperative = an ICD-10-PCS Section 0 (Medical and Surgical) procedure with</w:t>
            </w:r>
            <w:r>
              <w:rPr>
                <w:b/>
                <w:bCs/>
              </w:rPr>
              <w:t xml:space="preserve"> </w:t>
            </w:r>
            <w:r>
              <w:rPr>
                <w:b/>
                <w:bCs/>
              </w:rPr>
              <w:t xml:space="preserve">approach 0 (open) or 4 (percutaneous endoscopic).</w:t>
            </w:r>
            <w:r>
              <w:t xml:space="preserve"> </w:t>
            </w:r>
            <w:r>
              <w:t xml:space="preserve">Neither the NRD nor the</w:t>
            </w:r>
            <w:r>
              <w:t xml:space="preserve"> </w:t>
            </w:r>
            <w:r>
              <w:t xml:space="preserve">AHRQ PRCCSR file carries an operating-room flag. The received rule also</w:t>
            </w:r>
            <w:r>
              <w:t xml:space="preserve"> </w:t>
            </w:r>
            <w:r>
              <w:t xml:space="preserve">admitted natural-opening approaches (7/8/F), which capture bedside urinary</w:t>
            </w:r>
            <w:r>
              <w:t xml:space="preserve"> </w:t>
            </w:r>
            <w:r>
              <w:t xml:space="preserve">catheters, feeding tubes, intubation and diagnostic endoscopy; under that rule</w:t>
            </w:r>
            <w:r>
              <w:t xml:space="preserve"> </w:t>
            </w:r>
            <w:r>
              <w:t xml:space="preserve">22,674 admissions would be perioperative</w:t>
            </w:r>
            <w:r>
              <w:t xml:space="preserve"> </w:t>
            </w:r>
            <w:r>
              <w:t xml:space="preserve">versus 11,533 under the rule used (Table S0b).</w:t>
            </w:r>
          </w:p>
          <w:p/>
        </w:tc>
      </w:tr>
    </w:tbl>
    <w:p>
      <w:pPr>
        <w:pStyle w:val="BodyText"/>
      </w:pPr>
      <w:r>
        <w:t xml:space="preserve">The raw co-occurrence of the classes</w:t>
      </w:r>
      <w:r>
        <w:t xml:space="preserve"> </w:t>
      </w:r>
      <w:r>
        <w:rPr>
          <w:i/>
          <w:iCs/>
        </w:rPr>
        <w:t xml:space="preserve">before</w:t>
      </w:r>
      <w:r>
        <w:t xml:space="preserve"> </w:t>
      </w:r>
      <w:r>
        <w:t xml:space="preserve">the hierarchy is Table S1b.</w:t>
      </w:r>
    </w:p>
    <w:bookmarkEnd w:id="14"/>
    <w:bookmarkStart w:id="15" w:name="outcome-design-and-estimation"/>
    <w:p>
      <w:pPr>
        <w:pStyle w:val="Heading2"/>
      </w:pPr>
      <w:r>
        <w:t xml:space="preserve">2.3 Outcome, design and estimation</w:t>
      </w:r>
    </w:p>
    <w:p>
      <w:pPr>
        <w:pStyle w:val="FirstParagraph"/>
      </w:pPr>
      <w:r>
        <w:t xml:space="preserve">Thirty-day all-cause readmission, linked within calendar year; December</w:t>
      </w:r>
      <w:r>
        <w:t xml:space="preserve"> </w:t>
      </w:r>
      <w:r>
        <w:t xml:space="preserve">discharges, in-hospital deaths and transfers out are excluded from the index</w:t>
      </w:r>
      <w:r>
        <w:t xml:space="preserve"> </w:t>
      </w:r>
      <w:r>
        <w:t xml:space="preserve">cohort. Design-based throughout:</w:t>
      </w:r>
      <w:r>
        <w:t xml:space="preserve"> </w:t>
      </w:r>
      <w:r>
        <w:rPr>
          <w:rStyle w:val="VerbatimChar"/>
        </w:rPr>
        <w:t xml:space="preserve">DISCWT</w:t>
      </w:r>
      <w:r>
        <w:t xml:space="preserve"> </w:t>
      </w:r>
      <w:r>
        <w:t xml:space="preserve">weights, year-unique strata and</w:t>
      </w:r>
      <w:r>
        <w:t xml:space="preserve"> </w:t>
      </w:r>
      <w:r>
        <w:t xml:space="preserve">clusters integer-coded, the design built</w:t>
      </w:r>
      <w:r>
        <w:t xml:space="preserve"> </w:t>
      </w:r>
      <w:r>
        <w:rPr>
          <w:b/>
          <w:bCs/>
        </w:rPr>
        <w:t xml:space="preserve">once</w:t>
      </w:r>
      <w:r>
        <w:t xml:space="preserve"> </w:t>
      </w:r>
      <w:r>
        <w:t xml:space="preserve">on the full cohort and every</w:t>
      </w:r>
      <w:r>
        <w:t xml:space="preserve"> </w:t>
      </w:r>
      <w:r>
        <w:t xml:space="preserve">analysis a</w:t>
      </w:r>
      <w:r>
        <w:t xml:space="preserve"> </w:t>
      </w:r>
      <w:r>
        <w:rPr>
          <w:rStyle w:val="VerbatimChar"/>
        </w:rPr>
        <w:t xml:space="preserve">subset()</w:t>
      </w:r>
      <w:r>
        <w:t xml:space="preserve"> </w:t>
      </w:r>
      <w:r>
        <w:t xml:space="preserve">of it; singleton strata centred. Primary model:</w:t>
      </w:r>
      <w:r>
        <w:t xml:space="preserve"> </w:t>
      </w:r>
      <w:r>
        <w:t xml:space="preserve">survey-weighted logistic regression with age as a restricted cubic spline;</w:t>
      </w:r>
      <w:r>
        <w:t xml:space="preserve"> </w:t>
      </w:r>
      <w:r>
        <w:t xml:space="preserve">the precipitant block is tested</w:t>
      </w:r>
      <w:r>
        <w:t xml:space="preserve"> </w:t>
      </w:r>
      <w:r>
        <w:rPr>
          <w:b/>
          <w:bCs/>
        </w:rPr>
        <w:t xml:space="preserve">jointly first</w:t>
      </w:r>
      <w:r>
        <w:t xml:space="preserve">, then seven pairwise</w:t>
      </w:r>
      <w:r>
        <w:t xml:space="preserve"> </w:t>
      </w:r>
      <w:r>
        <w:t xml:space="preserve">contrasts versus sepsis. Adjusted absolute risks by g-computation with</w:t>
      </w:r>
      <w:r>
        <w:t xml:space="preserve"> </w:t>
      </w:r>
      <w:r>
        <w:t xml:space="preserve">delta-method intervals; overlap weighting (ATO), applied pairwise, is the</w:t>
      </w:r>
      <w:r>
        <w:t xml:space="preserve"> </w:t>
      </w:r>
      <w:r>
        <w:t xml:space="preserve">co-estimator. Costs in 2022 US dollars using CPI-U, All Items, U.S. city average, not seasonally adjusted, annual average</w:t>
      </w:r>
      <w:r>
        <w:t xml:space="preserve"> </w:t>
      </w:r>
      <w:r>
        <w:t xml:space="preserve">(CUUR0000SA0). Nothing representing 1–10 unweighted</w:t>
      </w:r>
      <w:r>
        <w:t xml:space="preserve"> </w:t>
      </w:r>
      <w:r>
        <w:t xml:space="preserve">discharges is reported, and complementary suppression prevents recovery by</w:t>
      </w:r>
      <w:r>
        <w:t xml:space="preserve"> </w:t>
      </w:r>
      <w:r>
        <w:t xml:space="preserve">subtraction (</w:t>
      </w:r>
      <w:hyperlink w:anchor="sec-suppression">
        <w:r>
          <w:rPr>
            <w:rStyle w:val="Hyperlink"/>
          </w:rPr>
          <w:t xml:space="preserve">Section 16</w:t>
        </w:r>
      </w:hyperlink>
      <w:r>
        <w:t xml:space="preserve">).</w:t>
      </w:r>
    </w:p>
    <w:p>
      <w:pPr>
        <w:pStyle w:val="BodyText"/>
      </w:pPr>
      <w:r>
        <w:t xml:space="preserve">The following declared factor levels had no observations in the analytic cohort and were dropped before modelling, so that they could not appear as silent NA coefficients: Hospital bed size: Missing/other; Hospital location and teaching status: Missing/other; Hospital ownership: Missing/other. No reference category was affected.</w:t>
      </w:r>
    </w:p>
    <w:p>
      <w:pPr>
        <w:pStyle w:val="BodyText"/>
      </w:pPr>
      <w:r>
        <w:t xml:space="preserve">The Nationwide Readmissions Database contains de-identified, publicly available administrative data and this analysis was therefore determined to be non-human-subjects research and exempt from institutional review board review. The HCUP Data Use Agreement was executed before any data were accessed.</w:t>
      </w:r>
    </w:p>
    <w:bookmarkEnd w:id="15"/>
    <w:bookmarkEnd w:id="16"/>
    <w:bookmarkStart w:id="20" w:name="cohort-construction"/>
    <w:p>
      <w:pPr>
        <w:pStyle w:val="Heading1"/>
      </w:pPr>
      <w:r>
        <w:t xml:space="preserve">3. Cohort construction</w:t>
      </w:r>
    </w:p>
    <w:p>
      <w:pPr>
        <w:pStyle w:val="TableCaption"/>
      </w:pPr>
      <w:r>
        <w:t xml:space="preserve">Table S0. Attrition from all NRD discharges to the analytic cohort (any step excluding 1-10 records is merged with its neighbour).</w:t>
      </w:r>
    </w:p>
    <w:tbl>
      <w:tblPr>
        <w:tblStyle w:val="Table"/>
        <w:tblW w:type="pct" w:w="5000"/>
        <w:tblLayout w:type="fixed"/>
        <w:tblLook w:firstRow="1" w:lastRow="0" w:firstColumn="0" w:lastColumn="0" w:noHBand="0" w:noVBand="0" w:val="0020"/>
        <w:tblCaption w:val="Table S0. Attrition from all NRD discharges to the analytic cohort (any step excluding 1-10 records is merged with its neighbour)."/>
      </w:tblPr>
      <w:tblGrid>
        <w:gridCol w:w="291"/>
        <w:gridCol w:w="4484"/>
        <w:gridCol w:w="1863"/>
        <w:gridCol w:w="1281"/>
      </w:tblGrid>
      <w:tr>
        <w:trPr>
          <w:tblHeader w:val="on"/>
        </w:trPr>
        <w:tc>
          <w:tcPr/>
          <w:p>
            <w:pPr>
              <w:pStyle w:val="Compact"/>
              <w:jc w:val="left"/>
            </w:pPr>
            <w:r>
              <w:t xml:space="preserve">Step</w:t>
            </w:r>
          </w:p>
        </w:tc>
        <w:tc>
          <w:tcPr/>
          <w:p>
            <w:pPr>
              <w:pStyle w:val="Compact"/>
              <w:jc w:val="left"/>
            </w:pPr>
            <w:r>
              <w:t xml:space="preserve">Cohort definition step</w:t>
            </w:r>
          </w:p>
        </w:tc>
        <w:tc>
          <w:tcPr/>
          <w:p>
            <w:pPr>
              <w:pStyle w:val="Compact"/>
              <w:jc w:val="left"/>
            </w:pPr>
            <w:r>
              <w:t xml:space="preserve">Unweighted discharges remaining</w:t>
            </w:r>
          </w:p>
        </w:tc>
        <w:tc>
          <w:tcPr/>
          <w:p>
            <w:pPr>
              <w:pStyle w:val="Compact"/>
              <w:jc w:val="left"/>
            </w:pPr>
            <w:r>
              <w:t xml:space="preserve">Excluded at this step</w:t>
            </w:r>
          </w:p>
        </w:tc>
      </w:tr>
      <w:tr>
        <w:tc>
          <w:tcPr/>
          <w:p>
            <w:pPr>
              <w:pStyle w:val="Compact"/>
              <w:jc w:val="left"/>
            </w:pPr>
            <w:r>
              <w:t xml:space="preserve">0</w:t>
            </w:r>
          </w:p>
        </w:tc>
        <w:tc>
          <w:tcPr/>
          <w:p>
            <w:pPr>
              <w:pStyle w:val="Compact"/>
              <w:jc w:val="left"/>
            </w:pPr>
            <w:r>
              <w:t xml:space="preserve">All NRD discharges, 2018-2022</w:t>
            </w:r>
          </w:p>
        </w:tc>
        <w:tc>
          <w:tcPr/>
          <w:p>
            <w:pPr>
              <w:pStyle w:val="Compact"/>
              <w:jc w:val="left"/>
            </w:pPr>
            <w:r>
              <w:t xml:space="preserve">85,834,822</w:t>
            </w:r>
          </w:p>
        </w:tc>
        <w:tc>
          <w:tcPr/>
          <w:p>
            <w:pPr>
              <w:pStyle w:val="Compact"/>
            </w:pPr>
          </w:p>
        </w:tc>
      </w:tr>
      <w:tr>
        <w:tc>
          <w:tcPr/>
          <w:p>
            <w:pPr>
              <w:pStyle w:val="Compact"/>
              <w:jc w:val="left"/>
            </w:pPr>
            <w:r>
              <w:t xml:space="preserve">1</w:t>
            </w:r>
          </w:p>
        </w:tc>
        <w:tc>
          <w:tcPr/>
          <w:p>
            <w:pPr>
              <w:pStyle w:val="Compact"/>
              <w:jc w:val="left"/>
            </w:pPr>
            <w:r>
              <w:t xml:space="preserve">Any-listed type 2 myocardial infarction (I21.A1)</w:t>
            </w:r>
          </w:p>
        </w:tc>
        <w:tc>
          <w:tcPr/>
          <w:p>
            <w:pPr>
              <w:pStyle w:val="Compact"/>
              <w:jc w:val="left"/>
            </w:pPr>
            <w:r>
              <w:t xml:space="preserve">1,126,920</w:t>
            </w:r>
          </w:p>
        </w:tc>
        <w:tc>
          <w:tcPr/>
          <w:p>
            <w:pPr>
              <w:pStyle w:val="Compact"/>
              <w:jc w:val="left"/>
            </w:pPr>
            <w:r>
              <w:t xml:space="preserve">84,707,902</w:t>
            </w:r>
          </w:p>
        </w:tc>
      </w:tr>
      <w:tr>
        <w:tc>
          <w:tcPr/>
          <w:p>
            <w:pPr>
              <w:pStyle w:val="Compact"/>
              <w:jc w:val="left"/>
            </w:pPr>
            <w:r>
              <w:t xml:space="preserve">2</w:t>
            </w:r>
          </w:p>
        </w:tc>
        <w:tc>
          <w:tcPr/>
          <w:p>
            <w:pPr>
              <w:pStyle w:val="Compact"/>
              <w:jc w:val="left"/>
            </w:pPr>
            <w:r>
              <w:t xml:space="preserve">Excluding records also carrying I21.A9 (other MI type)</w:t>
            </w:r>
          </w:p>
        </w:tc>
        <w:tc>
          <w:tcPr/>
          <w:p>
            <w:pPr>
              <w:pStyle w:val="Compact"/>
              <w:jc w:val="left"/>
            </w:pPr>
            <w:r>
              <w:t xml:space="preserve">1,126,802</w:t>
            </w:r>
          </w:p>
        </w:tc>
        <w:tc>
          <w:tcPr/>
          <w:p>
            <w:pPr>
              <w:pStyle w:val="Compact"/>
              <w:jc w:val="left"/>
            </w:pPr>
            <w:r>
              <w:t xml:space="preserve">118</w:t>
            </w:r>
          </w:p>
        </w:tc>
      </w:tr>
      <w:tr>
        <w:tc>
          <w:tcPr/>
          <w:p>
            <w:pPr>
              <w:pStyle w:val="Compact"/>
              <w:jc w:val="left"/>
            </w:pPr>
            <w:r>
              <w:t xml:space="preserve">3</w:t>
            </w:r>
          </w:p>
        </w:tc>
        <w:tc>
          <w:tcPr/>
          <w:p>
            <w:pPr>
              <w:pStyle w:val="Compact"/>
              <w:jc w:val="left"/>
            </w:pPr>
            <w:r>
              <w:t xml:space="preserve">Excluding records also carrying a type 1 MI code (I21.0-I21.4, I21.9, I22.x)</w:t>
            </w:r>
          </w:p>
        </w:tc>
        <w:tc>
          <w:tcPr/>
          <w:p>
            <w:pPr>
              <w:pStyle w:val="Compact"/>
              <w:jc w:val="left"/>
            </w:pPr>
            <w:r>
              <w:t xml:space="preserve">1,098,486</w:t>
            </w:r>
          </w:p>
        </w:tc>
        <w:tc>
          <w:tcPr/>
          <w:p>
            <w:pPr>
              <w:pStyle w:val="Compact"/>
              <w:jc w:val="left"/>
            </w:pPr>
            <w:r>
              <w:t xml:space="preserve">28,316</w:t>
            </w:r>
          </w:p>
        </w:tc>
      </w:tr>
      <w:tr>
        <w:tc>
          <w:tcPr/>
          <w:p>
            <w:pPr>
              <w:pStyle w:val="Compact"/>
              <w:jc w:val="left"/>
            </w:pPr>
            <w:r>
              <w:t xml:space="preserve">4</w:t>
            </w:r>
          </w:p>
        </w:tc>
        <w:tc>
          <w:tcPr/>
          <w:p>
            <w:pPr>
              <w:pStyle w:val="Compact"/>
              <w:jc w:val="left"/>
            </w:pPr>
            <w:r>
              <w:t xml:space="preserve">Age &gt;= 18 years</w:t>
            </w:r>
          </w:p>
        </w:tc>
        <w:tc>
          <w:tcPr/>
          <w:p>
            <w:pPr>
              <w:pStyle w:val="Compact"/>
              <w:jc w:val="left"/>
            </w:pPr>
            <w:r>
              <w:t xml:space="preserve">1,098,404</w:t>
            </w:r>
          </w:p>
        </w:tc>
        <w:tc>
          <w:tcPr/>
          <w:p>
            <w:pPr>
              <w:pStyle w:val="Compact"/>
              <w:jc w:val="left"/>
            </w:pPr>
            <w:r>
              <w:t xml:space="preserve">82</w:t>
            </w:r>
          </w:p>
        </w:tc>
      </w:tr>
      <w:tr>
        <w:tc>
          <w:tcPr/>
          <w:p>
            <w:pPr>
              <w:pStyle w:val="Compact"/>
              <w:jc w:val="left"/>
            </w:pPr>
            <w:r>
              <w:t xml:space="preserve">5</w:t>
            </w:r>
          </w:p>
        </w:tc>
        <w:tc>
          <w:tcPr/>
          <w:p>
            <w:pPr>
              <w:pStyle w:val="Compact"/>
              <w:jc w:val="left"/>
            </w:pPr>
            <w:r>
              <w:t xml:space="preserve">Survived the index admission (DIED = 0)</w:t>
            </w:r>
          </w:p>
        </w:tc>
        <w:tc>
          <w:tcPr/>
          <w:p>
            <w:pPr>
              <w:pStyle w:val="Compact"/>
              <w:jc w:val="left"/>
            </w:pPr>
            <w:r>
              <w:t xml:space="preserve">980,701</w:t>
            </w:r>
          </w:p>
        </w:tc>
        <w:tc>
          <w:tcPr/>
          <w:p>
            <w:pPr>
              <w:pStyle w:val="Compact"/>
              <w:jc w:val="left"/>
            </w:pPr>
            <w:r>
              <w:t xml:space="preserve">117,703</w:t>
            </w:r>
          </w:p>
        </w:tc>
      </w:tr>
      <w:tr>
        <w:tc>
          <w:tcPr/>
          <w:p>
            <w:pPr>
              <w:pStyle w:val="Compact"/>
              <w:jc w:val="left"/>
            </w:pPr>
            <w:r>
              <w:t xml:space="preserve">6</w:t>
            </w:r>
          </w:p>
        </w:tc>
        <w:tc>
          <w:tcPr/>
          <w:p>
            <w:pPr>
              <w:pStyle w:val="Compact"/>
              <w:jc w:val="left"/>
            </w:pPr>
            <w:r>
              <w:t xml:space="preserve">Not transferred to another short-term hospital</w:t>
            </w:r>
          </w:p>
        </w:tc>
        <w:tc>
          <w:tcPr/>
          <w:p>
            <w:pPr>
              <w:pStyle w:val="Compact"/>
              <w:jc w:val="left"/>
            </w:pPr>
            <w:r>
              <w:t xml:space="preserve">967,395</w:t>
            </w:r>
          </w:p>
        </w:tc>
        <w:tc>
          <w:tcPr/>
          <w:p>
            <w:pPr>
              <w:pStyle w:val="Compact"/>
              <w:jc w:val="left"/>
            </w:pPr>
            <w:r>
              <w:t xml:space="preserve">13,306</w:t>
            </w:r>
          </w:p>
        </w:tc>
      </w:tr>
      <w:tr>
        <w:tc>
          <w:tcPr/>
          <w:p>
            <w:pPr>
              <w:pStyle w:val="Compact"/>
              <w:jc w:val="left"/>
            </w:pPr>
            <w:r>
              <w:t xml:space="preserve">7</w:t>
            </w:r>
          </w:p>
        </w:tc>
        <w:tc>
          <w:tcPr/>
          <w:p>
            <w:pPr>
              <w:pStyle w:val="Compact"/>
              <w:jc w:val="left"/>
            </w:pPr>
            <w:r>
              <w:t xml:space="preserve">Discharged in months 1-11 (complete 30-day follow-up window)</w:t>
            </w:r>
          </w:p>
        </w:tc>
        <w:tc>
          <w:tcPr/>
          <w:p>
            <w:pPr>
              <w:pStyle w:val="Compact"/>
              <w:jc w:val="left"/>
            </w:pPr>
            <w:r>
              <w:t xml:space="preserve">871,157</w:t>
            </w:r>
          </w:p>
        </w:tc>
        <w:tc>
          <w:tcPr/>
          <w:p>
            <w:pPr>
              <w:pStyle w:val="Compact"/>
              <w:jc w:val="left"/>
            </w:pPr>
            <w:r>
              <w:t xml:space="preserve">96,238</w:t>
            </w:r>
          </w:p>
        </w:tc>
      </w:tr>
      <w:tr>
        <w:tc>
          <w:tcPr/>
          <w:p>
            <w:pPr>
              <w:pStyle w:val="Compact"/>
              <w:jc w:val="left"/>
            </w:pPr>
            <w:r>
              <w:t xml:space="preserve">8</w:t>
            </w:r>
          </w:p>
        </w:tc>
        <w:tc>
          <w:tcPr/>
          <w:p>
            <w:pPr>
              <w:pStyle w:val="Compact"/>
              <w:jc w:val="left"/>
            </w:pPr>
            <w:r>
              <w:t xml:space="preserve">Linkable (NRD_VISITLINK, NRD_DAYSTOEVENT and LOS all recorded)</w:t>
            </w:r>
          </w:p>
        </w:tc>
        <w:tc>
          <w:tcPr/>
          <w:p>
            <w:pPr>
              <w:pStyle w:val="Compact"/>
              <w:jc w:val="left"/>
            </w:pPr>
            <w:r>
              <w:t xml:space="preserve">871,136</w:t>
            </w:r>
          </w:p>
        </w:tc>
        <w:tc>
          <w:tcPr/>
          <w:p>
            <w:pPr>
              <w:pStyle w:val="Compact"/>
              <w:jc w:val="left"/>
            </w:pPr>
            <w:r>
              <w:t xml:space="preserve">21</w:t>
            </w:r>
          </w:p>
        </w:tc>
      </w:tr>
      <w:tr>
        <w:tc>
          <w:tcPr/>
          <w:p>
            <w:pPr>
              <w:pStyle w:val="Compact"/>
              <w:jc w:val="left"/>
            </w:pPr>
            <w:r>
              <w:t xml:space="preserve">9</w:t>
            </w:r>
          </w:p>
        </w:tc>
        <w:tc>
          <w:tcPr/>
          <w:p>
            <w:pPr>
              <w:pStyle w:val="Compact"/>
              <w:jc w:val="left"/>
            </w:pPr>
            <w:r>
              <w:t xml:space="preserve">Complete on every primary-model covariate</w:t>
            </w:r>
          </w:p>
        </w:tc>
        <w:tc>
          <w:tcPr/>
          <w:p>
            <w:pPr>
              <w:pStyle w:val="Compact"/>
              <w:jc w:val="left"/>
            </w:pPr>
            <w:r>
              <w:t xml:space="preserve">870,486</w:t>
            </w:r>
          </w:p>
        </w:tc>
        <w:tc>
          <w:tcPr/>
          <w:p>
            <w:pPr>
              <w:pStyle w:val="Compact"/>
              <w:jc w:val="left"/>
            </w:pPr>
            <w:r>
              <w:t xml:space="preserve">650</w:t>
            </w:r>
          </w:p>
        </w:tc>
      </w:tr>
    </w:tbl>
    <w:p>
      <w:pPr>
        <w:pStyle w:val="BodyText"/>
      </w:pPr>
      <w:r>
        <w:t xml:space="preserve"> </w:t>
      </w:r>
    </w:p>
    <w:p>
      <w:pPr>
        <w:pStyle w:val="TableCaption"/>
      </w:pPr>
      <w:r>
        <w:t xml:space="preserve">Table S0b. Counts quoted in the Results that are not attrition steps.</w:t>
      </w:r>
    </w:p>
    <w:tbl>
      <w:tblPr>
        <w:tblStyle w:val="Table"/>
        <w:tblW w:type="pct" w:w="5000"/>
        <w:tblLayout w:type="fixed"/>
        <w:tblLook w:firstRow="1" w:lastRow="0" w:firstColumn="0" w:lastColumn="0" w:noHBand="0" w:noVBand="0" w:val="0020"/>
        <w:tblCaption w:val="Table S0b. Counts quoted in the Results that are not attrition steps."/>
      </w:tblPr>
      <w:tblGrid>
        <w:gridCol w:w="6920"/>
        <w:gridCol w:w="999"/>
      </w:tblGrid>
      <w:tr>
        <w:trPr>
          <w:tblHeader w:val="on"/>
        </w:trPr>
        <w:tc>
          <w:tcPr/>
          <w:p>
            <w:pPr>
              <w:pStyle w:val="Compact"/>
              <w:jc w:val="left"/>
            </w:pPr>
            <w:r>
              <w:t xml:space="preserve">Item</w:t>
            </w:r>
          </w:p>
        </w:tc>
        <w:tc>
          <w:tcPr/>
          <w:p>
            <w:pPr>
              <w:pStyle w:val="Compact"/>
              <w:jc w:val="left"/>
            </w:pPr>
            <w:r>
              <w:t xml:space="preserve">Unweighted N</w:t>
            </w:r>
          </w:p>
        </w:tc>
      </w:tr>
      <w:tr>
        <w:tc>
          <w:tcPr/>
          <w:p>
            <w:pPr>
              <w:pStyle w:val="Compact"/>
              <w:jc w:val="left"/>
            </w:pPr>
            <w:r>
              <w:t xml:space="preserve">Type 1 / type 2 overlap records (excluded at step 3)</w:t>
            </w:r>
          </w:p>
        </w:tc>
        <w:tc>
          <w:tcPr/>
          <w:p>
            <w:pPr>
              <w:pStyle w:val="Compact"/>
              <w:jc w:val="left"/>
            </w:pPr>
            <w:r>
              <w:t xml:space="preserve">28,316</w:t>
            </w:r>
          </w:p>
        </w:tc>
      </w:tr>
      <w:tr>
        <w:tc>
          <w:tcPr/>
          <w:p>
            <w:pPr>
              <w:pStyle w:val="Compact"/>
              <w:jc w:val="left"/>
            </w:pPr>
            <w:r>
              <w:t xml:space="preserve">I21.A9 co-coded type 2 records (excluded at step 2)</w:t>
            </w:r>
          </w:p>
        </w:tc>
        <w:tc>
          <w:tcPr/>
          <w:p>
            <w:pPr>
              <w:pStyle w:val="Compact"/>
              <w:jc w:val="left"/>
            </w:pPr>
            <w:r>
              <w:t xml:space="preserve">118</w:t>
            </w:r>
          </w:p>
        </w:tc>
      </w:tr>
      <w:tr>
        <w:tc>
          <w:tcPr/>
          <w:p>
            <w:pPr>
              <w:pStyle w:val="Compact"/>
              <w:jc w:val="left"/>
            </w:pPr>
            <w:r>
              <w:t xml:space="preserve">Index admissions carrying I16.0 hypertensive URGENCY (not a precipitant)</w:t>
            </w:r>
          </w:p>
        </w:tc>
        <w:tc>
          <w:tcPr/>
          <w:p>
            <w:pPr>
              <w:pStyle w:val="Compact"/>
              <w:jc w:val="left"/>
            </w:pPr>
            <w:r>
              <w:t xml:space="preserve">39,889</w:t>
            </w:r>
          </w:p>
        </w:tc>
      </w:tr>
      <w:tr>
        <w:tc>
          <w:tcPr/>
          <w:p>
            <w:pPr>
              <w:pStyle w:val="Compact"/>
              <w:jc w:val="left"/>
            </w:pPr>
            <w:r>
              <w:t xml:space="preserve">Index admissions with an operating-room procedure, primary rule (Section 0, approach 0/4)</w:t>
            </w:r>
          </w:p>
        </w:tc>
        <w:tc>
          <w:tcPr/>
          <w:p>
            <w:pPr>
              <w:pStyle w:val="Compact"/>
              <w:jc w:val="left"/>
            </w:pPr>
            <w:r>
              <w:t xml:space="preserve">75,907</w:t>
            </w:r>
          </w:p>
        </w:tc>
      </w:tr>
      <w:tr>
        <w:tc>
          <w:tcPr/>
          <w:p>
            <w:pPr>
              <w:pStyle w:val="Compact"/>
              <w:jc w:val="left"/>
            </w:pPr>
            <w:r>
              <w:t xml:space="preserve">Index admissions with a procedure under the received broad rule (approach 0/4/7/8/F)</w:t>
            </w:r>
          </w:p>
        </w:tc>
        <w:tc>
          <w:tcPr/>
          <w:p>
            <w:pPr>
              <w:pStyle w:val="Compact"/>
              <w:jc w:val="left"/>
            </w:pPr>
            <w:r>
              <w:t xml:space="preserve">196,556</w:t>
            </w:r>
          </w:p>
        </w:tc>
      </w:tr>
      <w:tr>
        <w:tc>
          <w:tcPr/>
          <w:p>
            <w:pPr>
              <w:pStyle w:val="Compact"/>
              <w:jc w:val="left"/>
            </w:pPr>
            <w:r>
              <w:t xml:space="preserve">Index admissions classed Perioperative, primary rule</w:t>
            </w:r>
          </w:p>
        </w:tc>
        <w:tc>
          <w:tcPr/>
          <w:p>
            <w:pPr>
              <w:pStyle w:val="Compact"/>
              <w:jc w:val="left"/>
            </w:pPr>
            <w:r>
              <w:t xml:space="preserve">11,533</w:t>
            </w:r>
          </w:p>
        </w:tc>
      </w:tr>
      <w:tr>
        <w:tc>
          <w:tcPr/>
          <w:p>
            <w:pPr>
              <w:pStyle w:val="Compact"/>
              <w:jc w:val="left"/>
            </w:pPr>
            <w:r>
              <w:t xml:space="preserve">Index admissions that would be classed Perioperative under the broad rule</w:t>
            </w:r>
          </w:p>
        </w:tc>
        <w:tc>
          <w:tcPr/>
          <w:p>
            <w:pPr>
              <w:pStyle w:val="Compact"/>
              <w:jc w:val="left"/>
            </w:pPr>
            <w:r>
              <w:t xml:space="preserve">22,674</w:t>
            </w:r>
          </w:p>
        </w:tc>
      </w:tr>
      <w:tr>
        <w:tc>
          <w:tcPr/>
          <w:p>
            <w:pPr>
              <w:pStyle w:val="Compact"/>
              <w:jc w:val="left"/>
            </w:pPr>
            <w:r>
              <w:t xml:space="preserve">Index admissions classed None of the above, primary rule</w:t>
            </w:r>
          </w:p>
        </w:tc>
        <w:tc>
          <w:tcPr/>
          <w:p>
            <w:pPr>
              <w:pStyle w:val="Compact"/>
              <w:jc w:val="left"/>
            </w:pPr>
            <w:r>
              <w:t xml:space="preserve">187,923</w:t>
            </w:r>
          </w:p>
        </w:tc>
      </w:tr>
      <w:tr>
        <w:tc>
          <w:tcPr/>
          <w:p>
            <w:pPr>
              <w:pStyle w:val="Compact"/>
              <w:jc w:val="left"/>
            </w:pPr>
            <w:r>
              <w:t xml:space="preserve">Index admissions that would be classed None of the above under the broad rule</w:t>
            </w:r>
          </w:p>
        </w:tc>
        <w:tc>
          <w:tcPr/>
          <w:p>
            <w:pPr>
              <w:pStyle w:val="Compact"/>
              <w:jc w:val="left"/>
            </w:pPr>
            <w:r>
              <w:t xml:space="preserve">176,782</w:t>
            </w:r>
          </w:p>
        </w:tc>
      </w:tr>
      <w:tr>
        <w:tc>
          <w:tcPr/>
          <w:p>
            <w:pPr>
              <w:pStyle w:val="Compact"/>
              <w:jc w:val="left"/>
            </w:pPr>
            <w:r>
              <w:t xml:space="preserve">Patients contributing more than one index admission in a year</w:t>
            </w:r>
          </w:p>
        </w:tc>
        <w:tc>
          <w:tcPr/>
          <w:p>
            <w:pPr>
              <w:pStyle w:val="Compact"/>
              <w:jc w:val="left"/>
            </w:pPr>
            <w:r>
              <w:t xml:space="preserve">44,791</w:t>
            </w:r>
          </w:p>
        </w:tc>
      </w:tr>
    </w:tbl>
    <w:p>
      <w:pPr>
        <w:pStyle w:val="Compact"/>
        <w:numPr>
          <w:ilvl w:val="0"/>
          <w:numId w:val="1001"/>
        </w:numPr>
      </w:pPr>
      <w:r>
        <w:rPr>
          <w:b/>
          <w:bCs/>
        </w:rPr>
        <w:t xml:space="preserve">Type 2 MI index admissions (analytic cohort):</w:t>
      </w:r>
      <w:r>
        <w:t xml:space="preserve"> </w:t>
      </w:r>
      <w:r>
        <w:t xml:space="preserve">870,486 unweighted, representing 1,527,575 weighted national admissions over the five years.</w:t>
      </w:r>
    </w:p>
    <w:p>
      <w:pPr>
        <w:pStyle w:val="Compact"/>
        <w:numPr>
          <w:ilvl w:val="0"/>
          <w:numId w:val="1001"/>
        </w:numPr>
      </w:pPr>
      <w:r>
        <w:rPr>
          <w:b/>
          <w:bCs/>
        </w:rPr>
        <w:t xml:space="preserve">Followed by a 30-day readmission:</w:t>
      </w:r>
      <w:r>
        <w:t xml:space="preserve"> </w:t>
      </w:r>
      <w:r>
        <w:t xml:space="preserve">175,312.</w:t>
      </w:r>
    </w:p>
    <w:p>
      <w:pPr>
        <w:pStyle w:val="Compact"/>
        <w:numPr>
          <w:ilvl w:val="0"/>
          <w:numId w:val="1001"/>
        </w:numPr>
      </w:pPr>
      <w:r>
        <w:rPr>
          <w:b/>
          <w:bCs/>
        </w:rPr>
        <w:t xml:space="preserve">Type 1 MI comparator index admissions</w:t>
      </w:r>
      <w:r>
        <w:t xml:space="preserve"> </w:t>
      </w:r>
      <w:r>
        <w:t xml:space="preserve">(descriptive, non-causal secondary aim): 1,837,814.</w:t>
      </w:r>
    </w:p>
    <w:p>
      <w:pPr>
        <w:pStyle w:val="CaptionedFigure"/>
      </w:pPr>
      <w:r>
        <w:drawing>
          <wp:inline>
            <wp:extent cx="5334000" cy="7500937"/>
            <wp:effectExtent b="0" l="0" r="0" t="0"/>
            <wp:docPr descr="Figure 1. Cohort construction." title="" id="18" name="Picture"/>
            <a:graphic>
              <a:graphicData uri="http://schemas.openxmlformats.org/drawingml/2006/picture">
                <pic:pic>
                  <pic:nvPicPr>
                    <pic:cNvPr descr="C:/Users/saada/Documents/Biostatistics/AliFam-Nerds/RCOP_NRD/NRD_Saad_T2MI_Precip/figures/Figure1_cohort_flow.png" id="19" name="Picture"/>
                    <pic:cNvPicPr>
                      <a:picLocks noChangeArrowheads="1" noChangeAspect="1"/>
                    </pic:cNvPicPr>
                  </pic:nvPicPr>
                  <pic:blipFill>
                    <a:blip r:embed="rId17"/>
                    <a:stretch>
                      <a:fillRect/>
                    </a:stretch>
                  </pic:blipFill>
                  <pic:spPr bwMode="auto">
                    <a:xfrm>
                      <a:off x="0" y="0"/>
                      <a:ext cx="5334000" cy="7500937"/>
                    </a:xfrm>
                    <a:prstGeom prst="rect">
                      <a:avLst/>
                    </a:prstGeom>
                    <a:noFill/>
                    <a:ln w="9525">
                      <a:noFill/>
                      <a:headEnd/>
                      <a:tailEnd/>
                    </a:ln>
                  </pic:spPr>
                </pic:pic>
              </a:graphicData>
            </a:graphic>
          </wp:inline>
        </w:drawing>
      </w:r>
    </w:p>
    <w:p>
      <w:pPr>
        <w:pStyle w:val="ImageCaption"/>
      </w:pPr>
      <w:r>
        <w:t xml:space="preserve">Figure 1. Cohort construction.</w:t>
      </w:r>
    </w:p>
    <w:p>
      <w:pPr>
        <w:pStyle w:val="TableCaption"/>
      </w:pPr>
      <w:r>
        <w:t xml:space="preserve">Table S1. Survey design properties.</w:t>
      </w:r>
    </w:p>
    <w:tbl>
      <w:tblPr>
        <w:tblStyle w:val="Table"/>
        <w:tblW w:type="pct" w:w="5000"/>
        <w:tblLayout w:type="fixed"/>
        <w:tblLook w:firstRow="1" w:lastRow="0" w:firstColumn="0" w:lastColumn="0" w:noHBand="0" w:noVBand="0" w:val="0020"/>
        <w:tblCaption w:val="Table S1. Survey design properties."/>
      </w:tblPr>
      <w:tblGrid>
        <w:gridCol w:w="6050"/>
        <w:gridCol w:w="1870"/>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Unweighted index admissions</w:t>
            </w:r>
          </w:p>
        </w:tc>
        <w:tc>
          <w:tcPr/>
          <w:p>
            <w:pPr>
              <w:pStyle w:val="Compact"/>
              <w:jc w:val="left"/>
            </w:pPr>
            <w:r>
              <w:t xml:space="preserve">870,486</w:t>
            </w:r>
          </w:p>
        </w:tc>
      </w:tr>
      <w:tr>
        <w:tc>
          <w:tcPr/>
          <w:p>
            <w:pPr>
              <w:pStyle w:val="Compact"/>
              <w:jc w:val="left"/>
            </w:pPr>
            <w:r>
              <w:t xml:space="preserve">Weighted national index admissions</w:t>
            </w:r>
          </w:p>
        </w:tc>
        <w:tc>
          <w:tcPr/>
          <w:p>
            <w:pPr>
              <w:pStyle w:val="Compact"/>
              <w:jc w:val="left"/>
            </w:pPr>
            <w:r>
              <w:t xml:space="preserve">1,527,575</w:t>
            </w:r>
          </w:p>
        </w:tc>
      </w:tr>
      <w:tr>
        <w:tc>
          <w:tcPr/>
          <w:p>
            <w:pPr>
              <w:pStyle w:val="Compact"/>
              <w:jc w:val="left"/>
            </w:pPr>
            <w:r>
              <w:t xml:space="preserve">Strata (year x NRD_STRATUM)</w:t>
            </w:r>
          </w:p>
        </w:tc>
        <w:tc>
          <w:tcPr/>
          <w:p>
            <w:pPr>
              <w:pStyle w:val="Compact"/>
              <w:jc w:val="left"/>
            </w:pPr>
            <w:r>
              <w:t xml:space="preserve">476</w:t>
            </w:r>
          </w:p>
        </w:tc>
      </w:tr>
      <w:tr>
        <w:tc>
          <w:tcPr/>
          <w:p>
            <w:pPr>
              <w:pStyle w:val="Compact"/>
              <w:jc w:val="left"/>
            </w:pPr>
            <w:r>
              <w:t xml:space="preserve">Primary sampling units (year x HOSP_NRD)</w:t>
            </w:r>
          </w:p>
        </w:tc>
        <w:tc>
          <w:tcPr/>
          <w:p>
            <w:pPr>
              <w:pStyle w:val="Compact"/>
              <w:jc w:val="left"/>
            </w:pPr>
            <w:r>
              <w:t xml:space="preserve">9,404</w:t>
            </w:r>
          </w:p>
        </w:tc>
      </w:tr>
      <w:tr>
        <w:tc>
          <w:tcPr/>
          <w:p>
            <w:pPr>
              <w:pStyle w:val="Compact"/>
              <w:jc w:val="left"/>
            </w:pPr>
            <w:r>
              <w:t xml:space="preserve">Strata containing a single PSU</w:t>
            </w:r>
          </w:p>
        </w:tc>
        <w:tc>
          <w:tcPr/>
          <w:p>
            <w:pPr>
              <w:pStyle w:val="Compact"/>
              <w:jc w:val="left"/>
            </w:pPr>
            <w:r>
              <w:t xml:space="preserve">5</w:t>
            </w:r>
          </w:p>
        </w:tc>
      </w:tr>
      <w:tr>
        <w:tc>
          <w:tcPr/>
          <w:p>
            <w:pPr>
              <w:pStyle w:val="Compact"/>
              <w:jc w:val="left"/>
            </w:pPr>
            <w:r>
              <w:t xml:space="preserve">Design degrees of freedom</w:t>
            </w:r>
          </w:p>
        </w:tc>
        <w:tc>
          <w:tcPr/>
          <w:p>
            <w:pPr>
              <w:pStyle w:val="Compact"/>
              <w:jc w:val="left"/>
            </w:pPr>
            <w:r>
              <w:t xml:space="preserve">8,928</w:t>
            </w:r>
          </w:p>
        </w:tc>
      </w:tr>
      <w:tr>
        <w:tc>
          <w:tcPr/>
          <w:p>
            <w:pPr>
              <w:pStyle w:val="Compact"/>
              <w:jc w:val="left"/>
            </w:pPr>
            <w:r>
              <w:t xml:space="preserve">Critical value used for manually constructed intervals</w:t>
            </w:r>
          </w:p>
        </w:tc>
        <w:tc>
          <w:tcPr/>
          <w:p>
            <w:pPr>
              <w:pStyle w:val="Compact"/>
              <w:jc w:val="left"/>
            </w:pPr>
            <w:r>
              <w:t xml:space="preserve">t(8,928) = 1.960</w:t>
            </w:r>
          </w:p>
        </w:tc>
      </w:tr>
    </w:tbl>
    <w:p>
      <w:pPr>
        <w:pStyle w:val="BodyText"/>
      </w:pPr>
      <w:r>
        <w:t xml:space="preserve"> </w:t>
      </w:r>
    </w:p>
    <w:p>
      <w:pPr>
        <w:pStyle w:val="TableCaption"/>
      </w:pPr>
      <w:r>
        <w:t xml:space="preserve">Table S1a. All-listed I21.A1 per year: this build versus the HCUP frequency workbook.</w:t>
      </w:r>
    </w:p>
    <w:tbl>
      <w:tblPr>
        <w:tblStyle w:val="Table"/>
        <w:tblW w:type="pct" w:w="5000"/>
        <w:tblLayout w:type="fixed"/>
        <w:tblLook w:firstRow="1" w:lastRow="0" w:firstColumn="0" w:lastColumn="0" w:noHBand="0" w:noVBand="0" w:val="0020"/>
        <w:tblCaption w:val="Table S1a. All-listed I21.A1 per year: this build versus the HCUP frequency workbook."/>
      </w:tblPr>
      <w:tblGrid>
        <w:gridCol w:w="335"/>
        <w:gridCol w:w="3758"/>
        <w:gridCol w:w="2886"/>
        <w:gridCol w:w="939"/>
      </w:tblGrid>
      <w:tr>
        <w:trPr>
          <w:tblHeader w:val="on"/>
        </w:trPr>
        <w:tc>
          <w:tcPr/>
          <w:p>
            <w:pPr>
              <w:pStyle w:val="Compact"/>
              <w:jc w:val="left"/>
            </w:pPr>
            <w:r>
              <w:t xml:space="preserve">Year</w:t>
            </w:r>
          </w:p>
        </w:tc>
        <w:tc>
          <w:tcPr/>
          <w:p>
            <w:pPr>
              <w:pStyle w:val="Compact"/>
              <w:jc w:val="left"/>
            </w:pPr>
            <w:r>
              <w:t xml:space="preserve">HCUP frequency workbook, all-listed I21.A1 (unweighted)</w:t>
            </w:r>
          </w:p>
        </w:tc>
        <w:tc>
          <w:tcPr/>
          <w:p>
            <w:pPr>
              <w:pStyle w:val="Compact"/>
              <w:jc w:val="left"/>
            </w:pPr>
            <w:r>
              <w:t xml:space="preserve">This build, all-listed I21.A1 (unweighted)</w:t>
            </w:r>
          </w:p>
        </w:tc>
        <w:tc>
          <w:tcPr/>
          <w:p>
            <w:pPr>
              <w:pStyle w:val="Compact"/>
              <w:jc w:val="left"/>
            </w:pPr>
            <w:r>
              <w:t xml:space="preserve">Difference, %</w:t>
            </w:r>
          </w:p>
        </w:tc>
      </w:tr>
      <w:tr>
        <w:tc>
          <w:tcPr/>
          <w:p>
            <w:pPr>
              <w:pStyle w:val="Compact"/>
              <w:jc w:val="left"/>
            </w:pPr>
            <w:r>
              <w:t xml:space="preserve">2018</w:t>
            </w:r>
          </w:p>
        </w:tc>
        <w:tc>
          <w:tcPr/>
          <w:p>
            <w:pPr>
              <w:pStyle w:val="Compact"/>
              <w:jc w:val="left"/>
            </w:pPr>
            <w:r>
              <w:t xml:space="preserve">1.455e+05</w:t>
            </w:r>
          </w:p>
        </w:tc>
        <w:tc>
          <w:tcPr/>
          <w:p>
            <w:pPr>
              <w:pStyle w:val="Compact"/>
              <w:jc w:val="left"/>
            </w:pPr>
            <w:r>
              <w:t xml:space="preserve">1.455e+05</w:t>
            </w:r>
          </w:p>
        </w:tc>
        <w:tc>
          <w:tcPr/>
          <w:p>
            <w:pPr>
              <w:pStyle w:val="Compact"/>
              <w:jc w:val="left"/>
            </w:pPr>
            <w:r>
              <w:t xml:space="preserve">0</w:t>
            </w:r>
          </w:p>
        </w:tc>
      </w:tr>
      <w:tr>
        <w:tc>
          <w:tcPr/>
          <w:p>
            <w:pPr>
              <w:pStyle w:val="Compact"/>
              <w:jc w:val="left"/>
            </w:pPr>
            <w:r>
              <w:t xml:space="preserve">2019</w:t>
            </w:r>
          </w:p>
        </w:tc>
        <w:tc>
          <w:tcPr/>
          <w:p>
            <w:pPr>
              <w:pStyle w:val="Compact"/>
              <w:jc w:val="left"/>
            </w:pPr>
            <w:r>
              <w:t xml:space="preserve">1.796e+05</w:t>
            </w:r>
          </w:p>
        </w:tc>
        <w:tc>
          <w:tcPr/>
          <w:p>
            <w:pPr>
              <w:pStyle w:val="Compact"/>
              <w:jc w:val="left"/>
            </w:pPr>
            <w:r>
              <w:t xml:space="preserve">1.796e+05</w:t>
            </w:r>
          </w:p>
        </w:tc>
        <w:tc>
          <w:tcPr/>
          <w:p>
            <w:pPr>
              <w:pStyle w:val="Compact"/>
              <w:jc w:val="left"/>
            </w:pPr>
            <w:r>
              <w:t xml:space="preserve">0</w:t>
            </w:r>
          </w:p>
        </w:tc>
      </w:tr>
      <w:tr>
        <w:tc>
          <w:tcPr/>
          <w:p>
            <w:pPr>
              <w:pStyle w:val="Compact"/>
              <w:jc w:val="left"/>
            </w:pPr>
            <w:r>
              <w:t xml:space="preserve">2020</w:t>
            </w:r>
          </w:p>
        </w:tc>
        <w:tc>
          <w:tcPr/>
          <w:p>
            <w:pPr>
              <w:pStyle w:val="Compact"/>
              <w:jc w:val="left"/>
            </w:pPr>
            <w:r>
              <w:t xml:space="preserve">2.282e+05</w:t>
            </w:r>
          </w:p>
        </w:tc>
        <w:tc>
          <w:tcPr/>
          <w:p>
            <w:pPr>
              <w:pStyle w:val="Compact"/>
              <w:jc w:val="left"/>
            </w:pPr>
            <w:r>
              <w:t xml:space="preserve">2.282e+05</w:t>
            </w:r>
          </w:p>
        </w:tc>
        <w:tc>
          <w:tcPr/>
          <w:p>
            <w:pPr>
              <w:pStyle w:val="Compact"/>
              <w:jc w:val="left"/>
            </w:pPr>
            <w:r>
              <w:t xml:space="preserve">0</w:t>
            </w:r>
          </w:p>
        </w:tc>
      </w:tr>
      <w:tr>
        <w:tc>
          <w:tcPr/>
          <w:p>
            <w:pPr>
              <w:pStyle w:val="Compact"/>
              <w:jc w:val="left"/>
            </w:pPr>
            <w:r>
              <w:t xml:space="preserve">2021</w:t>
            </w:r>
          </w:p>
        </w:tc>
        <w:tc>
          <w:tcPr/>
          <w:p>
            <w:pPr>
              <w:pStyle w:val="Compact"/>
              <w:jc w:val="left"/>
            </w:pPr>
            <w:r>
              <w:t xml:space="preserve">2.693e+05</w:t>
            </w:r>
          </w:p>
        </w:tc>
        <w:tc>
          <w:tcPr/>
          <w:p>
            <w:pPr>
              <w:pStyle w:val="Compact"/>
              <w:jc w:val="left"/>
            </w:pPr>
            <w:r>
              <w:t xml:space="preserve">2.693e+05</w:t>
            </w:r>
          </w:p>
        </w:tc>
        <w:tc>
          <w:tcPr/>
          <w:p>
            <w:pPr>
              <w:pStyle w:val="Compact"/>
              <w:jc w:val="left"/>
            </w:pPr>
            <w:r>
              <w:t xml:space="preserve">0</w:t>
            </w:r>
          </w:p>
        </w:tc>
      </w:tr>
      <w:tr>
        <w:tc>
          <w:tcPr/>
          <w:p>
            <w:pPr>
              <w:pStyle w:val="Compact"/>
              <w:jc w:val="left"/>
            </w:pPr>
            <w:r>
              <w:t xml:space="preserve">2022</w:t>
            </w:r>
          </w:p>
        </w:tc>
        <w:tc>
          <w:tcPr/>
          <w:p>
            <w:pPr>
              <w:pStyle w:val="Compact"/>
              <w:jc w:val="left"/>
            </w:pPr>
            <w:r>
              <w:t xml:space="preserve">3.043e+05</w:t>
            </w:r>
          </w:p>
        </w:tc>
        <w:tc>
          <w:tcPr/>
          <w:p>
            <w:pPr>
              <w:pStyle w:val="Compact"/>
              <w:jc w:val="left"/>
            </w:pPr>
            <w:r>
              <w:t xml:space="preserve">3.043e+05</w:t>
            </w:r>
          </w:p>
        </w:tc>
        <w:tc>
          <w:tcPr/>
          <w:p>
            <w:pPr>
              <w:pStyle w:val="Compact"/>
              <w:jc w:val="left"/>
            </w:pPr>
            <w:r>
              <w:t xml:space="preserve">0</w:t>
            </w:r>
          </w:p>
        </w:tc>
      </w:tr>
    </w:tbl>
    <w:bookmarkEnd w:id="20"/>
    <w:bookmarkStart w:id="22" w:name="table-1.-baseline-characteristics"/>
    <w:p>
      <w:pPr>
        <w:pStyle w:val="Heading1"/>
      </w:pPr>
      <w:r>
        <w:t xml:space="preserve">4. Table 1. Baseline characteristics</w:t>
      </w:r>
    </w:p>
    <w:p>
      <w:pPr>
        <w:pStyle w:val="TableCaption"/>
      </w:pPr>
      <w:r>
        <w:t xml:space="preserve">Table 1. Baseline characteristics of index type 2 myocardial infarction hospitalizations, by precipitating illness class.</w:t>
      </w:r>
    </w:p>
    <w:tbl>
      <w:tblPr>
        <w:tblStyle w:val="Table"/>
        <w:tblW w:type="pct" w:w="5000"/>
        <w:tblLayout w:type="fixed"/>
        <w:tblLook w:firstRow="1" w:lastRow="0" w:firstColumn="0" w:lastColumn="0" w:noHBand="0" w:noVBand="0" w:val="0020"/>
        <w:tblCaption w:val="Table 1. Baseline characteristics of index type 2 myocardial infarction hospitalizations, by precipitating illness class."/>
      </w:tblPr>
      <w:tblGrid>
        <w:gridCol w:w="1666"/>
        <w:gridCol w:w="377"/>
        <w:gridCol w:w="704"/>
        <w:gridCol w:w="876"/>
        <w:gridCol w:w="635"/>
        <w:gridCol w:w="515"/>
        <w:gridCol w:w="687"/>
        <w:gridCol w:w="893"/>
        <w:gridCol w:w="481"/>
        <w:gridCol w:w="549"/>
        <w:gridCol w:w="532"/>
      </w:tblGrid>
      <w:tr>
        <w:trPr>
          <w:tblHeader w:val="on"/>
        </w:trPr>
        <w:tc>
          <w:tcPr/>
          <w:p>
            <w:pPr>
              <w:pStyle w:val="Compact"/>
              <w:jc w:val="left"/>
            </w:pPr>
            <w:r>
              <w:t xml:space="preserve">Characteristic</w:t>
            </w:r>
          </w:p>
        </w:tc>
        <w:tc>
          <w:tcPr/>
          <w:p>
            <w:pPr>
              <w:pStyle w:val="Compact"/>
              <w:jc w:val="left"/>
            </w:pPr>
            <w:r>
              <w:t xml:space="preserve">Overall (n = 870,486)</w:t>
            </w:r>
          </w:p>
        </w:tc>
        <w:tc>
          <w:tcPr/>
          <w:p>
            <w:pPr>
              <w:pStyle w:val="Compact"/>
              <w:jc w:val="left"/>
            </w:pPr>
            <w:r>
              <w:t xml:space="preserve">Sepsis or severe infection (n = 212,755)</w:t>
            </w:r>
          </w:p>
        </w:tc>
        <w:tc>
          <w:tcPr/>
          <w:p>
            <w:pPr>
              <w:pStyle w:val="Compact"/>
              <w:jc w:val="left"/>
            </w:pPr>
            <w:r>
              <w:t xml:space="preserve">Acute GI bleed or blood-loss anaemia (n = 67,482)</w:t>
            </w:r>
          </w:p>
        </w:tc>
        <w:tc>
          <w:tcPr/>
          <w:p>
            <w:pPr>
              <w:pStyle w:val="Compact"/>
              <w:jc w:val="left"/>
            </w:pPr>
            <w:r>
              <w:t xml:space="preserve">Hypertensive emergency (n = 47,196)</w:t>
            </w:r>
          </w:p>
        </w:tc>
        <w:tc>
          <w:tcPr/>
          <w:p>
            <w:pPr>
              <w:pStyle w:val="Compact"/>
              <w:jc w:val="left"/>
            </w:pPr>
            <w:r>
              <w:t xml:space="preserve">Tachyarrhythmia (n = 228,176)</w:t>
            </w:r>
          </w:p>
        </w:tc>
        <w:tc>
          <w:tcPr/>
          <w:p>
            <w:pPr>
              <w:pStyle w:val="Compact"/>
              <w:jc w:val="left"/>
            </w:pPr>
            <w:r>
              <w:t xml:space="preserve">Acute respiratory failure (n = 77,718)</w:t>
            </w:r>
          </w:p>
        </w:tc>
        <w:tc>
          <w:tcPr/>
          <w:p>
            <w:pPr>
              <w:pStyle w:val="Compact"/>
              <w:jc w:val="left"/>
            </w:pPr>
            <w:r>
              <w:t xml:space="preserve">Hypovolaemia or non-cardiogenic shock (n = 37,854)</w:t>
            </w:r>
          </w:p>
        </w:tc>
        <w:tc>
          <w:tcPr/>
          <w:p>
            <w:pPr>
              <w:pStyle w:val="Compact"/>
              <w:jc w:val="left"/>
            </w:pPr>
            <w:r>
              <w:t xml:space="preserve">Perioperative (n = 11,520)</w:t>
            </w:r>
          </w:p>
        </w:tc>
        <w:tc>
          <w:tcPr/>
          <w:p>
            <w:pPr>
              <w:pStyle w:val="Compact"/>
              <w:jc w:val="left"/>
            </w:pPr>
            <w:r>
              <w:t xml:space="preserve">None of the above (n = 187,785)</w:t>
            </w:r>
          </w:p>
        </w:tc>
        <w:tc>
          <w:tcPr/>
          <w:p>
            <w:pPr>
              <w:pStyle w:val="Compact"/>
              <w:jc w:val="left"/>
            </w:pPr>
            <w:r>
              <w:t xml:space="preserve">Maximum absolute SMD vs sepsis</w:t>
            </w:r>
          </w:p>
        </w:tc>
      </w:tr>
      <w:tr>
        <w:tc>
          <w:tcPr/>
          <w:p>
            <w:pPr>
              <w:pStyle w:val="Compact"/>
              <w:jc w:val="left"/>
            </w:pPr>
            <w:r>
              <w:t xml:space="preserve">Age, years, mean (SD)</w:t>
            </w:r>
          </w:p>
        </w:tc>
        <w:tc>
          <w:tcPr/>
          <w:p>
            <w:pPr>
              <w:pStyle w:val="Compact"/>
              <w:jc w:val="left"/>
            </w:pPr>
            <w:r>
              <w:t xml:space="preserve">70.4 (14.6)</w:t>
            </w:r>
          </w:p>
        </w:tc>
        <w:tc>
          <w:tcPr/>
          <w:p>
            <w:pPr>
              <w:pStyle w:val="Compact"/>
              <w:jc w:val="left"/>
            </w:pPr>
            <w:r>
              <w:t xml:space="preserve">71.1 (14.3)</w:t>
            </w:r>
          </w:p>
        </w:tc>
        <w:tc>
          <w:tcPr/>
          <w:p>
            <w:pPr>
              <w:pStyle w:val="Compact"/>
              <w:jc w:val="left"/>
            </w:pPr>
            <w:r>
              <w:t xml:space="preserve">72.7 (13.1)</w:t>
            </w:r>
          </w:p>
        </w:tc>
        <w:tc>
          <w:tcPr/>
          <w:p>
            <w:pPr>
              <w:pStyle w:val="Compact"/>
              <w:jc w:val="left"/>
            </w:pPr>
            <w:r>
              <w:t xml:space="preserve">61.8 (16.0)</w:t>
            </w:r>
          </w:p>
        </w:tc>
        <w:tc>
          <w:tcPr/>
          <w:p>
            <w:pPr>
              <w:pStyle w:val="Compact"/>
              <w:jc w:val="left"/>
            </w:pPr>
            <w:r>
              <w:t xml:space="preserve">74.3 (12.7)</w:t>
            </w:r>
          </w:p>
        </w:tc>
        <w:tc>
          <w:tcPr/>
          <w:p>
            <w:pPr>
              <w:pStyle w:val="Compact"/>
              <w:jc w:val="left"/>
            </w:pPr>
            <w:r>
              <w:t xml:space="preserve">67.9 (14.9)</w:t>
            </w:r>
          </w:p>
        </w:tc>
        <w:tc>
          <w:tcPr/>
          <w:p>
            <w:pPr>
              <w:pStyle w:val="Compact"/>
              <w:jc w:val="left"/>
            </w:pPr>
            <w:r>
              <w:t xml:space="preserve">70.2 (15.2)</w:t>
            </w:r>
          </w:p>
        </w:tc>
        <w:tc>
          <w:tcPr/>
          <w:p>
            <w:pPr>
              <w:pStyle w:val="Compact"/>
              <w:jc w:val="left"/>
            </w:pPr>
            <w:r>
              <w:t xml:space="preserve">69.1 (14.2)</w:t>
            </w:r>
          </w:p>
        </w:tc>
        <w:tc>
          <w:tcPr/>
          <w:p>
            <w:pPr>
              <w:pStyle w:val="Compact"/>
              <w:jc w:val="left"/>
            </w:pPr>
            <w:r>
              <w:t xml:space="preserve">67.4 (15.2)</w:t>
            </w:r>
          </w:p>
        </w:tc>
        <w:tc>
          <w:tcPr/>
          <w:p>
            <w:pPr>
              <w:pStyle w:val="Compact"/>
              <w:jc w:val="left"/>
            </w:pPr>
            <w:r>
              <w:t xml:space="preserve">0.611</w:t>
            </w:r>
          </w:p>
        </w:tc>
      </w:tr>
      <w:tr>
        <w:tc>
          <w:tcPr/>
          <w:p>
            <w:pPr>
              <w:pStyle w:val="Compact"/>
              <w:jc w:val="left"/>
            </w:pPr>
            <w:r>
              <w:t xml:space="preserve">Age group,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0.571</w:t>
            </w:r>
          </w:p>
        </w:tc>
      </w:tr>
      <w:tr>
        <w:tc>
          <w:tcPr/>
          <w:p>
            <w:pPr>
              <w:pStyle w:val="Compact"/>
              <w:jc w:val="left"/>
            </w:pPr>
            <w:r>
              <w:t xml:space="preserve"> ≥65 years</w:t>
            </w:r>
          </w:p>
        </w:tc>
        <w:tc>
          <w:tcPr/>
          <w:p>
            <w:pPr>
              <w:pStyle w:val="Compact"/>
              <w:jc w:val="left"/>
            </w:pPr>
            <w:r>
              <w:t xml:space="preserve">68.6% (604,348)</w:t>
            </w:r>
          </w:p>
        </w:tc>
        <w:tc>
          <w:tcPr/>
          <w:p>
            <w:pPr>
              <w:pStyle w:val="Compact"/>
              <w:jc w:val="left"/>
            </w:pPr>
            <w:r>
              <w:t xml:space="preserve">71.5% (153,807)</w:t>
            </w:r>
          </w:p>
        </w:tc>
        <w:tc>
          <w:tcPr/>
          <w:p>
            <w:pPr>
              <w:pStyle w:val="Compact"/>
              <w:jc w:val="left"/>
            </w:pPr>
            <w:r>
              <w:t xml:space="preserve">76.2% (51,816)</w:t>
            </w:r>
          </w:p>
        </w:tc>
        <w:tc>
          <w:tcPr/>
          <w:p>
            <w:pPr>
              <w:pStyle w:val="Compact"/>
              <w:jc w:val="left"/>
            </w:pPr>
            <w:r>
              <w:t xml:space="preserve">44.4% (21,581)</w:t>
            </w:r>
          </w:p>
        </w:tc>
        <w:tc>
          <w:tcPr/>
          <w:p>
            <w:pPr>
              <w:pStyle w:val="Compact"/>
              <w:jc w:val="left"/>
            </w:pPr>
            <w:r>
              <w:t xml:space="preserve">78.8% (181,114)</w:t>
            </w:r>
          </w:p>
        </w:tc>
        <w:tc>
          <w:tcPr/>
          <w:p>
            <w:pPr>
              <w:pStyle w:val="Compact"/>
              <w:jc w:val="left"/>
            </w:pPr>
            <w:r>
              <w:t xml:space="preserve">61.9% (48,803)</w:t>
            </w:r>
          </w:p>
        </w:tc>
        <w:tc>
          <w:tcPr/>
          <w:p>
            <w:pPr>
              <w:pStyle w:val="Compact"/>
              <w:jc w:val="left"/>
            </w:pPr>
            <w:r>
              <w:t xml:space="preserve">67.4% (25,876)</w:t>
            </w:r>
          </w:p>
        </w:tc>
        <w:tc>
          <w:tcPr/>
          <w:p>
            <w:pPr>
              <w:pStyle w:val="Compact"/>
              <w:jc w:val="left"/>
            </w:pPr>
            <w:r>
              <w:t xml:space="preserve">65.5% (7,641)</w:t>
            </w:r>
          </w:p>
        </w:tc>
        <w:tc>
          <w:tcPr/>
          <w:p>
            <w:pPr>
              <w:pStyle w:val="Compact"/>
              <w:jc w:val="left"/>
            </w:pPr>
            <w:r>
              <w:t xml:space="preserve">59.8% (113,710)</w:t>
            </w:r>
          </w:p>
        </w:tc>
        <w:tc>
          <w:tcPr/>
          <w:p>
            <w:pPr>
              <w:pStyle w:val="Compact"/>
            </w:pPr>
          </w:p>
        </w:tc>
      </w:tr>
      <w:tr>
        <w:tc>
          <w:tcPr/>
          <w:p>
            <w:pPr>
              <w:pStyle w:val="Compact"/>
              <w:jc w:val="left"/>
            </w:pPr>
            <w:r>
              <w:t xml:space="preserve"> &lt;65 years</w:t>
            </w:r>
          </w:p>
        </w:tc>
        <w:tc>
          <w:tcPr/>
          <w:p>
            <w:pPr>
              <w:pStyle w:val="Compact"/>
              <w:jc w:val="left"/>
            </w:pPr>
            <w:r>
              <w:t xml:space="preserve">31.4% (266,138)</w:t>
            </w:r>
          </w:p>
        </w:tc>
        <w:tc>
          <w:tcPr/>
          <w:p>
            <w:pPr>
              <w:pStyle w:val="Compact"/>
              <w:jc w:val="left"/>
            </w:pPr>
            <w:r>
              <w:t xml:space="preserve">28.5% (58,948)</w:t>
            </w:r>
          </w:p>
        </w:tc>
        <w:tc>
          <w:tcPr/>
          <w:p>
            <w:pPr>
              <w:pStyle w:val="Compact"/>
              <w:jc w:val="left"/>
            </w:pPr>
            <w:r>
              <w:t xml:space="preserve">23.8% (15,666)</w:t>
            </w:r>
          </w:p>
        </w:tc>
        <w:tc>
          <w:tcPr/>
          <w:p>
            <w:pPr>
              <w:pStyle w:val="Compact"/>
              <w:jc w:val="left"/>
            </w:pPr>
            <w:r>
              <w:t xml:space="preserve">55.6% (25,615)</w:t>
            </w:r>
          </w:p>
        </w:tc>
        <w:tc>
          <w:tcPr/>
          <w:p>
            <w:pPr>
              <w:pStyle w:val="Compact"/>
              <w:jc w:val="left"/>
            </w:pPr>
            <w:r>
              <w:t xml:space="preserve">21.2% (47,062)</w:t>
            </w:r>
          </w:p>
        </w:tc>
        <w:tc>
          <w:tcPr/>
          <w:p>
            <w:pPr>
              <w:pStyle w:val="Compact"/>
              <w:jc w:val="left"/>
            </w:pPr>
            <w:r>
              <w:t xml:space="preserve">38.1% (28,915)</w:t>
            </w:r>
          </w:p>
        </w:tc>
        <w:tc>
          <w:tcPr/>
          <w:p>
            <w:pPr>
              <w:pStyle w:val="Compact"/>
              <w:jc w:val="left"/>
            </w:pPr>
            <w:r>
              <w:t xml:space="preserve">32.6% (11,978)</w:t>
            </w:r>
          </w:p>
        </w:tc>
        <w:tc>
          <w:tcPr/>
          <w:p>
            <w:pPr>
              <w:pStyle w:val="Compact"/>
              <w:jc w:val="left"/>
            </w:pPr>
            <w:r>
              <w:t xml:space="preserve">34.5% (3,879)</w:t>
            </w:r>
          </w:p>
        </w:tc>
        <w:tc>
          <w:tcPr/>
          <w:p>
            <w:pPr>
              <w:pStyle w:val="Compact"/>
              <w:jc w:val="left"/>
            </w:pPr>
            <w:r>
              <w:t xml:space="preserve">40.2% (74,075)</w:t>
            </w:r>
          </w:p>
        </w:tc>
        <w:tc>
          <w:tcPr/>
          <w:p>
            <w:pPr>
              <w:pStyle w:val="Compact"/>
            </w:pPr>
          </w:p>
        </w:tc>
      </w:tr>
      <w:tr>
        <w:tc>
          <w:tcPr/>
          <w:p>
            <w:pPr>
              <w:pStyle w:val="Compact"/>
              <w:jc w:val="left"/>
            </w:pPr>
            <w:r>
              <w:t xml:space="preserve">Sex,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0.123</w:t>
            </w:r>
          </w:p>
        </w:tc>
      </w:tr>
      <w:tr>
        <w:tc>
          <w:tcPr/>
          <w:p>
            <w:pPr>
              <w:pStyle w:val="Compact"/>
              <w:jc w:val="left"/>
            </w:pPr>
            <w:r>
              <w:t xml:space="preserve"> Male</w:t>
            </w:r>
          </w:p>
        </w:tc>
        <w:tc>
          <w:tcPr/>
          <w:p>
            <w:pPr>
              <w:pStyle w:val="Compact"/>
              <w:jc w:val="left"/>
            </w:pPr>
            <w:r>
              <w:t xml:space="preserve">52.9% (460,734)</w:t>
            </w:r>
          </w:p>
        </w:tc>
        <w:tc>
          <w:tcPr/>
          <w:p>
            <w:pPr>
              <w:pStyle w:val="Compact"/>
              <w:jc w:val="left"/>
            </w:pPr>
            <w:r>
              <w:t xml:space="preserve">53.5% (113,970)</w:t>
            </w:r>
          </w:p>
        </w:tc>
        <w:tc>
          <w:tcPr/>
          <w:p>
            <w:pPr>
              <w:pStyle w:val="Compact"/>
              <w:jc w:val="left"/>
            </w:pPr>
            <w:r>
              <w:t xml:space="preserve">54.9% (37,068)</w:t>
            </w:r>
          </w:p>
        </w:tc>
        <w:tc>
          <w:tcPr/>
          <w:p>
            <w:pPr>
              <w:pStyle w:val="Compact"/>
              <w:jc w:val="left"/>
            </w:pPr>
            <w:r>
              <w:t xml:space="preserve">53.4% (25,066)</w:t>
            </w:r>
          </w:p>
        </w:tc>
        <w:tc>
          <w:tcPr/>
          <w:p>
            <w:pPr>
              <w:pStyle w:val="Compact"/>
              <w:jc w:val="left"/>
            </w:pPr>
            <w:r>
              <w:t xml:space="preserve">55.4% (126,346)</w:t>
            </w:r>
          </w:p>
        </w:tc>
        <w:tc>
          <w:tcPr/>
          <w:p>
            <w:pPr>
              <w:pStyle w:val="Compact"/>
              <w:jc w:val="left"/>
            </w:pPr>
            <w:r>
              <w:t xml:space="preserve">50.4% (39,067)</w:t>
            </w:r>
          </w:p>
        </w:tc>
        <w:tc>
          <w:tcPr/>
          <w:p>
            <w:pPr>
              <w:pStyle w:val="Compact"/>
              <w:jc w:val="left"/>
            </w:pPr>
            <w:r>
              <w:t xml:space="preserve">47.4% (17,910)</w:t>
            </w:r>
          </w:p>
        </w:tc>
        <w:tc>
          <w:tcPr/>
          <w:p>
            <w:pPr>
              <w:pStyle w:val="Compact"/>
              <w:jc w:val="left"/>
            </w:pPr>
            <w:r>
              <w:t xml:space="preserve">53.3% (6,147)</w:t>
            </w:r>
          </w:p>
        </w:tc>
        <w:tc>
          <w:tcPr/>
          <w:p>
            <w:pPr>
              <w:pStyle w:val="Compact"/>
              <w:jc w:val="left"/>
            </w:pPr>
            <w:r>
              <w:t xml:space="preserve">50.6% (95,160)</w:t>
            </w:r>
          </w:p>
        </w:tc>
        <w:tc>
          <w:tcPr/>
          <w:p>
            <w:pPr>
              <w:pStyle w:val="Compact"/>
            </w:pPr>
          </w:p>
        </w:tc>
      </w:tr>
      <w:tr>
        <w:tc>
          <w:tcPr/>
          <w:p>
            <w:pPr>
              <w:pStyle w:val="Compact"/>
              <w:jc w:val="left"/>
            </w:pPr>
            <w:r>
              <w:t xml:space="preserve"> Female</w:t>
            </w:r>
          </w:p>
        </w:tc>
        <w:tc>
          <w:tcPr/>
          <w:p>
            <w:pPr>
              <w:pStyle w:val="Compact"/>
              <w:jc w:val="left"/>
            </w:pPr>
            <w:r>
              <w:t xml:space="preserve">47.1% (409,752)</w:t>
            </w:r>
          </w:p>
        </w:tc>
        <w:tc>
          <w:tcPr/>
          <w:p>
            <w:pPr>
              <w:pStyle w:val="Compact"/>
              <w:jc w:val="left"/>
            </w:pPr>
            <w:r>
              <w:t xml:space="preserve">46.5% (98,785)</w:t>
            </w:r>
          </w:p>
        </w:tc>
        <w:tc>
          <w:tcPr/>
          <w:p>
            <w:pPr>
              <w:pStyle w:val="Compact"/>
              <w:jc w:val="left"/>
            </w:pPr>
            <w:r>
              <w:t xml:space="preserve">45.1% (30,414)</w:t>
            </w:r>
          </w:p>
        </w:tc>
        <w:tc>
          <w:tcPr/>
          <w:p>
            <w:pPr>
              <w:pStyle w:val="Compact"/>
              <w:jc w:val="left"/>
            </w:pPr>
            <w:r>
              <w:t xml:space="preserve">46.6% (22,130)</w:t>
            </w:r>
          </w:p>
        </w:tc>
        <w:tc>
          <w:tcPr/>
          <w:p>
            <w:pPr>
              <w:pStyle w:val="Compact"/>
              <w:jc w:val="left"/>
            </w:pPr>
            <w:r>
              <w:t xml:space="preserve">44.6% (101,830)</w:t>
            </w:r>
          </w:p>
        </w:tc>
        <w:tc>
          <w:tcPr/>
          <w:p>
            <w:pPr>
              <w:pStyle w:val="Compact"/>
              <w:jc w:val="left"/>
            </w:pPr>
            <w:r>
              <w:t xml:space="preserve">49.6% (38,651)</w:t>
            </w:r>
          </w:p>
        </w:tc>
        <w:tc>
          <w:tcPr/>
          <w:p>
            <w:pPr>
              <w:pStyle w:val="Compact"/>
              <w:jc w:val="left"/>
            </w:pPr>
            <w:r>
              <w:t xml:space="preserve">52.6% (19,944)</w:t>
            </w:r>
          </w:p>
        </w:tc>
        <w:tc>
          <w:tcPr/>
          <w:p>
            <w:pPr>
              <w:pStyle w:val="Compact"/>
              <w:jc w:val="left"/>
            </w:pPr>
            <w:r>
              <w:t xml:space="preserve">46.7% (5,373)</w:t>
            </w:r>
          </w:p>
        </w:tc>
        <w:tc>
          <w:tcPr/>
          <w:p>
            <w:pPr>
              <w:pStyle w:val="Compact"/>
              <w:jc w:val="left"/>
            </w:pPr>
            <w:r>
              <w:t xml:space="preserve">49.4% (92,625)</w:t>
            </w:r>
          </w:p>
        </w:tc>
        <w:tc>
          <w:tcPr/>
          <w:p>
            <w:pPr>
              <w:pStyle w:val="Compact"/>
            </w:pPr>
          </w:p>
        </w:tc>
      </w:tr>
      <w:tr>
        <w:tc>
          <w:tcPr/>
          <w:p>
            <w:pPr>
              <w:pStyle w:val="Compact"/>
              <w:jc w:val="left"/>
            </w:pPr>
            <w:r>
              <w:t xml:space="preserve">Primary expected payer,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Suppressed</w:t>
            </w:r>
          </w:p>
        </w:tc>
      </w:tr>
      <w:tr>
        <w:tc>
          <w:tcPr/>
          <w:p>
            <w:pPr>
              <w:pStyle w:val="Compact"/>
              <w:jc w:val="left"/>
            </w:pPr>
            <w:r>
              <w:t xml:space="preserve"> Medicare</w:t>
            </w:r>
          </w:p>
        </w:tc>
        <w:tc>
          <w:tcPr/>
          <w:p>
            <w:pPr>
              <w:pStyle w:val="Compact"/>
              <w:jc w:val="left"/>
            </w:pPr>
            <w:r>
              <w:t xml:space="preserve">71.1% (620,855)</w:t>
            </w:r>
          </w:p>
        </w:tc>
        <w:tc>
          <w:tcPr/>
          <w:p>
            <w:pPr>
              <w:pStyle w:val="Compact"/>
              <w:jc w:val="left"/>
            </w:pPr>
            <w:r>
              <w:t xml:space="preserve">74.2% (158,340)</w:t>
            </w:r>
          </w:p>
        </w:tc>
        <w:tc>
          <w:tcPr/>
          <w:p>
            <w:pPr>
              <w:pStyle w:val="Compact"/>
              <w:jc w:val="left"/>
            </w:pPr>
            <w:r>
              <w:t xml:space="preserve">76.2% (51,614)</w:t>
            </w:r>
          </w:p>
        </w:tc>
        <w:tc>
          <w:tcPr/>
          <w:p>
            <w:pPr>
              <w:pStyle w:val="Compact"/>
              <w:jc w:val="left"/>
            </w:pPr>
            <w:r>
              <w:t xml:space="preserve">51.8% (24,731)</w:t>
            </w:r>
          </w:p>
        </w:tc>
        <w:tc>
          <w:tcPr/>
          <w:p>
            <w:pPr>
              <w:pStyle w:val="Compact"/>
              <w:jc w:val="left"/>
            </w:pPr>
            <w:r>
              <w:t xml:space="preserve">78.2% (178,592)</w:t>
            </w:r>
          </w:p>
        </w:tc>
        <w:tc>
          <w:tcPr/>
          <w:p>
            <w:pPr>
              <w:pStyle w:val="Compact"/>
              <w:jc w:val="left"/>
            </w:pPr>
            <w:r>
              <w:t xml:space="preserve">65.9% (51,470)</w:t>
            </w:r>
          </w:p>
        </w:tc>
        <w:tc>
          <w:tcPr/>
          <w:p>
            <w:pPr>
              <w:pStyle w:val="Compact"/>
              <w:jc w:val="left"/>
            </w:pPr>
            <w:r>
              <w:t xml:space="preserve">70.5% (26,789)</w:t>
            </w:r>
          </w:p>
        </w:tc>
        <w:tc>
          <w:tcPr/>
          <w:p>
            <w:pPr>
              <w:pStyle w:val="Compact"/>
              <w:jc w:val="left"/>
            </w:pPr>
            <w:r>
              <w:t xml:space="preserve">69.2% (7,984)</w:t>
            </w:r>
          </w:p>
        </w:tc>
        <w:tc>
          <w:tcPr/>
          <w:p>
            <w:pPr>
              <w:pStyle w:val="Compact"/>
              <w:jc w:val="left"/>
            </w:pPr>
            <w:r>
              <w:t xml:space="preserve">64.5% (121,335)</w:t>
            </w:r>
          </w:p>
        </w:tc>
        <w:tc>
          <w:tcPr/>
          <w:p>
            <w:pPr>
              <w:pStyle w:val="Compact"/>
            </w:pPr>
          </w:p>
        </w:tc>
      </w:tr>
      <w:tr>
        <w:tc>
          <w:tcPr/>
          <w:p>
            <w:pPr>
              <w:pStyle w:val="Compact"/>
              <w:jc w:val="left"/>
            </w:pPr>
            <w:r>
              <w:t xml:space="preserve"> Private</w:t>
            </w:r>
          </w:p>
        </w:tc>
        <w:tc>
          <w:tcPr/>
          <w:p>
            <w:pPr>
              <w:pStyle w:val="Compact"/>
              <w:jc w:val="left"/>
            </w:pPr>
            <w:r>
              <w:t xml:space="preserve">12.4% (105,510)</w:t>
            </w:r>
          </w:p>
        </w:tc>
        <w:tc>
          <w:tcPr/>
          <w:p>
            <w:pPr>
              <w:pStyle w:val="Compact"/>
              <w:jc w:val="left"/>
            </w:pPr>
            <w:r>
              <w:t xml:space="preserve">11.3% (23,503)</w:t>
            </w:r>
          </w:p>
        </w:tc>
        <w:tc>
          <w:tcPr/>
          <w:p>
            <w:pPr>
              <w:pStyle w:val="Compact"/>
              <w:jc w:val="left"/>
            </w:pPr>
            <w:r>
              <w:t xml:space="preserve">11.5% (7,595)</w:t>
            </w:r>
          </w:p>
        </w:tc>
        <w:tc>
          <w:tcPr/>
          <w:p>
            <w:pPr>
              <w:pStyle w:val="Compact"/>
              <w:jc w:val="left"/>
            </w:pPr>
            <w:r>
              <w:t xml:space="preserve">16.7% (7,705)</w:t>
            </w:r>
          </w:p>
        </w:tc>
        <w:tc>
          <w:tcPr/>
          <w:p>
            <w:pPr>
              <w:pStyle w:val="Compact"/>
              <w:jc w:val="left"/>
            </w:pPr>
            <w:r>
              <w:t xml:space="preserve">10.5% (23,442)</w:t>
            </w:r>
          </w:p>
        </w:tc>
        <w:tc>
          <w:tcPr/>
          <w:p>
            <w:pPr>
              <w:pStyle w:val="Compact"/>
              <w:jc w:val="left"/>
            </w:pPr>
            <w:r>
              <w:t xml:space="preserve">14.5% (10,980)</w:t>
            </w:r>
          </w:p>
        </w:tc>
        <w:tc>
          <w:tcPr/>
          <w:p>
            <w:pPr>
              <w:pStyle w:val="Compact"/>
              <w:jc w:val="left"/>
            </w:pPr>
            <w:r>
              <w:t xml:space="preserve">12.0% (4,478)</w:t>
            </w:r>
          </w:p>
        </w:tc>
        <w:tc>
          <w:tcPr/>
          <w:p>
            <w:pPr>
              <w:pStyle w:val="Compact"/>
              <w:jc w:val="left"/>
            </w:pPr>
            <w:r>
              <w:t xml:space="preserve">14.3% (1,616)</w:t>
            </w:r>
          </w:p>
        </w:tc>
        <w:tc>
          <w:tcPr/>
          <w:p>
            <w:pPr>
              <w:pStyle w:val="Compact"/>
              <w:jc w:val="left"/>
            </w:pPr>
            <w:r>
              <w:t xml:space="preserve">14.3% (26,191)</w:t>
            </w:r>
          </w:p>
        </w:tc>
        <w:tc>
          <w:tcPr/>
          <w:p>
            <w:pPr>
              <w:pStyle w:val="Compact"/>
            </w:pPr>
          </w:p>
        </w:tc>
      </w:tr>
      <w:tr>
        <w:tc>
          <w:tcPr/>
          <w:p>
            <w:pPr>
              <w:pStyle w:val="Compact"/>
              <w:jc w:val="left"/>
            </w:pPr>
            <w:r>
              <w:t xml:space="preserve"> Medicaid</w:t>
            </w:r>
          </w:p>
        </w:tc>
        <w:tc>
          <w:tcPr/>
          <w:p>
            <w:pPr>
              <w:pStyle w:val="Compact"/>
              <w:jc w:val="left"/>
            </w:pPr>
            <w:r>
              <w:t xml:space="preserve">11.2% (100,339)</w:t>
            </w:r>
          </w:p>
        </w:tc>
        <w:tc>
          <w:tcPr/>
          <w:p>
            <w:pPr>
              <w:pStyle w:val="Compact"/>
              <w:jc w:val="left"/>
            </w:pPr>
            <w:r>
              <w:t xml:space="preserve">10.0% (21,774)</w:t>
            </w:r>
          </w:p>
        </w:tc>
        <w:tc>
          <w:tcPr/>
          <w:p>
            <w:pPr>
              <w:pStyle w:val="Compact"/>
              <w:jc w:val="left"/>
            </w:pPr>
            <w:r>
              <w:t xml:space="preserve">7.9% (5,406)</w:t>
            </w:r>
          </w:p>
        </w:tc>
        <w:tc>
          <w:tcPr/>
          <w:p>
            <w:pPr>
              <w:pStyle w:val="Compact"/>
              <w:jc w:val="left"/>
            </w:pPr>
            <w:r>
              <w:t xml:space="preserve">21.3% (10,211)</w:t>
            </w:r>
          </w:p>
        </w:tc>
        <w:tc>
          <w:tcPr/>
          <w:p>
            <w:pPr>
              <w:pStyle w:val="Compact"/>
              <w:jc w:val="left"/>
            </w:pPr>
            <w:r>
              <w:t xml:space="preserve">7.3% (17,025)</w:t>
            </w:r>
          </w:p>
        </w:tc>
        <w:tc>
          <w:tcPr/>
          <w:p>
            <w:pPr>
              <w:pStyle w:val="Compact"/>
              <w:jc w:val="left"/>
            </w:pPr>
            <w:r>
              <w:t xml:space="preserve">13.5% (10,692)</w:t>
            </w:r>
          </w:p>
        </w:tc>
        <w:tc>
          <w:tcPr/>
          <w:p>
            <w:pPr>
              <w:pStyle w:val="Compact"/>
              <w:jc w:val="left"/>
            </w:pPr>
            <w:r>
              <w:t xml:space="preserve">12.1% (4,661)</w:t>
            </w:r>
          </w:p>
        </w:tc>
        <w:tc>
          <w:tcPr/>
          <w:p>
            <w:pPr>
              <w:pStyle w:val="Compact"/>
              <w:jc w:val="left"/>
            </w:pPr>
            <w:r>
              <w:t xml:space="preserve">11.4% (1,363)</w:t>
            </w:r>
          </w:p>
        </w:tc>
        <w:tc>
          <w:tcPr/>
          <w:p>
            <w:pPr>
              <w:pStyle w:val="Compact"/>
              <w:jc w:val="left"/>
            </w:pPr>
            <w:r>
              <w:t xml:space="preserve">15.0% (29,207)</w:t>
            </w:r>
          </w:p>
        </w:tc>
        <w:tc>
          <w:tcPr/>
          <w:p>
            <w:pPr>
              <w:pStyle w:val="Compact"/>
            </w:pPr>
          </w:p>
        </w:tc>
      </w:tr>
      <w:tr>
        <w:tc>
          <w:tcPr/>
          <w:p>
            <w:pPr>
              <w:pStyle w:val="Compact"/>
              <w:jc w:val="left"/>
            </w:pPr>
            <w:r>
              <w:t xml:space="preserve"> Other/self-pay</w:t>
            </w:r>
          </w:p>
        </w:tc>
        <w:tc>
          <w:tcPr/>
          <w:p>
            <w:pPr>
              <w:pStyle w:val="Compact"/>
              <w:jc w:val="left"/>
            </w:pPr>
            <w:r>
              <w:t xml:space="preserve">&lt;11 (suppressed)</w:t>
            </w:r>
          </w:p>
        </w:tc>
        <w:tc>
          <w:tcPr/>
          <w:p>
            <w:pPr>
              <w:pStyle w:val="Compact"/>
              <w:jc w:val="left"/>
            </w:pPr>
            <w:r>
              <w:t xml:space="preserve">4.3% (8,866)</w:t>
            </w:r>
          </w:p>
        </w:tc>
        <w:tc>
          <w:tcPr/>
          <w:p>
            <w:pPr>
              <w:pStyle w:val="Compact"/>
              <w:jc w:val="left"/>
            </w:pPr>
            <w:r>
              <w:t xml:space="preserve">4.3% (2,778)</w:t>
            </w:r>
          </w:p>
        </w:tc>
        <w:tc>
          <w:tcPr/>
          <w:p>
            <w:pPr>
              <w:pStyle w:val="Compact"/>
              <w:jc w:val="left"/>
            </w:pPr>
            <w:r>
              <w:t xml:space="preserve">10.1% (4,456)</w:t>
            </w:r>
          </w:p>
        </w:tc>
        <w:tc>
          <w:tcPr/>
          <w:p>
            <w:pPr>
              <w:pStyle w:val="Compact"/>
              <w:jc w:val="left"/>
            </w:pPr>
            <w:r>
              <w:t xml:space="preserve">4.0% (8,853)</w:t>
            </w:r>
          </w:p>
        </w:tc>
        <w:tc>
          <w:tcPr/>
          <w:p>
            <w:pPr>
              <w:pStyle w:val="Compact"/>
              <w:jc w:val="left"/>
            </w:pPr>
            <w:r>
              <w:t xml:space="preserve">5.9% (4,408)</w:t>
            </w:r>
          </w:p>
        </w:tc>
        <w:tc>
          <w:tcPr/>
          <w:p>
            <w:pPr>
              <w:pStyle w:val="Compact"/>
              <w:jc w:val="left"/>
            </w:pPr>
            <w:r>
              <w:t xml:space="preserve">5.3% (1,877)</w:t>
            </w:r>
          </w:p>
        </w:tc>
        <w:tc>
          <w:tcPr/>
          <w:p>
            <w:pPr>
              <w:pStyle w:val="Compact"/>
              <w:jc w:val="left"/>
            </w:pPr>
            <w:r>
              <w:t xml:space="preserve">&lt;11 (suppressed)</w:t>
            </w:r>
          </w:p>
        </w:tc>
        <w:tc>
          <w:tcPr/>
          <w:p>
            <w:pPr>
              <w:pStyle w:val="Compact"/>
              <w:jc w:val="left"/>
            </w:pPr>
            <w:r>
              <w:t xml:space="preserve">6.1% (10,735)</w:t>
            </w:r>
          </w:p>
        </w:tc>
        <w:tc>
          <w:tcPr/>
          <w:p>
            <w:pPr>
              <w:pStyle w:val="Compact"/>
            </w:pPr>
          </w:p>
        </w:tc>
      </w:tr>
      <w:tr>
        <w:tc>
          <w:tcPr/>
          <w:p>
            <w:pPr>
              <w:pStyle w:val="Compact"/>
              <w:jc w:val="left"/>
            </w:pPr>
            <w:r>
              <w:t xml:space="preserve"> Missing/other</w:t>
            </w:r>
          </w:p>
        </w:tc>
        <w:tc>
          <w:tcPr/>
          <w:p>
            <w:pPr>
              <w:pStyle w:val="Compact"/>
              <w:jc w:val="left"/>
            </w:pPr>
            <w:r>
              <w:t xml:space="preserve">&lt;11 (suppressed)</w:t>
            </w:r>
          </w:p>
        </w:tc>
        <w:tc>
          <w:tcPr/>
          <w:p>
            <w:pPr>
              <w:pStyle w:val="Compact"/>
              <w:jc w:val="left"/>
            </w:pPr>
            <w:r>
              <w:t xml:space="preserve">0.1% (272)</w:t>
            </w:r>
          </w:p>
        </w:tc>
        <w:tc>
          <w:tcPr/>
          <w:p>
            <w:pPr>
              <w:pStyle w:val="Compact"/>
              <w:jc w:val="left"/>
            </w:pPr>
            <w:r>
              <w:t xml:space="preserve">0.1% (89)</w:t>
            </w:r>
          </w:p>
        </w:tc>
        <w:tc>
          <w:tcPr/>
          <w:p>
            <w:pPr>
              <w:pStyle w:val="Compact"/>
              <w:jc w:val="left"/>
            </w:pPr>
            <w:r>
              <w:t xml:space="preserve">0.2% (93)</w:t>
            </w:r>
          </w:p>
        </w:tc>
        <w:tc>
          <w:tcPr/>
          <w:p>
            <w:pPr>
              <w:pStyle w:val="Compact"/>
              <w:jc w:val="left"/>
            </w:pPr>
            <w:r>
              <w:t xml:space="preserve">0.1% (264)</w:t>
            </w:r>
          </w:p>
        </w:tc>
        <w:tc>
          <w:tcPr/>
          <w:p>
            <w:pPr>
              <w:pStyle w:val="Compact"/>
              <w:jc w:val="left"/>
            </w:pPr>
            <w:r>
              <w:t xml:space="preserve">0.2% (168)</w:t>
            </w:r>
          </w:p>
        </w:tc>
        <w:tc>
          <w:tcPr/>
          <w:p>
            <w:pPr>
              <w:pStyle w:val="Compact"/>
              <w:jc w:val="left"/>
            </w:pPr>
            <w:r>
              <w:t xml:space="preserve">0.1% (49)</w:t>
            </w:r>
          </w:p>
        </w:tc>
        <w:tc>
          <w:tcPr/>
          <w:p>
            <w:pPr>
              <w:pStyle w:val="Compact"/>
              <w:jc w:val="left"/>
            </w:pPr>
            <w:r>
              <w:t xml:space="preserve">&lt;11 (suppressed)</w:t>
            </w:r>
          </w:p>
        </w:tc>
        <w:tc>
          <w:tcPr/>
          <w:p>
            <w:pPr>
              <w:pStyle w:val="Compact"/>
              <w:jc w:val="left"/>
            </w:pPr>
            <w:r>
              <w:t xml:space="preserve">0.2% (317)</w:t>
            </w:r>
          </w:p>
        </w:tc>
        <w:tc>
          <w:tcPr/>
          <w:p>
            <w:pPr>
              <w:pStyle w:val="Compact"/>
            </w:pPr>
          </w:p>
        </w:tc>
      </w:tr>
      <w:tr>
        <w:tc>
          <w:tcPr/>
          <w:p>
            <w:pPr>
              <w:pStyle w:val="Compact"/>
              <w:jc w:val="left"/>
            </w:pPr>
            <w:r>
              <w:t xml:space="preserve">Median household income quartile (patient ZIP code),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0.245</w:t>
            </w:r>
          </w:p>
        </w:tc>
      </w:tr>
      <w:tr>
        <w:tc>
          <w:tcPr/>
          <w:p>
            <w:pPr>
              <w:pStyle w:val="Compact"/>
              <w:jc w:val="left"/>
            </w:pPr>
            <w:r>
              <w:t xml:space="preserve"> 0-25th percentile</w:t>
            </w:r>
          </w:p>
        </w:tc>
        <w:tc>
          <w:tcPr/>
          <w:p>
            <w:pPr>
              <w:pStyle w:val="Compact"/>
              <w:jc w:val="left"/>
            </w:pPr>
            <w:r>
              <w:t xml:space="preserve">31.7% (260,173)</w:t>
            </w:r>
          </w:p>
        </w:tc>
        <w:tc>
          <w:tcPr/>
          <w:p>
            <w:pPr>
              <w:pStyle w:val="Compact"/>
              <w:jc w:val="left"/>
            </w:pPr>
            <w:r>
              <w:t xml:space="preserve">29.7% (59,045)</w:t>
            </w:r>
          </w:p>
        </w:tc>
        <w:tc>
          <w:tcPr/>
          <w:p>
            <w:pPr>
              <w:pStyle w:val="Compact"/>
              <w:jc w:val="left"/>
            </w:pPr>
            <w:r>
              <w:t xml:space="preserve">29.3% (18,718)</w:t>
            </w:r>
          </w:p>
        </w:tc>
        <w:tc>
          <w:tcPr/>
          <w:p>
            <w:pPr>
              <w:pStyle w:val="Compact"/>
              <w:jc w:val="left"/>
            </w:pPr>
            <w:r>
              <w:t xml:space="preserve">41.3% (18,261)</w:t>
            </w:r>
          </w:p>
        </w:tc>
        <w:tc>
          <w:tcPr/>
          <w:p>
            <w:pPr>
              <w:pStyle w:val="Compact"/>
              <w:jc w:val="left"/>
            </w:pPr>
            <w:r>
              <w:t xml:space="preserve">29.1% (62,476)</w:t>
            </w:r>
          </w:p>
        </w:tc>
        <w:tc>
          <w:tcPr/>
          <w:p>
            <w:pPr>
              <w:pStyle w:val="Compact"/>
              <w:jc w:val="left"/>
            </w:pPr>
            <w:r>
              <w:t xml:space="preserve">32.8% (24,178)</w:t>
            </w:r>
          </w:p>
        </w:tc>
        <w:tc>
          <w:tcPr/>
          <w:p>
            <w:pPr>
              <w:pStyle w:val="Compact"/>
              <w:jc w:val="left"/>
            </w:pPr>
            <w:r>
              <w:t xml:space="preserve">32.1% (11,379)</w:t>
            </w:r>
          </w:p>
        </w:tc>
        <w:tc>
          <w:tcPr/>
          <w:p>
            <w:pPr>
              <w:pStyle w:val="Compact"/>
              <w:jc w:val="left"/>
            </w:pPr>
            <w:r>
              <w:t xml:space="preserve">30.7% (3,341)</w:t>
            </w:r>
          </w:p>
        </w:tc>
        <w:tc>
          <w:tcPr/>
          <w:p>
            <w:pPr>
              <w:pStyle w:val="Compact"/>
              <w:jc w:val="left"/>
            </w:pPr>
            <w:r>
              <w:t xml:space="preserve">35.2% (62,775)</w:t>
            </w:r>
          </w:p>
        </w:tc>
        <w:tc>
          <w:tcPr/>
          <w:p>
            <w:pPr>
              <w:pStyle w:val="Compact"/>
            </w:pPr>
          </w:p>
        </w:tc>
      </w:tr>
      <w:tr>
        <w:tc>
          <w:tcPr/>
          <w:p>
            <w:pPr>
              <w:pStyle w:val="Compact"/>
              <w:jc w:val="left"/>
            </w:pPr>
            <w:r>
              <w:t xml:space="preserve"> 26th to 50th percentile</w:t>
            </w:r>
          </w:p>
        </w:tc>
        <w:tc>
          <w:tcPr/>
          <w:p>
            <w:pPr>
              <w:pStyle w:val="Compact"/>
              <w:jc w:val="left"/>
            </w:pPr>
            <w:r>
              <w:t xml:space="preserve">27.8% (235,425)</w:t>
            </w:r>
          </w:p>
        </w:tc>
        <w:tc>
          <w:tcPr/>
          <w:p>
            <w:pPr>
              <w:pStyle w:val="Compact"/>
              <w:jc w:val="left"/>
            </w:pPr>
            <w:r>
              <w:t xml:space="preserve">28.1% (58,122)</w:t>
            </w:r>
          </w:p>
        </w:tc>
        <w:tc>
          <w:tcPr/>
          <w:p>
            <w:pPr>
              <w:pStyle w:val="Compact"/>
              <w:jc w:val="left"/>
            </w:pPr>
            <w:r>
              <w:t xml:space="preserve">28.8% (18,763)</w:t>
            </w:r>
          </w:p>
        </w:tc>
        <w:tc>
          <w:tcPr/>
          <w:p>
            <w:pPr>
              <w:pStyle w:val="Compact"/>
              <w:jc w:val="left"/>
            </w:pPr>
            <w:r>
              <w:t xml:space="preserve">25.3% (11,895)</w:t>
            </w:r>
          </w:p>
        </w:tc>
        <w:tc>
          <w:tcPr/>
          <w:p>
            <w:pPr>
              <w:pStyle w:val="Compact"/>
              <w:jc w:val="left"/>
            </w:pPr>
            <w:r>
              <w:t xml:space="preserve">28.1% (62,116)</w:t>
            </w:r>
          </w:p>
        </w:tc>
        <w:tc>
          <w:tcPr/>
          <w:p>
            <w:pPr>
              <w:pStyle w:val="Compact"/>
              <w:jc w:val="left"/>
            </w:pPr>
            <w:r>
              <w:t xml:space="preserve">28.6% (21,619)</w:t>
            </w:r>
          </w:p>
        </w:tc>
        <w:tc>
          <w:tcPr/>
          <w:p>
            <w:pPr>
              <w:pStyle w:val="Compact"/>
              <w:jc w:val="left"/>
            </w:pPr>
            <w:r>
              <w:t xml:space="preserve">26.4% (9,798)</w:t>
            </w:r>
          </w:p>
        </w:tc>
        <w:tc>
          <w:tcPr/>
          <w:p>
            <w:pPr>
              <w:pStyle w:val="Compact"/>
              <w:jc w:val="left"/>
            </w:pPr>
            <w:r>
              <w:t xml:space="preserve">28.7% (3,205)</w:t>
            </w:r>
          </w:p>
        </w:tc>
        <w:tc>
          <w:tcPr/>
          <w:p>
            <w:pPr>
              <w:pStyle w:val="Compact"/>
              <w:jc w:val="left"/>
            </w:pPr>
            <w:r>
              <w:t xml:space="preserve">27.2% (49,907)</w:t>
            </w:r>
          </w:p>
        </w:tc>
        <w:tc>
          <w:tcPr/>
          <w:p>
            <w:pPr>
              <w:pStyle w:val="Compact"/>
            </w:pPr>
          </w:p>
        </w:tc>
      </w:tr>
      <w:tr>
        <w:tc>
          <w:tcPr/>
          <w:p>
            <w:pPr>
              <w:pStyle w:val="Compact"/>
              <w:jc w:val="left"/>
            </w:pPr>
            <w:r>
              <w:t xml:space="preserve"> 51st to 75th percentile</w:t>
            </w:r>
          </w:p>
        </w:tc>
        <w:tc>
          <w:tcPr/>
          <w:p>
            <w:pPr>
              <w:pStyle w:val="Compact"/>
              <w:jc w:val="left"/>
            </w:pPr>
            <w:r>
              <w:t xml:space="preserve">22.6% (202,538)</w:t>
            </w:r>
          </w:p>
        </w:tc>
        <w:tc>
          <w:tcPr/>
          <w:p>
            <w:pPr>
              <w:pStyle w:val="Compact"/>
              <w:jc w:val="left"/>
            </w:pPr>
            <w:r>
              <w:t xml:space="preserve">23.2% (50,842)</w:t>
            </w:r>
          </w:p>
        </w:tc>
        <w:tc>
          <w:tcPr/>
          <w:p>
            <w:pPr>
              <w:pStyle w:val="Compact"/>
              <w:jc w:val="left"/>
            </w:pPr>
            <w:r>
              <w:t xml:space="preserve">23.3% (16,112)</w:t>
            </w:r>
          </w:p>
        </w:tc>
        <w:tc>
          <w:tcPr/>
          <w:p>
            <w:pPr>
              <w:pStyle w:val="Compact"/>
              <w:jc w:val="left"/>
            </w:pPr>
            <w:r>
              <w:t xml:space="preserve">19.9% (9,889)</w:t>
            </w:r>
          </w:p>
        </w:tc>
        <w:tc>
          <w:tcPr/>
          <w:p>
            <w:pPr>
              <w:pStyle w:val="Compact"/>
              <w:jc w:val="left"/>
            </w:pPr>
            <w:r>
              <w:t xml:space="preserve">23.4% (54,706)</w:t>
            </w:r>
          </w:p>
        </w:tc>
        <w:tc>
          <w:tcPr/>
          <w:p>
            <w:pPr>
              <w:pStyle w:val="Compact"/>
              <w:jc w:val="left"/>
            </w:pPr>
            <w:r>
              <w:t xml:space="preserve">22.7% (18,262)</w:t>
            </w:r>
          </w:p>
        </w:tc>
        <w:tc>
          <w:tcPr/>
          <w:p>
            <w:pPr>
              <w:pStyle w:val="Compact"/>
              <w:jc w:val="left"/>
            </w:pPr>
            <w:r>
              <w:t xml:space="preserve">22.4% (8,709)</w:t>
            </w:r>
          </w:p>
        </w:tc>
        <w:tc>
          <w:tcPr/>
          <w:p>
            <w:pPr>
              <w:pStyle w:val="Compact"/>
              <w:jc w:val="left"/>
            </w:pPr>
            <w:r>
              <w:t xml:space="preserve">22.4% (2,652)</w:t>
            </w:r>
          </w:p>
        </w:tc>
        <w:tc>
          <w:tcPr/>
          <w:p>
            <w:pPr>
              <w:pStyle w:val="Compact"/>
              <w:jc w:val="left"/>
            </w:pPr>
            <w:r>
              <w:t xml:space="preserve">21.4% (41,366)</w:t>
            </w:r>
          </w:p>
        </w:tc>
        <w:tc>
          <w:tcPr/>
          <w:p>
            <w:pPr>
              <w:pStyle w:val="Compact"/>
            </w:pPr>
          </w:p>
        </w:tc>
      </w:tr>
      <w:tr>
        <w:tc>
          <w:tcPr/>
          <w:p>
            <w:pPr>
              <w:pStyle w:val="Compact"/>
              <w:jc w:val="left"/>
            </w:pPr>
            <w:r>
              <w:t xml:space="preserve"> 76th to 100th percentile</w:t>
            </w:r>
          </w:p>
        </w:tc>
        <w:tc>
          <w:tcPr/>
          <w:p>
            <w:pPr>
              <w:pStyle w:val="Compact"/>
              <w:jc w:val="left"/>
            </w:pPr>
            <w:r>
              <w:t xml:space="preserve">16.8% (162,350)</w:t>
            </w:r>
          </w:p>
        </w:tc>
        <w:tc>
          <w:tcPr/>
          <w:p>
            <w:pPr>
              <w:pStyle w:val="Compact"/>
              <w:jc w:val="left"/>
            </w:pPr>
            <w:r>
              <w:t xml:space="preserve">17.9% (42,245)</w:t>
            </w:r>
          </w:p>
        </w:tc>
        <w:tc>
          <w:tcPr/>
          <w:p>
            <w:pPr>
              <w:pStyle w:val="Compact"/>
              <w:jc w:val="left"/>
            </w:pPr>
            <w:r>
              <w:t xml:space="preserve">17.5% (13,120)</w:t>
            </w:r>
          </w:p>
        </w:tc>
        <w:tc>
          <w:tcPr/>
          <w:p>
            <w:pPr>
              <w:pStyle w:val="Compact"/>
              <w:jc w:val="left"/>
            </w:pPr>
            <w:r>
              <w:t xml:space="preserve">12.4% (6,625)</w:t>
            </w:r>
          </w:p>
        </w:tc>
        <w:tc>
          <w:tcPr/>
          <w:p>
            <w:pPr>
              <w:pStyle w:val="Compact"/>
              <w:jc w:val="left"/>
            </w:pPr>
            <w:r>
              <w:t xml:space="preserve">18.4% (46,339)</w:t>
            </w:r>
          </w:p>
        </w:tc>
        <w:tc>
          <w:tcPr/>
          <w:p>
            <w:pPr>
              <w:pStyle w:val="Compact"/>
              <w:jc w:val="left"/>
            </w:pPr>
            <w:r>
              <w:t xml:space="preserve">14.8% (12,715)</w:t>
            </w:r>
          </w:p>
        </w:tc>
        <w:tc>
          <w:tcPr/>
          <w:p>
            <w:pPr>
              <w:pStyle w:val="Compact"/>
              <w:jc w:val="left"/>
            </w:pPr>
            <w:r>
              <w:t xml:space="preserve">18.1% (7,586)</w:t>
            </w:r>
          </w:p>
        </w:tc>
        <w:tc>
          <w:tcPr/>
          <w:p>
            <w:pPr>
              <w:pStyle w:val="Compact"/>
              <w:jc w:val="left"/>
            </w:pPr>
            <w:r>
              <w:t xml:space="preserve">17.1% (2,185)</w:t>
            </w:r>
          </w:p>
        </w:tc>
        <w:tc>
          <w:tcPr/>
          <w:p>
            <w:pPr>
              <w:pStyle w:val="Compact"/>
              <w:jc w:val="left"/>
            </w:pPr>
            <w:r>
              <w:t xml:space="preserve">15.1% (31,535)</w:t>
            </w:r>
          </w:p>
        </w:tc>
        <w:tc>
          <w:tcPr/>
          <w:p>
            <w:pPr>
              <w:pStyle w:val="Compact"/>
            </w:pPr>
          </w:p>
        </w:tc>
      </w:tr>
      <w:tr>
        <w:tc>
          <w:tcPr/>
          <w:p>
            <w:pPr>
              <w:pStyle w:val="Compact"/>
              <w:jc w:val="left"/>
            </w:pPr>
            <w:r>
              <w:t xml:space="preserve"> Missing/other</w:t>
            </w:r>
          </w:p>
        </w:tc>
        <w:tc>
          <w:tcPr/>
          <w:p>
            <w:pPr>
              <w:pStyle w:val="Compact"/>
              <w:jc w:val="left"/>
            </w:pPr>
            <w:r>
              <w:t xml:space="preserve">1.1% (10,000)</w:t>
            </w:r>
          </w:p>
        </w:tc>
        <w:tc>
          <w:tcPr/>
          <w:p>
            <w:pPr>
              <w:pStyle w:val="Compact"/>
              <w:jc w:val="left"/>
            </w:pPr>
            <w:r>
              <w:t xml:space="preserve">1.1% (2,501)</w:t>
            </w:r>
          </w:p>
        </w:tc>
        <w:tc>
          <w:tcPr/>
          <w:p>
            <w:pPr>
              <w:pStyle w:val="Compact"/>
              <w:jc w:val="left"/>
            </w:pPr>
            <w:r>
              <w:t xml:space="preserve">1.1% (769)</w:t>
            </w:r>
          </w:p>
        </w:tc>
        <w:tc>
          <w:tcPr/>
          <w:p>
            <w:pPr>
              <w:pStyle w:val="Compact"/>
              <w:jc w:val="left"/>
            </w:pPr>
            <w:r>
              <w:t xml:space="preserve">1.1% (526)</w:t>
            </w:r>
          </w:p>
        </w:tc>
        <w:tc>
          <w:tcPr/>
          <w:p>
            <w:pPr>
              <w:pStyle w:val="Compact"/>
              <w:jc w:val="left"/>
            </w:pPr>
            <w:r>
              <w:t xml:space="preserve">1.1% (2,539)</w:t>
            </w:r>
          </w:p>
        </w:tc>
        <w:tc>
          <w:tcPr/>
          <w:p>
            <w:pPr>
              <w:pStyle w:val="Compact"/>
              <w:jc w:val="left"/>
            </w:pPr>
            <w:r>
              <w:t xml:space="preserve">1.2% (944)</w:t>
            </w:r>
          </w:p>
        </w:tc>
        <w:tc>
          <w:tcPr/>
          <w:p>
            <w:pPr>
              <w:pStyle w:val="Compact"/>
              <w:jc w:val="left"/>
            </w:pPr>
            <w:r>
              <w:t xml:space="preserve">1.0% (382)</w:t>
            </w:r>
          </w:p>
        </w:tc>
        <w:tc>
          <w:tcPr/>
          <w:p>
            <w:pPr>
              <w:pStyle w:val="Compact"/>
              <w:jc w:val="left"/>
            </w:pPr>
            <w:r>
              <w:t xml:space="preserve">1.2% (137)</w:t>
            </w:r>
          </w:p>
        </w:tc>
        <w:tc>
          <w:tcPr/>
          <w:p>
            <w:pPr>
              <w:pStyle w:val="Compact"/>
              <w:jc w:val="left"/>
            </w:pPr>
            <w:r>
              <w:t xml:space="preserve">1.1% (2,202)</w:t>
            </w:r>
          </w:p>
        </w:tc>
        <w:tc>
          <w:tcPr/>
          <w:p>
            <w:pPr>
              <w:pStyle w:val="Compact"/>
            </w:pPr>
          </w:p>
        </w:tc>
      </w:tr>
      <w:tr>
        <w:tc>
          <w:tcPr/>
          <w:p>
            <w:pPr>
              <w:pStyle w:val="Compact"/>
              <w:jc w:val="left"/>
            </w:pPr>
            <w:r>
              <w:t xml:space="preserve">Patient residence (NCHS urban-rural classification),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0.216</w:t>
            </w:r>
          </w:p>
        </w:tc>
      </w:tr>
      <w:tr>
        <w:tc>
          <w:tcPr/>
          <w:p>
            <w:pPr>
              <w:pStyle w:val="Compact"/>
              <w:jc w:val="left"/>
            </w:pPr>
            <w:r>
              <w:t xml:space="preserve"> Central metro ≥1 million</w:t>
            </w:r>
          </w:p>
        </w:tc>
        <w:tc>
          <w:tcPr/>
          <w:p>
            <w:pPr>
              <w:pStyle w:val="Compact"/>
              <w:jc w:val="left"/>
            </w:pPr>
            <w:r>
              <w:t xml:space="preserve">27.0% (257,916)</w:t>
            </w:r>
          </w:p>
        </w:tc>
        <w:tc>
          <w:tcPr/>
          <w:p>
            <w:pPr>
              <w:pStyle w:val="Compact"/>
              <w:jc w:val="left"/>
            </w:pPr>
            <w:r>
              <w:t xml:space="preserve">27.1% (64,321)</w:t>
            </w:r>
          </w:p>
        </w:tc>
        <w:tc>
          <w:tcPr/>
          <w:p>
            <w:pPr>
              <w:pStyle w:val="Compact"/>
              <w:jc w:val="left"/>
            </w:pPr>
            <w:r>
              <w:t xml:space="preserve">24.4% (18,049)</w:t>
            </w:r>
          </w:p>
        </w:tc>
        <w:tc>
          <w:tcPr/>
          <w:p>
            <w:pPr>
              <w:pStyle w:val="Compact"/>
              <w:jc w:val="left"/>
            </w:pPr>
            <w:r>
              <w:t xml:space="preserve">37.1% (18,127)</w:t>
            </w:r>
          </w:p>
        </w:tc>
        <w:tc>
          <w:tcPr/>
          <w:p>
            <w:pPr>
              <w:pStyle w:val="Compact"/>
              <w:jc w:val="left"/>
            </w:pPr>
            <w:r>
              <w:t xml:space="preserve">24.7% (62,440)</w:t>
            </w:r>
          </w:p>
        </w:tc>
        <w:tc>
          <w:tcPr/>
          <w:p>
            <w:pPr>
              <w:pStyle w:val="Compact"/>
              <w:jc w:val="left"/>
            </w:pPr>
            <w:r>
              <w:t xml:space="preserve">25.1% (21,437)</w:t>
            </w:r>
          </w:p>
        </w:tc>
        <w:tc>
          <w:tcPr/>
          <w:p>
            <w:pPr>
              <w:pStyle w:val="Compact"/>
              <w:jc w:val="left"/>
            </w:pPr>
            <w:r>
              <w:t xml:space="preserve">30.1% (12,450)</w:t>
            </w:r>
          </w:p>
        </w:tc>
        <w:tc>
          <w:tcPr/>
          <w:p>
            <w:pPr>
              <w:pStyle w:val="Compact"/>
              <w:jc w:val="left"/>
            </w:pPr>
            <w:r>
              <w:t xml:space="preserve">26.0% (3,300)</w:t>
            </w:r>
          </w:p>
        </w:tc>
        <w:tc>
          <w:tcPr/>
          <w:p>
            <w:pPr>
              <w:pStyle w:val="Compact"/>
              <w:jc w:val="left"/>
            </w:pPr>
            <w:r>
              <w:t xml:space="preserve">28.1% (57,792)</w:t>
            </w:r>
          </w:p>
        </w:tc>
        <w:tc>
          <w:tcPr/>
          <w:p>
            <w:pPr>
              <w:pStyle w:val="Compact"/>
            </w:pPr>
          </w:p>
        </w:tc>
      </w:tr>
      <w:tr>
        <w:tc>
          <w:tcPr/>
          <w:p>
            <w:pPr>
              <w:pStyle w:val="Compact"/>
              <w:jc w:val="left"/>
            </w:pPr>
            <w:r>
              <w:t xml:space="preserve"> Fringe metro ≥1 million</w:t>
            </w:r>
          </w:p>
        </w:tc>
        <w:tc>
          <w:tcPr/>
          <w:p>
            <w:pPr>
              <w:pStyle w:val="Compact"/>
              <w:jc w:val="left"/>
            </w:pPr>
            <w:r>
              <w:t xml:space="preserve">22.8% (197,984)</w:t>
            </w:r>
          </w:p>
        </w:tc>
        <w:tc>
          <w:tcPr/>
          <w:p>
            <w:pPr>
              <w:pStyle w:val="Compact"/>
              <w:jc w:val="left"/>
            </w:pPr>
            <w:r>
              <w:t xml:space="preserve">23.6% (49,742)</w:t>
            </w:r>
          </w:p>
        </w:tc>
        <w:tc>
          <w:tcPr/>
          <w:p>
            <w:pPr>
              <w:pStyle w:val="Compact"/>
              <w:jc w:val="left"/>
            </w:pPr>
            <w:r>
              <w:t xml:space="preserve">23.3% (15,740)</w:t>
            </w:r>
          </w:p>
        </w:tc>
        <w:tc>
          <w:tcPr/>
          <w:p>
            <w:pPr>
              <w:pStyle w:val="Compact"/>
              <w:jc w:val="left"/>
            </w:pPr>
            <w:r>
              <w:t xml:space="preserve">20.5% (9,771)</w:t>
            </w:r>
          </w:p>
        </w:tc>
        <w:tc>
          <w:tcPr/>
          <w:p>
            <w:pPr>
              <w:pStyle w:val="Compact"/>
              <w:jc w:val="left"/>
            </w:pPr>
            <w:r>
              <w:t xml:space="preserve">23.8% (54,368)</w:t>
            </w:r>
          </w:p>
        </w:tc>
        <w:tc>
          <w:tcPr/>
          <w:p>
            <w:pPr>
              <w:pStyle w:val="Compact"/>
              <w:jc w:val="left"/>
            </w:pPr>
            <w:r>
              <w:t xml:space="preserve">21.5% (16,613)</w:t>
            </w:r>
          </w:p>
        </w:tc>
        <w:tc>
          <w:tcPr/>
          <w:p>
            <w:pPr>
              <w:pStyle w:val="Compact"/>
              <w:jc w:val="left"/>
            </w:pPr>
            <w:r>
              <w:t xml:space="preserve">23.5% (8,849)</w:t>
            </w:r>
          </w:p>
        </w:tc>
        <w:tc>
          <w:tcPr/>
          <w:p>
            <w:pPr>
              <w:pStyle w:val="Compact"/>
              <w:jc w:val="left"/>
            </w:pPr>
            <w:r>
              <w:t xml:space="preserve">22.8% (2,614)</w:t>
            </w:r>
          </w:p>
        </w:tc>
        <w:tc>
          <w:tcPr/>
          <w:p>
            <w:pPr>
              <w:pStyle w:val="Compact"/>
              <w:jc w:val="left"/>
            </w:pPr>
            <w:r>
              <w:t xml:space="preserve">21.6% (40,287)</w:t>
            </w:r>
          </w:p>
        </w:tc>
        <w:tc>
          <w:tcPr/>
          <w:p>
            <w:pPr>
              <w:pStyle w:val="Compact"/>
            </w:pPr>
          </w:p>
        </w:tc>
      </w:tr>
      <w:tr>
        <w:tc>
          <w:tcPr/>
          <w:p>
            <w:pPr>
              <w:pStyle w:val="Compact"/>
              <w:jc w:val="left"/>
            </w:pPr>
            <w:r>
              <w:t xml:space="preserve"> Metro 250,000-999,999</w:t>
            </w:r>
          </w:p>
        </w:tc>
        <w:tc>
          <w:tcPr/>
          <w:p>
            <w:pPr>
              <w:pStyle w:val="Compact"/>
              <w:jc w:val="left"/>
            </w:pPr>
            <w:r>
              <w:t xml:space="preserve">21.1% (182,713)</w:t>
            </w:r>
          </w:p>
        </w:tc>
        <w:tc>
          <w:tcPr/>
          <w:p>
            <w:pPr>
              <w:pStyle w:val="Compact"/>
              <w:jc w:val="left"/>
            </w:pPr>
            <w:r>
              <w:t xml:space="preserve">20.9% (44,366)</w:t>
            </w:r>
          </w:p>
        </w:tc>
        <w:tc>
          <w:tcPr/>
          <w:p>
            <w:pPr>
              <w:pStyle w:val="Compact"/>
              <w:jc w:val="left"/>
            </w:pPr>
            <w:r>
              <w:t xml:space="preserve">21.4% (14,532)</w:t>
            </w:r>
          </w:p>
        </w:tc>
        <w:tc>
          <w:tcPr/>
          <w:p>
            <w:pPr>
              <w:pStyle w:val="Compact"/>
              <w:jc w:val="left"/>
            </w:pPr>
            <w:r>
              <w:t xml:space="preserve">20.7% (9,759)</w:t>
            </w:r>
          </w:p>
        </w:tc>
        <w:tc>
          <w:tcPr/>
          <w:p>
            <w:pPr>
              <w:pStyle w:val="Compact"/>
              <w:jc w:val="left"/>
            </w:pPr>
            <w:r>
              <w:t xml:space="preserve">20.9% (47,478)</w:t>
            </w:r>
          </w:p>
        </w:tc>
        <w:tc>
          <w:tcPr/>
          <w:p>
            <w:pPr>
              <w:pStyle w:val="Compact"/>
              <w:jc w:val="left"/>
            </w:pPr>
            <w:r>
              <w:t xml:space="preserve">22.3% (17,485)</w:t>
            </w:r>
          </w:p>
        </w:tc>
        <w:tc>
          <w:tcPr/>
          <w:p>
            <w:pPr>
              <w:pStyle w:val="Compact"/>
              <w:jc w:val="left"/>
            </w:pPr>
            <w:r>
              <w:t xml:space="preserve">19.9% (7,469)</w:t>
            </w:r>
          </w:p>
        </w:tc>
        <w:tc>
          <w:tcPr/>
          <w:p>
            <w:pPr>
              <w:pStyle w:val="Compact"/>
              <w:jc w:val="left"/>
            </w:pPr>
            <w:r>
              <w:t xml:space="preserve">21.0% (2,420)</w:t>
            </w:r>
          </w:p>
        </w:tc>
        <w:tc>
          <w:tcPr/>
          <w:p>
            <w:pPr>
              <w:pStyle w:val="Compact"/>
              <w:jc w:val="left"/>
            </w:pPr>
            <w:r>
              <w:t xml:space="preserve">21.1% (39,204)</w:t>
            </w:r>
          </w:p>
        </w:tc>
        <w:tc>
          <w:tcPr/>
          <w:p>
            <w:pPr>
              <w:pStyle w:val="Compact"/>
            </w:pPr>
          </w:p>
        </w:tc>
      </w:tr>
      <w:tr>
        <w:tc>
          <w:tcPr/>
          <w:p>
            <w:pPr>
              <w:pStyle w:val="Compact"/>
              <w:jc w:val="left"/>
            </w:pPr>
            <w:r>
              <w:t xml:space="preserve"> Metro 50,000-249,999</w:t>
            </w:r>
          </w:p>
        </w:tc>
        <w:tc>
          <w:tcPr/>
          <w:p>
            <w:pPr>
              <w:pStyle w:val="Compact"/>
              <w:jc w:val="left"/>
            </w:pPr>
            <w:r>
              <w:t xml:space="preserve">11.4% (96,214)</w:t>
            </w:r>
          </w:p>
        </w:tc>
        <w:tc>
          <w:tcPr/>
          <w:p>
            <w:pPr>
              <w:pStyle w:val="Compact"/>
              <w:jc w:val="left"/>
            </w:pPr>
            <w:r>
              <w:t xml:space="preserve">11.0% (22,605)</w:t>
            </w:r>
          </w:p>
        </w:tc>
        <w:tc>
          <w:tcPr/>
          <w:p>
            <w:pPr>
              <w:pStyle w:val="Compact"/>
              <w:jc w:val="left"/>
            </w:pPr>
            <w:r>
              <w:t xml:space="preserve">11.8% (7,779)</w:t>
            </w:r>
          </w:p>
        </w:tc>
        <w:tc>
          <w:tcPr/>
          <w:p>
            <w:pPr>
              <w:pStyle w:val="Compact"/>
              <w:jc w:val="left"/>
            </w:pPr>
            <w:r>
              <w:t xml:space="preserve">9.1% (4,228)</w:t>
            </w:r>
          </w:p>
        </w:tc>
        <w:tc>
          <w:tcPr/>
          <w:p>
            <w:pPr>
              <w:pStyle w:val="Compact"/>
              <w:jc w:val="left"/>
            </w:pPr>
            <w:r>
              <w:t xml:space="preserve">12.2% (27,239)</w:t>
            </w:r>
          </w:p>
        </w:tc>
        <w:tc>
          <w:tcPr/>
          <w:p>
            <w:pPr>
              <w:pStyle w:val="Compact"/>
              <w:jc w:val="left"/>
            </w:pPr>
            <w:r>
              <w:t xml:space="preserve">11.9% (9,014)</w:t>
            </w:r>
          </w:p>
        </w:tc>
        <w:tc>
          <w:tcPr/>
          <w:p>
            <w:pPr>
              <w:pStyle w:val="Compact"/>
              <w:jc w:val="left"/>
            </w:pPr>
            <w:r>
              <w:t xml:space="preserve">10.8% (3,903)</w:t>
            </w:r>
          </w:p>
        </w:tc>
        <w:tc>
          <w:tcPr/>
          <w:p>
            <w:pPr>
              <w:pStyle w:val="Compact"/>
              <w:jc w:val="left"/>
            </w:pPr>
            <w:r>
              <w:t xml:space="preserve">11.5% (1,281)</w:t>
            </w:r>
          </w:p>
        </w:tc>
        <w:tc>
          <w:tcPr/>
          <w:p>
            <w:pPr>
              <w:pStyle w:val="Compact"/>
              <w:jc w:val="left"/>
            </w:pPr>
            <w:r>
              <w:t xml:space="preserve">11.1% (20,165)</w:t>
            </w:r>
          </w:p>
        </w:tc>
        <w:tc>
          <w:tcPr/>
          <w:p>
            <w:pPr>
              <w:pStyle w:val="Compact"/>
            </w:pPr>
          </w:p>
        </w:tc>
      </w:tr>
      <w:tr>
        <w:tc>
          <w:tcPr/>
          <w:p>
            <w:pPr>
              <w:pStyle w:val="Compact"/>
              <w:jc w:val="left"/>
            </w:pPr>
            <w:r>
              <w:t xml:space="preserve"> Micropolitan</w:t>
            </w:r>
          </w:p>
        </w:tc>
        <w:tc>
          <w:tcPr/>
          <w:p>
            <w:pPr>
              <w:pStyle w:val="Compact"/>
              <w:jc w:val="left"/>
            </w:pPr>
            <w:r>
              <w:t xml:space="preserve">9.6% (73,357)</w:t>
            </w:r>
          </w:p>
        </w:tc>
        <w:tc>
          <w:tcPr/>
          <w:p>
            <w:pPr>
              <w:pStyle w:val="Compact"/>
              <w:jc w:val="left"/>
            </w:pPr>
            <w:r>
              <w:t xml:space="preserve">9.6% (17,664)</w:t>
            </w:r>
          </w:p>
        </w:tc>
        <w:tc>
          <w:tcPr/>
          <w:p>
            <w:pPr>
              <w:pStyle w:val="Compact"/>
              <w:jc w:val="left"/>
            </w:pPr>
            <w:r>
              <w:t xml:space="preserve">10.5% (6,409)</w:t>
            </w:r>
          </w:p>
        </w:tc>
        <w:tc>
          <w:tcPr/>
          <w:p>
            <w:pPr>
              <w:pStyle w:val="Compact"/>
              <w:jc w:val="left"/>
            </w:pPr>
            <w:r>
              <w:t xml:space="preserve">6.5% (2,714)</w:t>
            </w:r>
          </w:p>
        </w:tc>
        <w:tc>
          <w:tcPr/>
          <w:p>
            <w:pPr>
              <w:pStyle w:val="Compact"/>
              <w:jc w:val="left"/>
            </w:pPr>
            <w:r>
              <w:t xml:space="preserve">9.9% (19,832)</w:t>
            </w:r>
          </w:p>
        </w:tc>
        <w:tc>
          <w:tcPr/>
          <w:p>
            <w:pPr>
              <w:pStyle w:val="Compact"/>
              <w:jc w:val="left"/>
            </w:pPr>
            <w:r>
              <w:t xml:space="preserve">10.3% (7,102)</w:t>
            </w:r>
          </w:p>
        </w:tc>
        <w:tc>
          <w:tcPr/>
          <w:p>
            <w:pPr>
              <w:pStyle w:val="Compact"/>
              <w:jc w:val="left"/>
            </w:pPr>
            <w:r>
              <w:t xml:space="preserve">8.5% (2,835)</w:t>
            </w:r>
          </w:p>
        </w:tc>
        <w:tc>
          <w:tcPr/>
          <w:p>
            <w:pPr>
              <w:pStyle w:val="Compact"/>
              <w:jc w:val="left"/>
            </w:pPr>
            <w:r>
              <w:t xml:space="preserve">9.6% (999)</w:t>
            </w:r>
          </w:p>
        </w:tc>
        <w:tc>
          <w:tcPr/>
          <w:p>
            <w:pPr>
              <w:pStyle w:val="Compact"/>
              <w:jc w:val="left"/>
            </w:pPr>
            <w:r>
              <w:t xml:space="preserve">9.5% (15,802)</w:t>
            </w:r>
          </w:p>
        </w:tc>
        <w:tc>
          <w:tcPr/>
          <w:p>
            <w:pPr>
              <w:pStyle w:val="Compact"/>
            </w:pPr>
          </w:p>
        </w:tc>
      </w:tr>
      <w:tr>
        <w:tc>
          <w:tcPr/>
          <w:p>
            <w:pPr>
              <w:pStyle w:val="Compact"/>
              <w:jc w:val="left"/>
            </w:pPr>
            <w:r>
              <w:t xml:space="preserve"> Other</w:t>
            </w:r>
          </w:p>
        </w:tc>
        <w:tc>
          <w:tcPr/>
          <w:p>
            <w:pPr>
              <w:pStyle w:val="Compact"/>
              <w:jc w:val="left"/>
            </w:pPr>
            <w:r>
              <w:t xml:space="preserve">7.6% (56,143)</w:t>
            </w:r>
          </w:p>
        </w:tc>
        <w:tc>
          <w:tcPr/>
          <w:p>
            <w:pPr>
              <w:pStyle w:val="Compact"/>
              <w:jc w:val="left"/>
            </w:pPr>
            <w:r>
              <w:t xml:space="preserve">7.3% (12,827)</w:t>
            </w:r>
          </w:p>
        </w:tc>
        <w:tc>
          <w:tcPr/>
          <w:p>
            <w:pPr>
              <w:pStyle w:val="Compact"/>
              <w:jc w:val="left"/>
            </w:pPr>
            <w:r>
              <w:t xml:space="preserve">8.3% (4,745)</w:t>
            </w:r>
          </w:p>
        </w:tc>
        <w:tc>
          <w:tcPr/>
          <w:p>
            <w:pPr>
              <w:pStyle w:val="Compact"/>
              <w:jc w:val="left"/>
            </w:pPr>
            <w:r>
              <w:t xml:space="preserve">5.1% (2,108)</w:t>
            </w:r>
          </w:p>
        </w:tc>
        <w:tc>
          <w:tcPr/>
          <w:p>
            <w:pPr>
              <w:pStyle w:val="Compact"/>
              <w:jc w:val="left"/>
            </w:pPr>
            <w:r>
              <w:t xml:space="preserve">8.1% (15,619)</w:t>
            </w:r>
          </w:p>
        </w:tc>
        <w:tc>
          <w:tcPr/>
          <w:p>
            <w:pPr>
              <w:pStyle w:val="Compact"/>
              <w:jc w:val="left"/>
            </w:pPr>
            <w:r>
              <w:t xml:space="preserve">8.2% (5,451)</w:t>
            </w:r>
          </w:p>
        </w:tc>
        <w:tc>
          <w:tcPr/>
          <w:p>
            <w:pPr>
              <w:pStyle w:val="Compact"/>
              <w:jc w:val="left"/>
            </w:pPr>
            <w:r>
              <w:t xml:space="preserve">6.5% (2,031)</w:t>
            </w:r>
          </w:p>
        </w:tc>
        <w:tc>
          <w:tcPr/>
          <w:p>
            <w:pPr>
              <w:pStyle w:val="Compact"/>
              <w:jc w:val="left"/>
            </w:pPr>
            <w:r>
              <w:t xml:space="preserve">8.5% (838)</w:t>
            </w:r>
          </w:p>
        </w:tc>
        <w:tc>
          <w:tcPr/>
          <w:p>
            <w:pPr>
              <w:pStyle w:val="Compact"/>
              <w:jc w:val="left"/>
            </w:pPr>
            <w:r>
              <w:t xml:space="preserve">7.8% (12,524)</w:t>
            </w:r>
          </w:p>
        </w:tc>
        <w:tc>
          <w:tcPr/>
          <w:p>
            <w:pPr>
              <w:pStyle w:val="Compact"/>
            </w:pPr>
          </w:p>
        </w:tc>
      </w:tr>
      <w:tr>
        <w:tc>
          <w:tcPr/>
          <w:p>
            <w:pPr>
              <w:pStyle w:val="Compact"/>
              <w:jc w:val="left"/>
            </w:pPr>
            <w:r>
              <w:t xml:space="preserve"> Missing/other</w:t>
            </w:r>
          </w:p>
        </w:tc>
        <w:tc>
          <w:tcPr/>
          <w:p>
            <w:pPr>
              <w:pStyle w:val="Compact"/>
              <w:jc w:val="left"/>
            </w:pPr>
            <w:r>
              <w:t xml:space="preserve">0.6% (6,159)</w:t>
            </w:r>
          </w:p>
        </w:tc>
        <w:tc>
          <w:tcPr/>
          <w:p>
            <w:pPr>
              <w:pStyle w:val="Compact"/>
              <w:jc w:val="left"/>
            </w:pPr>
            <w:r>
              <w:t xml:space="preserve">0.5% (1,230)</w:t>
            </w:r>
          </w:p>
        </w:tc>
        <w:tc>
          <w:tcPr/>
          <w:p>
            <w:pPr>
              <w:pStyle w:val="Compact"/>
              <w:jc w:val="left"/>
            </w:pPr>
            <w:r>
              <w:t xml:space="preserve">0.3% (228)</w:t>
            </w:r>
          </w:p>
        </w:tc>
        <w:tc>
          <w:tcPr/>
          <w:p>
            <w:pPr>
              <w:pStyle w:val="Compact"/>
              <w:jc w:val="left"/>
            </w:pPr>
            <w:r>
              <w:t xml:space="preserve">0.9% (489)</w:t>
            </w:r>
          </w:p>
        </w:tc>
        <w:tc>
          <w:tcPr/>
          <w:p>
            <w:pPr>
              <w:pStyle w:val="Compact"/>
              <w:jc w:val="left"/>
            </w:pPr>
            <w:r>
              <w:t xml:space="preserve">0.4% (1,200)</w:t>
            </w:r>
          </w:p>
        </w:tc>
        <w:tc>
          <w:tcPr/>
          <w:p>
            <w:pPr>
              <w:pStyle w:val="Compact"/>
              <w:jc w:val="left"/>
            </w:pPr>
            <w:r>
              <w:t xml:space="preserve">0.7% (616)</w:t>
            </w:r>
          </w:p>
        </w:tc>
        <w:tc>
          <w:tcPr/>
          <w:p>
            <w:pPr>
              <w:pStyle w:val="Compact"/>
              <w:jc w:val="left"/>
            </w:pPr>
            <w:r>
              <w:t xml:space="preserve">0.7% (317)</w:t>
            </w:r>
          </w:p>
        </w:tc>
        <w:tc>
          <w:tcPr/>
          <w:p>
            <w:pPr>
              <w:pStyle w:val="Compact"/>
              <w:jc w:val="left"/>
            </w:pPr>
            <w:r>
              <w:t xml:space="preserve">0.5% (68)</w:t>
            </w:r>
          </w:p>
        </w:tc>
        <w:tc>
          <w:tcPr/>
          <w:p>
            <w:pPr>
              <w:pStyle w:val="Compact"/>
              <w:jc w:val="left"/>
            </w:pPr>
            <w:r>
              <w:t xml:space="preserve">0.9% (2,011)</w:t>
            </w:r>
          </w:p>
        </w:tc>
        <w:tc>
          <w:tcPr/>
          <w:p>
            <w:pPr>
              <w:pStyle w:val="Compact"/>
            </w:pPr>
          </w:p>
        </w:tc>
      </w:tr>
      <w:tr>
        <w:tc>
          <w:tcPr/>
          <w:p>
            <w:pPr>
              <w:pStyle w:val="Compact"/>
              <w:jc w:val="left"/>
            </w:pPr>
            <w:r>
              <w:t xml:space="preserve">Admission day,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0.108</w:t>
            </w:r>
          </w:p>
        </w:tc>
      </w:tr>
      <w:tr>
        <w:tc>
          <w:tcPr/>
          <w:p>
            <w:pPr>
              <w:pStyle w:val="Compact"/>
              <w:jc w:val="left"/>
            </w:pPr>
            <w:r>
              <w:t xml:space="preserve"> Weekday (Mon-Fri)</w:t>
            </w:r>
          </w:p>
        </w:tc>
        <w:tc>
          <w:tcPr/>
          <w:p>
            <w:pPr>
              <w:pStyle w:val="Compact"/>
              <w:jc w:val="left"/>
            </w:pPr>
            <w:r>
              <w:t xml:space="preserve">73.9% (643,193)</w:t>
            </w:r>
          </w:p>
        </w:tc>
        <w:tc>
          <w:tcPr/>
          <w:p>
            <w:pPr>
              <w:pStyle w:val="Compact"/>
              <w:jc w:val="left"/>
            </w:pPr>
            <w:r>
              <w:t xml:space="preserve">72.6% (154,458)</w:t>
            </w:r>
          </w:p>
        </w:tc>
        <w:tc>
          <w:tcPr/>
          <w:p>
            <w:pPr>
              <w:pStyle w:val="Compact"/>
              <w:jc w:val="left"/>
            </w:pPr>
            <w:r>
              <w:t xml:space="preserve">75.4% (50,908)</w:t>
            </w:r>
          </w:p>
        </w:tc>
        <w:tc>
          <w:tcPr/>
          <w:p>
            <w:pPr>
              <w:pStyle w:val="Compact"/>
              <w:jc w:val="left"/>
            </w:pPr>
            <w:r>
              <w:t xml:space="preserve">74.0% (34,988)</w:t>
            </w:r>
          </w:p>
        </w:tc>
        <w:tc>
          <w:tcPr/>
          <w:p>
            <w:pPr>
              <w:pStyle w:val="Compact"/>
              <w:jc w:val="left"/>
            </w:pPr>
            <w:r>
              <w:t xml:space="preserve">74.5% (169,964)</w:t>
            </w:r>
          </w:p>
        </w:tc>
        <w:tc>
          <w:tcPr/>
          <w:p>
            <w:pPr>
              <w:pStyle w:val="Compact"/>
              <w:jc w:val="left"/>
            </w:pPr>
            <w:r>
              <w:t xml:space="preserve">72.7% (56,508)</w:t>
            </w:r>
          </w:p>
        </w:tc>
        <w:tc>
          <w:tcPr/>
          <w:p>
            <w:pPr>
              <w:pStyle w:val="Compact"/>
              <w:jc w:val="left"/>
            </w:pPr>
            <w:r>
              <w:t xml:space="preserve">74.2% (28,078)</w:t>
            </w:r>
          </w:p>
        </w:tc>
        <w:tc>
          <w:tcPr/>
          <w:p>
            <w:pPr>
              <w:pStyle w:val="Compact"/>
              <w:jc w:val="left"/>
            </w:pPr>
            <w:r>
              <w:t xml:space="preserve">77.3% (8,891)</w:t>
            </w:r>
          </w:p>
        </w:tc>
        <w:tc>
          <w:tcPr/>
          <w:p>
            <w:pPr>
              <w:pStyle w:val="Compact"/>
              <w:jc w:val="left"/>
            </w:pPr>
            <w:r>
              <w:t xml:space="preserve">74.2% (139,398)</w:t>
            </w:r>
          </w:p>
        </w:tc>
        <w:tc>
          <w:tcPr/>
          <w:p>
            <w:pPr>
              <w:pStyle w:val="Compact"/>
            </w:pPr>
          </w:p>
        </w:tc>
      </w:tr>
      <w:tr>
        <w:tc>
          <w:tcPr/>
          <w:p>
            <w:pPr>
              <w:pStyle w:val="Compact"/>
              <w:jc w:val="left"/>
            </w:pPr>
            <w:r>
              <w:t xml:space="preserve"> Weekend (Sat-Sun)</w:t>
            </w:r>
          </w:p>
        </w:tc>
        <w:tc>
          <w:tcPr/>
          <w:p>
            <w:pPr>
              <w:pStyle w:val="Compact"/>
              <w:jc w:val="left"/>
            </w:pPr>
            <w:r>
              <w:t xml:space="preserve">26.1% (227,293)</w:t>
            </w:r>
          </w:p>
        </w:tc>
        <w:tc>
          <w:tcPr/>
          <w:p>
            <w:pPr>
              <w:pStyle w:val="Compact"/>
              <w:jc w:val="left"/>
            </w:pPr>
            <w:r>
              <w:t xml:space="preserve">27.4% (58,297)</w:t>
            </w:r>
          </w:p>
        </w:tc>
        <w:tc>
          <w:tcPr/>
          <w:p>
            <w:pPr>
              <w:pStyle w:val="Compact"/>
              <w:jc w:val="left"/>
            </w:pPr>
            <w:r>
              <w:t xml:space="preserve">24.6% (16,574)</w:t>
            </w:r>
          </w:p>
        </w:tc>
        <w:tc>
          <w:tcPr/>
          <w:p>
            <w:pPr>
              <w:pStyle w:val="Compact"/>
              <w:jc w:val="left"/>
            </w:pPr>
            <w:r>
              <w:t xml:space="preserve">26.0% (12,208)</w:t>
            </w:r>
          </w:p>
        </w:tc>
        <w:tc>
          <w:tcPr/>
          <w:p>
            <w:pPr>
              <w:pStyle w:val="Compact"/>
              <w:jc w:val="left"/>
            </w:pPr>
            <w:r>
              <w:t xml:space="preserve">25.5% (58,212)</w:t>
            </w:r>
          </w:p>
        </w:tc>
        <w:tc>
          <w:tcPr/>
          <w:p>
            <w:pPr>
              <w:pStyle w:val="Compact"/>
              <w:jc w:val="left"/>
            </w:pPr>
            <w:r>
              <w:t xml:space="preserve">27.3% (21,210)</w:t>
            </w:r>
          </w:p>
        </w:tc>
        <w:tc>
          <w:tcPr/>
          <w:p>
            <w:pPr>
              <w:pStyle w:val="Compact"/>
              <w:jc w:val="left"/>
            </w:pPr>
            <w:r>
              <w:t xml:space="preserve">25.8% (9,776)</w:t>
            </w:r>
          </w:p>
        </w:tc>
        <w:tc>
          <w:tcPr/>
          <w:p>
            <w:pPr>
              <w:pStyle w:val="Compact"/>
              <w:jc w:val="left"/>
            </w:pPr>
            <w:r>
              <w:t xml:space="preserve">22.7% (2,629)</w:t>
            </w:r>
          </w:p>
        </w:tc>
        <w:tc>
          <w:tcPr/>
          <w:p>
            <w:pPr>
              <w:pStyle w:val="Compact"/>
              <w:jc w:val="left"/>
            </w:pPr>
            <w:r>
              <w:t xml:space="preserve">25.8% (48,387)</w:t>
            </w:r>
          </w:p>
        </w:tc>
        <w:tc>
          <w:tcPr/>
          <w:p>
            <w:pPr>
              <w:pStyle w:val="Compact"/>
            </w:pPr>
          </w:p>
        </w:tc>
      </w:tr>
      <w:tr>
        <w:tc>
          <w:tcPr/>
          <w:p>
            <w:pPr>
              <w:pStyle w:val="Compact"/>
              <w:jc w:val="left"/>
            </w:pPr>
            <w:r>
              <w:t xml:space="preserve">Admission type,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0.418</w:t>
            </w:r>
          </w:p>
        </w:tc>
      </w:tr>
      <w:tr>
        <w:tc>
          <w:tcPr/>
          <w:p>
            <w:pPr>
              <w:pStyle w:val="Compact"/>
              <w:jc w:val="left"/>
            </w:pPr>
            <w:r>
              <w:t xml:space="preserve"> Non-elective</w:t>
            </w:r>
          </w:p>
        </w:tc>
        <w:tc>
          <w:tcPr/>
          <w:p>
            <w:pPr>
              <w:pStyle w:val="Compact"/>
              <w:jc w:val="left"/>
            </w:pPr>
            <w:r>
              <w:t xml:space="preserve">97.8% (852,164)</w:t>
            </w:r>
          </w:p>
        </w:tc>
        <w:tc>
          <w:tcPr/>
          <w:p>
            <w:pPr>
              <w:pStyle w:val="Compact"/>
              <w:jc w:val="left"/>
            </w:pPr>
            <w:r>
              <w:t xml:space="preserve">98.3% (209,436)</w:t>
            </w:r>
          </w:p>
        </w:tc>
        <w:tc>
          <w:tcPr/>
          <w:p>
            <w:pPr>
              <w:pStyle w:val="Compact"/>
              <w:jc w:val="left"/>
            </w:pPr>
            <w:r>
              <w:t xml:space="preserve">94.8% (64,037)</w:t>
            </w:r>
          </w:p>
        </w:tc>
        <w:tc>
          <w:tcPr/>
          <w:p>
            <w:pPr>
              <w:pStyle w:val="Compact"/>
              <w:jc w:val="left"/>
            </w:pPr>
            <w:r>
              <w:t xml:space="preserve">98.8% (46,655)</w:t>
            </w:r>
          </w:p>
        </w:tc>
        <w:tc>
          <w:tcPr/>
          <w:p>
            <w:pPr>
              <w:pStyle w:val="Compact"/>
              <w:jc w:val="left"/>
            </w:pPr>
            <w:r>
              <w:t xml:space="preserve">97.9% (223,617)</w:t>
            </w:r>
          </w:p>
        </w:tc>
        <w:tc>
          <w:tcPr/>
          <w:p>
            <w:pPr>
              <w:pStyle w:val="Compact"/>
              <w:jc w:val="left"/>
            </w:pPr>
            <w:r>
              <w:t xml:space="preserve">97.8% (76,147)</w:t>
            </w:r>
          </w:p>
        </w:tc>
        <w:tc>
          <w:tcPr/>
          <w:p>
            <w:pPr>
              <w:pStyle w:val="Compact"/>
              <w:jc w:val="left"/>
            </w:pPr>
            <w:r>
              <w:t xml:space="preserve">98.5% (37,311)</w:t>
            </w:r>
          </w:p>
        </w:tc>
        <w:tc>
          <w:tcPr/>
          <w:p>
            <w:pPr>
              <w:pStyle w:val="Compact"/>
              <w:jc w:val="left"/>
            </w:pPr>
            <w:r>
              <w:t xml:space="preserve">88.0% (10,162)</w:t>
            </w:r>
          </w:p>
        </w:tc>
        <w:tc>
          <w:tcPr/>
          <w:p>
            <w:pPr>
              <w:pStyle w:val="Compact"/>
              <w:jc w:val="left"/>
            </w:pPr>
            <w:r>
              <w:t xml:space="preserve">98.3% (184,799)</w:t>
            </w:r>
          </w:p>
        </w:tc>
        <w:tc>
          <w:tcPr/>
          <w:p>
            <w:pPr>
              <w:pStyle w:val="Compact"/>
            </w:pPr>
          </w:p>
        </w:tc>
      </w:tr>
      <w:tr>
        <w:tc>
          <w:tcPr/>
          <w:p>
            <w:pPr>
              <w:pStyle w:val="Compact"/>
              <w:jc w:val="left"/>
            </w:pPr>
            <w:r>
              <w:t xml:space="preserve"> Elective</w:t>
            </w:r>
          </w:p>
        </w:tc>
        <w:tc>
          <w:tcPr/>
          <w:p>
            <w:pPr>
              <w:pStyle w:val="Compact"/>
              <w:jc w:val="left"/>
            </w:pPr>
            <w:r>
              <w:t xml:space="preserve">2.2% (18,322)</w:t>
            </w:r>
          </w:p>
        </w:tc>
        <w:tc>
          <w:tcPr/>
          <w:p>
            <w:pPr>
              <w:pStyle w:val="Compact"/>
              <w:jc w:val="left"/>
            </w:pPr>
            <w:r>
              <w:t xml:space="preserve">1.7% (3,319)</w:t>
            </w:r>
          </w:p>
        </w:tc>
        <w:tc>
          <w:tcPr/>
          <w:p>
            <w:pPr>
              <w:pStyle w:val="Compact"/>
              <w:jc w:val="left"/>
            </w:pPr>
            <w:r>
              <w:t xml:space="preserve">5.2% (3,445)</w:t>
            </w:r>
          </w:p>
        </w:tc>
        <w:tc>
          <w:tcPr/>
          <w:p>
            <w:pPr>
              <w:pStyle w:val="Compact"/>
              <w:jc w:val="left"/>
            </w:pPr>
            <w:r>
              <w:t xml:space="preserve">1.2% (541)</w:t>
            </w:r>
          </w:p>
        </w:tc>
        <w:tc>
          <w:tcPr/>
          <w:p>
            <w:pPr>
              <w:pStyle w:val="Compact"/>
              <w:jc w:val="left"/>
            </w:pPr>
            <w:r>
              <w:t xml:space="preserve">2.1% (4,559)</w:t>
            </w:r>
          </w:p>
        </w:tc>
        <w:tc>
          <w:tcPr/>
          <w:p>
            <w:pPr>
              <w:pStyle w:val="Compact"/>
              <w:jc w:val="left"/>
            </w:pPr>
            <w:r>
              <w:t xml:space="preserve">2.2% (1,571)</w:t>
            </w:r>
          </w:p>
        </w:tc>
        <w:tc>
          <w:tcPr/>
          <w:p>
            <w:pPr>
              <w:pStyle w:val="Compact"/>
              <w:jc w:val="left"/>
            </w:pPr>
            <w:r>
              <w:t xml:space="preserve">1.5% (543)</w:t>
            </w:r>
          </w:p>
        </w:tc>
        <w:tc>
          <w:tcPr/>
          <w:p>
            <w:pPr>
              <w:pStyle w:val="Compact"/>
              <w:jc w:val="left"/>
            </w:pPr>
            <w:r>
              <w:t xml:space="preserve">12.0% (1,358)</w:t>
            </w:r>
          </w:p>
        </w:tc>
        <w:tc>
          <w:tcPr/>
          <w:p>
            <w:pPr>
              <w:pStyle w:val="Compact"/>
              <w:jc w:val="left"/>
            </w:pPr>
            <w:r>
              <w:t xml:space="preserve">1.7% (2,986)</w:t>
            </w:r>
          </w:p>
        </w:tc>
        <w:tc>
          <w:tcPr/>
          <w:p>
            <w:pPr>
              <w:pStyle w:val="Compact"/>
            </w:pPr>
          </w:p>
        </w:tc>
      </w:tr>
      <w:tr>
        <w:tc>
          <w:tcPr/>
          <w:p>
            <w:pPr>
              <w:pStyle w:val="Compact"/>
              <w:jc w:val="left"/>
            </w:pPr>
            <w:r>
              <w:t xml:space="preserve">Discharge year,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0.078</w:t>
            </w:r>
          </w:p>
        </w:tc>
      </w:tr>
      <w:tr>
        <w:tc>
          <w:tcPr/>
          <w:p>
            <w:pPr>
              <w:pStyle w:val="Compact"/>
              <w:jc w:val="left"/>
            </w:pPr>
            <w:r>
              <w:t xml:space="preserve"> 2018</w:t>
            </w:r>
          </w:p>
        </w:tc>
        <w:tc>
          <w:tcPr/>
          <w:p>
            <w:pPr>
              <w:pStyle w:val="Compact"/>
              <w:jc w:val="left"/>
            </w:pPr>
            <w:r>
              <w:t xml:space="preserve">13.4% (113,899)</w:t>
            </w:r>
          </w:p>
        </w:tc>
        <w:tc>
          <w:tcPr/>
          <w:p>
            <w:pPr>
              <w:pStyle w:val="Compact"/>
              <w:jc w:val="left"/>
            </w:pPr>
            <w:r>
              <w:t xml:space="preserve">13.5% (28,110)</w:t>
            </w:r>
          </w:p>
        </w:tc>
        <w:tc>
          <w:tcPr/>
          <w:p>
            <w:pPr>
              <w:pStyle w:val="Compact"/>
              <w:jc w:val="left"/>
            </w:pPr>
            <w:r>
              <w:t xml:space="preserve">14.7% (9,767)</w:t>
            </w:r>
          </w:p>
        </w:tc>
        <w:tc>
          <w:tcPr/>
          <w:p>
            <w:pPr>
              <w:pStyle w:val="Compact"/>
              <w:jc w:val="left"/>
            </w:pPr>
            <w:r>
              <w:t xml:space="preserve">11.7% (5,304)</w:t>
            </w:r>
          </w:p>
        </w:tc>
        <w:tc>
          <w:tcPr/>
          <w:p>
            <w:pPr>
              <w:pStyle w:val="Compact"/>
              <w:jc w:val="left"/>
            </w:pPr>
            <w:r>
              <w:t xml:space="preserve">13.4% (29,836)</w:t>
            </w:r>
          </w:p>
        </w:tc>
        <w:tc>
          <w:tcPr/>
          <w:p>
            <w:pPr>
              <w:pStyle w:val="Compact"/>
              <w:jc w:val="left"/>
            </w:pPr>
            <w:r>
              <w:t xml:space="preserve">11.9% (8,891)</w:t>
            </w:r>
          </w:p>
        </w:tc>
        <w:tc>
          <w:tcPr/>
          <w:p>
            <w:pPr>
              <w:pStyle w:val="Compact"/>
              <w:jc w:val="left"/>
            </w:pPr>
            <w:r>
              <w:t xml:space="preserve">14.2% (5,232)</w:t>
            </w:r>
          </w:p>
        </w:tc>
        <w:tc>
          <w:tcPr/>
          <w:p>
            <w:pPr>
              <w:pStyle w:val="Compact"/>
              <w:jc w:val="left"/>
            </w:pPr>
            <w:r>
              <w:t xml:space="preserve">14.2% (1,602)</w:t>
            </w:r>
          </w:p>
        </w:tc>
        <w:tc>
          <w:tcPr/>
          <w:p>
            <w:pPr>
              <w:pStyle w:val="Compact"/>
              <w:jc w:val="left"/>
            </w:pPr>
            <w:r>
              <w:t xml:space="preserve">13.8% (25,157)</w:t>
            </w:r>
          </w:p>
        </w:tc>
        <w:tc>
          <w:tcPr/>
          <w:p>
            <w:pPr>
              <w:pStyle w:val="Compact"/>
            </w:pPr>
          </w:p>
        </w:tc>
      </w:tr>
      <w:tr>
        <w:tc>
          <w:tcPr/>
          <w:p>
            <w:pPr>
              <w:pStyle w:val="Compact"/>
              <w:jc w:val="left"/>
            </w:pPr>
            <w:r>
              <w:t xml:space="preserve"> 2019</w:t>
            </w:r>
          </w:p>
        </w:tc>
        <w:tc>
          <w:tcPr/>
          <w:p>
            <w:pPr>
              <w:pStyle w:val="Compact"/>
              <w:jc w:val="left"/>
            </w:pPr>
            <w:r>
              <w:t xml:space="preserve">16.1% (140,913)</w:t>
            </w:r>
          </w:p>
        </w:tc>
        <w:tc>
          <w:tcPr/>
          <w:p>
            <w:pPr>
              <w:pStyle w:val="Compact"/>
              <w:jc w:val="left"/>
            </w:pPr>
            <w:r>
              <w:t xml:space="preserve">16.1% (34,569)</w:t>
            </w:r>
          </w:p>
        </w:tc>
        <w:tc>
          <w:tcPr/>
          <w:p>
            <w:pPr>
              <w:pStyle w:val="Compact"/>
              <w:jc w:val="left"/>
            </w:pPr>
            <w:r>
              <w:t xml:space="preserve">16.9% (11,533)</w:t>
            </w:r>
          </w:p>
        </w:tc>
        <w:tc>
          <w:tcPr/>
          <w:p>
            <w:pPr>
              <w:pStyle w:val="Compact"/>
              <w:jc w:val="left"/>
            </w:pPr>
            <w:r>
              <w:t xml:space="preserve">15.0% (7,103)</w:t>
            </w:r>
          </w:p>
        </w:tc>
        <w:tc>
          <w:tcPr/>
          <w:p>
            <w:pPr>
              <w:pStyle w:val="Compact"/>
              <w:jc w:val="left"/>
            </w:pPr>
            <w:r>
              <w:t xml:space="preserve">16.3% (37,541)</w:t>
            </w:r>
          </w:p>
        </w:tc>
        <w:tc>
          <w:tcPr/>
          <w:p>
            <w:pPr>
              <w:pStyle w:val="Compact"/>
              <w:jc w:val="left"/>
            </w:pPr>
            <w:r>
              <w:t xml:space="preserve">14.7% (11,444)</w:t>
            </w:r>
          </w:p>
        </w:tc>
        <w:tc>
          <w:tcPr/>
          <w:p>
            <w:pPr>
              <w:pStyle w:val="Compact"/>
              <w:jc w:val="left"/>
            </w:pPr>
            <w:r>
              <w:t xml:space="preserve">15.6% (5,947)</w:t>
            </w:r>
          </w:p>
        </w:tc>
        <w:tc>
          <w:tcPr/>
          <w:p>
            <w:pPr>
              <w:pStyle w:val="Compact"/>
              <w:jc w:val="left"/>
            </w:pPr>
            <w:r>
              <w:t xml:space="preserve">16.8% (1,923)</w:t>
            </w:r>
          </w:p>
        </w:tc>
        <w:tc>
          <w:tcPr/>
          <w:p>
            <w:pPr>
              <w:pStyle w:val="Compact"/>
              <w:jc w:val="left"/>
            </w:pPr>
            <w:r>
              <w:t xml:space="preserve">16.3% (30,853)</w:t>
            </w:r>
          </w:p>
        </w:tc>
        <w:tc>
          <w:tcPr/>
          <w:p>
            <w:pPr>
              <w:pStyle w:val="Compact"/>
            </w:pPr>
          </w:p>
        </w:tc>
      </w:tr>
      <w:tr>
        <w:tc>
          <w:tcPr/>
          <w:p>
            <w:pPr>
              <w:pStyle w:val="Compact"/>
              <w:jc w:val="left"/>
            </w:pPr>
            <w:r>
              <w:t xml:space="preserve"> 2020</w:t>
            </w:r>
          </w:p>
        </w:tc>
        <w:tc>
          <w:tcPr/>
          <w:p>
            <w:pPr>
              <w:pStyle w:val="Compact"/>
              <w:jc w:val="left"/>
            </w:pPr>
            <w:r>
              <w:t xml:space="preserve">19.5% (173,245)</w:t>
            </w:r>
          </w:p>
        </w:tc>
        <w:tc>
          <w:tcPr/>
          <w:p>
            <w:pPr>
              <w:pStyle w:val="Compact"/>
              <w:jc w:val="left"/>
            </w:pPr>
            <w:r>
              <w:t xml:space="preserve">20.5% (44,540)</w:t>
            </w:r>
          </w:p>
        </w:tc>
        <w:tc>
          <w:tcPr/>
          <w:p>
            <w:pPr>
              <w:pStyle w:val="Compact"/>
              <w:jc w:val="left"/>
            </w:pPr>
            <w:r>
              <w:t xml:space="preserve">20.3% (13,944)</w:t>
            </w:r>
          </w:p>
        </w:tc>
        <w:tc>
          <w:tcPr/>
          <w:p>
            <w:pPr>
              <w:pStyle w:val="Compact"/>
              <w:jc w:val="left"/>
            </w:pPr>
            <w:r>
              <w:t xml:space="preserve">18.8% (9,162)</w:t>
            </w:r>
          </w:p>
        </w:tc>
        <w:tc>
          <w:tcPr/>
          <w:p>
            <w:pPr>
              <w:pStyle w:val="Compact"/>
              <w:jc w:val="left"/>
            </w:pPr>
            <w:r>
              <w:t xml:space="preserve">18.9% (44,006)</w:t>
            </w:r>
          </w:p>
        </w:tc>
        <w:tc>
          <w:tcPr/>
          <w:p>
            <w:pPr>
              <w:pStyle w:val="Compact"/>
              <w:jc w:val="left"/>
            </w:pPr>
            <w:r>
              <w:t xml:space="preserve">19.1% (15,195)</w:t>
            </w:r>
          </w:p>
        </w:tc>
        <w:tc>
          <w:tcPr/>
          <w:p>
            <w:pPr>
              <w:pStyle w:val="Compact"/>
              <w:jc w:val="left"/>
            </w:pPr>
            <w:r>
              <w:t xml:space="preserve">19.7% (7,666)</w:t>
            </w:r>
          </w:p>
        </w:tc>
        <w:tc>
          <w:tcPr/>
          <w:p>
            <w:pPr>
              <w:pStyle w:val="Compact"/>
              <w:jc w:val="left"/>
            </w:pPr>
            <w:r>
              <w:t xml:space="preserve">20.0% (2,352)</w:t>
            </w:r>
          </w:p>
        </w:tc>
        <w:tc>
          <w:tcPr/>
          <w:p>
            <w:pPr>
              <w:pStyle w:val="Compact"/>
              <w:jc w:val="left"/>
            </w:pPr>
            <w:r>
              <w:t xml:space="preserve">19.0% (36,380)</w:t>
            </w:r>
          </w:p>
        </w:tc>
        <w:tc>
          <w:tcPr/>
          <w:p>
            <w:pPr>
              <w:pStyle w:val="Compact"/>
            </w:pPr>
          </w:p>
        </w:tc>
      </w:tr>
      <w:tr>
        <w:tc>
          <w:tcPr/>
          <w:p>
            <w:pPr>
              <w:pStyle w:val="Compact"/>
              <w:jc w:val="left"/>
            </w:pPr>
            <w:r>
              <w:t xml:space="preserve"> 2021</w:t>
            </w:r>
          </w:p>
        </w:tc>
        <w:tc>
          <w:tcPr/>
          <w:p>
            <w:pPr>
              <w:pStyle w:val="Compact"/>
              <w:jc w:val="left"/>
            </w:pPr>
            <w:r>
              <w:t xml:space="preserve">23.7% (205,508)</w:t>
            </w:r>
          </w:p>
        </w:tc>
        <w:tc>
          <w:tcPr/>
          <w:p>
            <w:pPr>
              <w:pStyle w:val="Compact"/>
              <w:jc w:val="left"/>
            </w:pPr>
            <w:r>
              <w:t xml:space="preserve">23.3% (49,306)</w:t>
            </w:r>
          </w:p>
        </w:tc>
        <w:tc>
          <w:tcPr/>
          <w:p>
            <w:pPr>
              <w:pStyle w:val="Compact"/>
              <w:jc w:val="left"/>
            </w:pPr>
            <w:r>
              <w:t xml:space="preserve">23.7% (15,969)</w:t>
            </w:r>
          </w:p>
        </w:tc>
        <w:tc>
          <w:tcPr/>
          <w:p>
            <w:pPr>
              <w:pStyle w:val="Compact"/>
              <w:jc w:val="left"/>
            </w:pPr>
            <w:r>
              <w:t xml:space="preserve">24.4% (11,561)</w:t>
            </w:r>
          </w:p>
        </w:tc>
        <w:tc>
          <w:tcPr/>
          <w:p>
            <w:pPr>
              <w:pStyle w:val="Compact"/>
              <w:jc w:val="left"/>
            </w:pPr>
            <w:r>
              <w:t xml:space="preserve">23.8% (54,073)</w:t>
            </w:r>
          </w:p>
        </w:tc>
        <w:tc>
          <w:tcPr/>
          <w:p>
            <w:pPr>
              <w:pStyle w:val="Compact"/>
              <w:jc w:val="left"/>
            </w:pPr>
            <w:r>
              <w:t xml:space="preserve">25.8% (19,941)</w:t>
            </w:r>
          </w:p>
        </w:tc>
        <w:tc>
          <w:tcPr/>
          <w:p>
            <w:pPr>
              <w:pStyle w:val="Compact"/>
              <w:jc w:val="left"/>
            </w:pPr>
            <w:r>
              <w:t xml:space="preserve">22.7% (8,544)</w:t>
            </w:r>
          </w:p>
        </w:tc>
        <w:tc>
          <w:tcPr/>
          <w:p>
            <w:pPr>
              <w:pStyle w:val="Compact"/>
              <w:jc w:val="left"/>
            </w:pPr>
            <w:r>
              <w:t xml:space="preserve">23.6% (2,758)</w:t>
            </w:r>
          </w:p>
        </w:tc>
        <w:tc>
          <w:tcPr/>
          <w:p>
            <w:pPr>
              <w:pStyle w:val="Compact"/>
              <w:jc w:val="left"/>
            </w:pPr>
            <w:r>
              <w:t xml:space="preserve">23.1% (43,356)</w:t>
            </w:r>
          </w:p>
        </w:tc>
        <w:tc>
          <w:tcPr/>
          <w:p>
            <w:pPr>
              <w:pStyle w:val="Compact"/>
            </w:pPr>
          </w:p>
        </w:tc>
      </w:tr>
      <w:tr>
        <w:tc>
          <w:tcPr/>
          <w:p>
            <w:pPr>
              <w:pStyle w:val="Compact"/>
              <w:jc w:val="left"/>
            </w:pPr>
            <w:r>
              <w:t xml:space="preserve"> 2022</w:t>
            </w:r>
          </w:p>
        </w:tc>
        <w:tc>
          <w:tcPr/>
          <w:p>
            <w:pPr>
              <w:pStyle w:val="Compact"/>
              <w:jc w:val="left"/>
            </w:pPr>
            <w:r>
              <w:t xml:space="preserve">27.3% (236,921)</w:t>
            </w:r>
          </w:p>
        </w:tc>
        <w:tc>
          <w:tcPr/>
          <w:p>
            <w:pPr>
              <w:pStyle w:val="Compact"/>
              <w:jc w:val="left"/>
            </w:pPr>
            <w:r>
              <w:t xml:space="preserve">26.5% (56,230)</w:t>
            </w:r>
          </w:p>
        </w:tc>
        <w:tc>
          <w:tcPr/>
          <w:p>
            <w:pPr>
              <w:pStyle w:val="Compact"/>
              <w:jc w:val="left"/>
            </w:pPr>
            <w:r>
              <w:t xml:space="preserve">24.3% (16,269)</w:t>
            </w:r>
          </w:p>
        </w:tc>
        <w:tc>
          <w:tcPr/>
          <w:p>
            <w:pPr>
              <w:pStyle w:val="Compact"/>
              <w:jc w:val="left"/>
            </w:pPr>
            <w:r>
              <w:t xml:space="preserve">30.0% (14,066)</w:t>
            </w:r>
          </w:p>
        </w:tc>
        <w:tc>
          <w:tcPr/>
          <w:p>
            <w:pPr>
              <w:pStyle w:val="Compact"/>
              <w:jc w:val="left"/>
            </w:pPr>
            <w:r>
              <w:t xml:space="preserve">27.6% (62,720)</w:t>
            </w:r>
          </w:p>
        </w:tc>
        <w:tc>
          <w:tcPr/>
          <w:p>
            <w:pPr>
              <w:pStyle w:val="Compact"/>
              <w:jc w:val="left"/>
            </w:pPr>
            <w:r>
              <w:t xml:space="preserve">28.5% (22,247)</w:t>
            </w:r>
          </w:p>
        </w:tc>
        <w:tc>
          <w:tcPr/>
          <w:p>
            <w:pPr>
              <w:pStyle w:val="Compact"/>
              <w:jc w:val="left"/>
            </w:pPr>
            <w:r>
              <w:t xml:space="preserve">27.7% (10,465)</w:t>
            </w:r>
          </w:p>
        </w:tc>
        <w:tc>
          <w:tcPr/>
          <w:p>
            <w:pPr>
              <w:pStyle w:val="Compact"/>
              <w:jc w:val="left"/>
            </w:pPr>
            <w:r>
              <w:t xml:space="preserve">25.4% (2,885)</w:t>
            </w:r>
          </w:p>
        </w:tc>
        <w:tc>
          <w:tcPr/>
          <w:p>
            <w:pPr>
              <w:pStyle w:val="Compact"/>
              <w:jc w:val="left"/>
            </w:pPr>
            <w:r>
              <w:t xml:space="preserve">27.8% (52,039)</w:t>
            </w:r>
          </w:p>
        </w:tc>
        <w:tc>
          <w:tcPr/>
          <w:p>
            <w:pPr>
              <w:pStyle w:val="Compact"/>
            </w:pPr>
          </w:p>
        </w:tc>
      </w:tr>
      <w:tr>
        <w:tc>
          <w:tcPr/>
          <w:p>
            <w:pPr>
              <w:pStyle w:val="Compact"/>
              <w:jc w:val="left"/>
            </w:pPr>
            <w:r>
              <w:t xml:space="preserve">Hospital bed size,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0.141</w:t>
            </w:r>
          </w:p>
        </w:tc>
      </w:tr>
      <w:tr>
        <w:tc>
          <w:tcPr/>
          <w:p>
            <w:pPr>
              <w:pStyle w:val="Compact"/>
              <w:jc w:val="left"/>
            </w:pPr>
            <w:r>
              <w:t xml:space="preserve"> Small</w:t>
            </w:r>
          </w:p>
        </w:tc>
        <w:tc>
          <w:tcPr/>
          <w:p>
            <w:pPr>
              <w:pStyle w:val="Compact"/>
              <w:jc w:val="left"/>
            </w:pPr>
            <w:r>
              <w:t xml:space="preserve">18.0% (151,509)</w:t>
            </w:r>
          </w:p>
        </w:tc>
        <w:tc>
          <w:tcPr/>
          <w:p>
            <w:pPr>
              <w:pStyle w:val="Compact"/>
              <w:jc w:val="left"/>
            </w:pPr>
            <w:r>
              <w:t xml:space="preserve">18.3% (37,963)</w:t>
            </w:r>
          </w:p>
        </w:tc>
        <w:tc>
          <w:tcPr/>
          <w:p>
            <w:pPr>
              <w:pStyle w:val="Compact"/>
              <w:jc w:val="left"/>
            </w:pPr>
            <w:r>
              <w:t xml:space="preserve">15.5% (10,220)</w:t>
            </w:r>
          </w:p>
        </w:tc>
        <w:tc>
          <w:tcPr/>
          <w:p>
            <w:pPr>
              <w:pStyle w:val="Compact"/>
              <w:jc w:val="left"/>
            </w:pPr>
            <w:r>
              <w:t xml:space="preserve">16.1% (7,366)</w:t>
            </w:r>
          </w:p>
        </w:tc>
        <w:tc>
          <w:tcPr/>
          <w:p>
            <w:pPr>
              <w:pStyle w:val="Compact"/>
              <w:jc w:val="left"/>
            </w:pPr>
            <w:r>
              <w:t xml:space="preserve">18.4% (40,400)</w:t>
            </w:r>
          </w:p>
        </w:tc>
        <w:tc>
          <w:tcPr/>
          <w:p>
            <w:pPr>
              <w:pStyle w:val="Compact"/>
              <w:jc w:val="left"/>
            </w:pPr>
            <w:r>
              <w:t xml:space="preserve">18.7% (14,124)</w:t>
            </w:r>
          </w:p>
        </w:tc>
        <w:tc>
          <w:tcPr/>
          <w:p>
            <w:pPr>
              <w:pStyle w:val="Compact"/>
              <w:jc w:val="left"/>
            </w:pPr>
            <w:r>
              <w:t xml:space="preserve">18.7% (6,890)</w:t>
            </w:r>
          </w:p>
        </w:tc>
        <w:tc>
          <w:tcPr/>
          <w:p>
            <w:pPr>
              <w:pStyle w:val="Compact"/>
              <w:jc w:val="left"/>
            </w:pPr>
            <w:r>
              <w:t xml:space="preserve">13.5% (1,508)</w:t>
            </w:r>
          </w:p>
        </w:tc>
        <w:tc>
          <w:tcPr/>
          <w:p>
            <w:pPr>
              <w:pStyle w:val="Compact"/>
              <w:jc w:val="left"/>
            </w:pPr>
            <w:r>
              <w:t xml:space="preserve">18.3% (33,038)</w:t>
            </w:r>
          </w:p>
        </w:tc>
        <w:tc>
          <w:tcPr/>
          <w:p>
            <w:pPr>
              <w:pStyle w:val="Compact"/>
            </w:pPr>
          </w:p>
        </w:tc>
      </w:tr>
      <w:tr>
        <w:tc>
          <w:tcPr/>
          <w:p>
            <w:pPr>
              <w:pStyle w:val="Compact"/>
              <w:jc w:val="left"/>
            </w:pPr>
            <w:r>
              <w:t xml:space="preserve"> Medium</w:t>
            </w:r>
          </w:p>
        </w:tc>
        <w:tc>
          <w:tcPr/>
          <w:p>
            <w:pPr>
              <w:pStyle w:val="Compact"/>
              <w:jc w:val="left"/>
            </w:pPr>
            <w:r>
              <w:t xml:space="preserve">26.7% (235,166)</w:t>
            </w:r>
          </w:p>
        </w:tc>
        <w:tc>
          <w:tcPr/>
          <w:p>
            <w:pPr>
              <w:pStyle w:val="Compact"/>
              <w:jc w:val="left"/>
            </w:pPr>
            <w:r>
              <w:t xml:space="preserve">26.9% (57,734)</w:t>
            </w:r>
          </w:p>
        </w:tc>
        <w:tc>
          <w:tcPr/>
          <w:p>
            <w:pPr>
              <w:pStyle w:val="Compact"/>
              <w:jc w:val="left"/>
            </w:pPr>
            <w:r>
              <w:t xml:space="preserve">25.7% (17,595)</w:t>
            </w:r>
          </w:p>
        </w:tc>
        <w:tc>
          <w:tcPr/>
          <w:p>
            <w:pPr>
              <w:pStyle w:val="Compact"/>
              <w:jc w:val="left"/>
            </w:pPr>
            <w:r>
              <w:t xml:space="preserve">27.4% (12,779)</w:t>
            </w:r>
          </w:p>
        </w:tc>
        <w:tc>
          <w:tcPr/>
          <w:p>
            <w:pPr>
              <w:pStyle w:val="Compact"/>
              <w:jc w:val="left"/>
            </w:pPr>
            <w:r>
              <w:t xml:space="preserve">26.8% (62,051)</w:t>
            </w:r>
          </w:p>
        </w:tc>
        <w:tc>
          <w:tcPr/>
          <w:p>
            <w:pPr>
              <w:pStyle w:val="Compact"/>
              <w:jc w:val="left"/>
            </w:pPr>
            <w:r>
              <w:t xml:space="preserve">26.8% (21,005)</w:t>
            </w:r>
          </w:p>
        </w:tc>
        <w:tc>
          <w:tcPr/>
          <w:p>
            <w:pPr>
              <w:pStyle w:val="Compact"/>
              <w:jc w:val="left"/>
            </w:pPr>
            <w:r>
              <w:t xml:space="preserve">27.2% (10,321)</w:t>
            </w:r>
          </w:p>
        </w:tc>
        <w:tc>
          <w:tcPr/>
          <w:p>
            <w:pPr>
              <w:pStyle w:val="Compact"/>
              <w:jc w:val="left"/>
            </w:pPr>
            <w:r>
              <w:t xml:space="preserve">24.8% (2,908)</w:t>
            </w:r>
          </w:p>
        </w:tc>
        <w:tc>
          <w:tcPr/>
          <w:p>
            <w:pPr>
              <w:pStyle w:val="Compact"/>
              <w:jc w:val="left"/>
            </w:pPr>
            <w:r>
              <w:t xml:space="preserve">26.7% (50,773)</w:t>
            </w:r>
          </w:p>
        </w:tc>
        <w:tc>
          <w:tcPr/>
          <w:p>
            <w:pPr>
              <w:pStyle w:val="Compact"/>
            </w:pPr>
          </w:p>
        </w:tc>
      </w:tr>
      <w:tr>
        <w:tc>
          <w:tcPr/>
          <w:p>
            <w:pPr>
              <w:pStyle w:val="Compact"/>
              <w:jc w:val="left"/>
            </w:pPr>
            <w:r>
              <w:t xml:space="preserve"> Large</w:t>
            </w:r>
          </w:p>
        </w:tc>
        <w:tc>
          <w:tcPr/>
          <w:p>
            <w:pPr>
              <w:pStyle w:val="Compact"/>
              <w:jc w:val="left"/>
            </w:pPr>
            <w:r>
              <w:t xml:space="preserve">55.3% (483,811)</w:t>
            </w:r>
          </w:p>
        </w:tc>
        <w:tc>
          <w:tcPr/>
          <w:p>
            <w:pPr>
              <w:pStyle w:val="Compact"/>
              <w:jc w:val="left"/>
            </w:pPr>
            <w:r>
              <w:t xml:space="preserve">54.8% (117,058)</w:t>
            </w:r>
          </w:p>
        </w:tc>
        <w:tc>
          <w:tcPr/>
          <w:p>
            <w:pPr>
              <w:pStyle w:val="Compact"/>
              <w:jc w:val="left"/>
            </w:pPr>
            <w:r>
              <w:t xml:space="preserve">58.7% (39,667)</w:t>
            </w:r>
          </w:p>
        </w:tc>
        <w:tc>
          <w:tcPr/>
          <w:p>
            <w:pPr>
              <w:pStyle w:val="Compact"/>
              <w:jc w:val="left"/>
            </w:pPr>
            <w:r>
              <w:t xml:space="preserve">56.6% (27,051)</w:t>
            </w:r>
          </w:p>
        </w:tc>
        <w:tc>
          <w:tcPr/>
          <w:p>
            <w:pPr>
              <w:pStyle w:val="Compact"/>
              <w:jc w:val="left"/>
            </w:pPr>
            <w:r>
              <w:t xml:space="preserve">54.8% (125,725)</w:t>
            </w:r>
          </w:p>
        </w:tc>
        <w:tc>
          <w:tcPr/>
          <w:p>
            <w:pPr>
              <w:pStyle w:val="Compact"/>
              <w:jc w:val="left"/>
            </w:pPr>
            <w:r>
              <w:t xml:space="preserve">54.5% (42,589)</w:t>
            </w:r>
          </w:p>
        </w:tc>
        <w:tc>
          <w:tcPr/>
          <w:p>
            <w:pPr>
              <w:pStyle w:val="Compact"/>
              <w:jc w:val="left"/>
            </w:pPr>
            <w:r>
              <w:t xml:space="preserve">54.1% (20,643)</w:t>
            </w:r>
          </w:p>
        </w:tc>
        <w:tc>
          <w:tcPr/>
          <w:p>
            <w:pPr>
              <w:pStyle w:val="Compact"/>
              <w:jc w:val="left"/>
            </w:pPr>
            <w:r>
              <w:t xml:space="preserve">61.8% (7,104)</w:t>
            </w:r>
          </w:p>
        </w:tc>
        <w:tc>
          <w:tcPr/>
          <w:p>
            <w:pPr>
              <w:pStyle w:val="Compact"/>
              <w:jc w:val="left"/>
            </w:pPr>
            <w:r>
              <w:t xml:space="preserve">55.1% (103,974)</w:t>
            </w:r>
          </w:p>
        </w:tc>
        <w:tc>
          <w:tcPr/>
          <w:p>
            <w:pPr>
              <w:pStyle w:val="Compact"/>
            </w:pPr>
          </w:p>
        </w:tc>
      </w:tr>
      <w:tr>
        <w:tc>
          <w:tcPr/>
          <w:p>
            <w:pPr>
              <w:pStyle w:val="Compact"/>
              <w:jc w:val="left"/>
            </w:pPr>
            <w:r>
              <w:t xml:space="preserve">Hospital location and teaching status,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0.187</w:t>
            </w:r>
          </w:p>
        </w:tc>
      </w:tr>
      <w:tr>
        <w:tc>
          <w:tcPr/>
          <w:p>
            <w:pPr>
              <w:pStyle w:val="Compact"/>
              <w:jc w:val="left"/>
            </w:pPr>
            <w:r>
              <w:t xml:space="preserve"> Metropolitan, non-teaching</w:t>
            </w:r>
          </w:p>
        </w:tc>
        <w:tc>
          <w:tcPr/>
          <w:p>
            <w:pPr>
              <w:pStyle w:val="Compact"/>
              <w:jc w:val="left"/>
            </w:pPr>
            <w:r>
              <w:t xml:space="preserve">17.3% (157,338)</w:t>
            </w:r>
          </w:p>
        </w:tc>
        <w:tc>
          <w:tcPr/>
          <w:p>
            <w:pPr>
              <w:pStyle w:val="Compact"/>
              <w:jc w:val="left"/>
            </w:pPr>
            <w:r>
              <w:t xml:space="preserve">18.0% (40,077)</w:t>
            </w:r>
          </w:p>
        </w:tc>
        <w:tc>
          <w:tcPr/>
          <w:p>
            <w:pPr>
              <w:pStyle w:val="Compact"/>
              <w:jc w:val="left"/>
            </w:pPr>
            <w:r>
              <w:t xml:space="preserve">15.1% (10,694)</w:t>
            </w:r>
          </w:p>
        </w:tc>
        <w:tc>
          <w:tcPr/>
          <w:p>
            <w:pPr>
              <w:pStyle w:val="Compact"/>
              <w:jc w:val="left"/>
            </w:pPr>
            <w:r>
              <w:t xml:space="preserve">13.0% (6,515)</w:t>
            </w:r>
          </w:p>
        </w:tc>
        <w:tc>
          <w:tcPr/>
          <w:p>
            <w:pPr>
              <w:pStyle w:val="Compact"/>
              <w:jc w:val="left"/>
            </w:pPr>
            <w:r>
              <w:t xml:space="preserve">18.1% (42,847)</w:t>
            </w:r>
          </w:p>
        </w:tc>
        <w:tc>
          <w:tcPr/>
          <w:p>
            <w:pPr>
              <w:pStyle w:val="Compact"/>
              <w:jc w:val="left"/>
            </w:pPr>
            <w:r>
              <w:t xml:space="preserve">18.1% (14,817)</w:t>
            </w:r>
          </w:p>
        </w:tc>
        <w:tc>
          <w:tcPr/>
          <w:p>
            <w:pPr>
              <w:pStyle w:val="Compact"/>
              <w:jc w:val="left"/>
            </w:pPr>
            <w:r>
              <w:t xml:space="preserve">17.7% (6,958)</w:t>
            </w:r>
          </w:p>
        </w:tc>
        <w:tc>
          <w:tcPr/>
          <w:p>
            <w:pPr>
              <w:pStyle w:val="Compact"/>
              <w:jc w:val="left"/>
            </w:pPr>
            <w:r>
              <w:t xml:space="preserve">14.5% (1,778)</w:t>
            </w:r>
          </w:p>
        </w:tc>
        <w:tc>
          <w:tcPr/>
          <w:p>
            <w:pPr>
              <w:pStyle w:val="Compact"/>
              <w:jc w:val="left"/>
            </w:pPr>
            <w:r>
              <w:t xml:space="preserve">17.3% (33,652)</w:t>
            </w:r>
          </w:p>
        </w:tc>
        <w:tc>
          <w:tcPr/>
          <w:p>
            <w:pPr>
              <w:pStyle w:val="Compact"/>
            </w:pPr>
          </w:p>
        </w:tc>
      </w:tr>
      <w:tr>
        <w:tc>
          <w:tcPr/>
          <w:p>
            <w:pPr>
              <w:pStyle w:val="Compact"/>
              <w:jc w:val="left"/>
            </w:pPr>
            <w:r>
              <w:t xml:space="preserve"> Metropolitan, teaching</w:t>
            </w:r>
          </w:p>
        </w:tc>
        <w:tc>
          <w:tcPr/>
          <w:p>
            <w:pPr>
              <w:pStyle w:val="Compact"/>
              <w:jc w:val="left"/>
            </w:pPr>
            <w:r>
              <w:t xml:space="preserve">74.7% (655,990)</w:t>
            </w:r>
          </w:p>
        </w:tc>
        <w:tc>
          <w:tcPr/>
          <w:p>
            <w:pPr>
              <w:pStyle w:val="Compact"/>
              <w:jc w:val="left"/>
            </w:pPr>
            <w:r>
              <w:t xml:space="preserve">74.0% (158,827)</w:t>
            </w:r>
          </w:p>
        </w:tc>
        <w:tc>
          <w:tcPr/>
          <w:p>
            <w:pPr>
              <w:pStyle w:val="Compact"/>
              <w:jc w:val="left"/>
            </w:pPr>
            <w:r>
              <w:t xml:space="preserve">77.9% (52,801)</w:t>
            </w:r>
          </w:p>
        </w:tc>
        <w:tc>
          <w:tcPr/>
          <w:p>
            <w:pPr>
              <w:pStyle w:val="Compact"/>
              <w:jc w:val="left"/>
            </w:pPr>
            <w:r>
              <w:t xml:space="preserve">81.7% (38,669)</w:t>
            </w:r>
          </w:p>
        </w:tc>
        <w:tc>
          <w:tcPr/>
          <w:p>
            <w:pPr>
              <w:pStyle w:val="Compact"/>
              <w:jc w:val="left"/>
            </w:pPr>
            <w:r>
              <w:t xml:space="preserve">73.5% (169,496)</w:t>
            </w:r>
          </w:p>
        </w:tc>
        <w:tc>
          <w:tcPr/>
          <w:p>
            <w:pPr>
              <w:pStyle w:val="Compact"/>
              <w:jc w:val="left"/>
            </w:pPr>
            <w:r>
              <w:t xml:space="preserve">73.0% (57,177)</w:t>
            </w:r>
          </w:p>
        </w:tc>
        <w:tc>
          <w:tcPr/>
          <w:p>
            <w:pPr>
              <w:pStyle w:val="Compact"/>
              <w:jc w:val="left"/>
            </w:pPr>
            <w:r>
              <w:t xml:space="preserve">74.2% (28,394)</w:t>
            </w:r>
          </w:p>
        </w:tc>
        <w:tc>
          <w:tcPr/>
          <w:p>
            <w:pPr>
              <w:pStyle w:val="Compact"/>
              <w:jc w:val="left"/>
            </w:pPr>
            <w:r>
              <w:t xml:space="preserve">79.4% (9,185)</w:t>
            </w:r>
          </w:p>
        </w:tc>
        <w:tc>
          <w:tcPr/>
          <w:p>
            <w:pPr>
              <w:pStyle w:val="Compact"/>
              <w:jc w:val="left"/>
            </w:pPr>
            <w:r>
              <w:t xml:space="preserve">74.5% (141,441)</w:t>
            </w:r>
          </w:p>
        </w:tc>
        <w:tc>
          <w:tcPr/>
          <w:p>
            <w:pPr>
              <w:pStyle w:val="Compact"/>
            </w:pPr>
          </w:p>
        </w:tc>
      </w:tr>
      <w:tr>
        <w:tc>
          <w:tcPr/>
          <w:p>
            <w:pPr>
              <w:pStyle w:val="Compact"/>
              <w:jc w:val="left"/>
            </w:pPr>
            <w:r>
              <w:t xml:space="preserve"> Non-metropolitan</w:t>
            </w:r>
          </w:p>
        </w:tc>
        <w:tc>
          <w:tcPr/>
          <w:p>
            <w:pPr>
              <w:pStyle w:val="Compact"/>
              <w:jc w:val="left"/>
            </w:pPr>
            <w:r>
              <w:t xml:space="preserve">8.0% (57,158)</w:t>
            </w:r>
          </w:p>
        </w:tc>
        <w:tc>
          <w:tcPr/>
          <w:p>
            <w:pPr>
              <w:pStyle w:val="Compact"/>
              <w:jc w:val="left"/>
            </w:pPr>
            <w:r>
              <w:t xml:space="preserve">8.0% (13,851)</w:t>
            </w:r>
          </w:p>
        </w:tc>
        <w:tc>
          <w:tcPr/>
          <w:p>
            <w:pPr>
              <w:pStyle w:val="Compact"/>
              <w:jc w:val="left"/>
            </w:pPr>
            <w:r>
              <w:t xml:space="preserve">7.0% (3,987)</w:t>
            </w:r>
          </w:p>
        </w:tc>
        <w:tc>
          <w:tcPr/>
          <w:p>
            <w:pPr>
              <w:pStyle w:val="Compact"/>
              <w:jc w:val="left"/>
            </w:pPr>
            <w:r>
              <w:t xml:space="preserve">5.3% (2,012)</w:t>
            </w:r>
          </w:p>
        </w:tc>
        <w:tc>
          <w:tcPr/>
          <w:p>
            <w:pPr>
              <w:pStyle w:val="Compact"/>
              <w:jc w:val="left"/>
            </w:pPr>
            <w:r>
              <w:t xml:space="preserve">8.4% (15,833)</w:t>
            </w:r>
          </w:p>
        </w:tc>
        <w:tc>
          <w:tcPr/>
          <w:p>
            <w:pPr>
              <w:pStyle w:val="Compact"/>
              <w:jc w:val="left"/>
            </w:pPr>
            <w:r>
              <w:t xml:space="preserve">8.8% (5,724)</w:t>
            </w:r>
          </w:p>
        </w:tc>
        <w:tc>
          <w:tcPr/>
          <w:p>
            <w:pPr>
              <w:pStyle w:val="Compact"/>
              <w:jc w:val="left"/>
            </w:pPr>
            <w:r>
              <w:t xml:space="preserve">8.1% (2,502)</w:t>
            </w:r>
          </w:p>
        </w:tc>
        <w:tc>
          <w:tcPr/>
          <w:p>
            <w:pPr>
              <w:pStyle w:val="Compact"/>
              <w:jc w:val="left"/>
            </w:pPr>
            <w:r>
              <w:t xml:space="preserve">6.0% (557)</w:t>
            </w:r>
          </w:p>
        </w:tc>
        <w:tc>
          <w:tcPr/>
          <w:p>
            <w:pPr>
              <w:pStyle w:val="Compact"/>
              <w:jc w:val="left"/>
            </w:pPr>
            <w:r>
              <w:t xml:space="preserve">8.1% (12,692)</w:t>
            </w:r>
          </w:p>
        </w:tc>
        <w:tc>
          <w:tcPr/>
          <w:p>
            <w:pPr>
              <w:pStyle w:val="Compact"/>
            </w:pPr>
          </w:p>
        </w:tc>
      </w:tr>
      <w:tr>
        <w:tc>
          <w:tcPr/>
          <w:p>
            <w:pPr>
              <w:pStyle w:val="Compact"/>
              <w:jc w:val="left"/>
            </w:pPr>
            <w:r>
              <w:t xml:space="preserve">Hospital ownership,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0.103</w:t>
            </w:r>
          </w:p>
        </w:tc>
      </w:tr>
      <w:tr>
        <w:tc>
          <w:tcPr/>
          <w:p>
            <w:pPr>
              <w:pStyle w:val="Compact"/>
              <w:jc w:val="left"/>
            </w:pPr>
            <w:r>
              <w:t xml:space="preserve"> Private, not-profit</w:t>
            </w:r>
          </w:p>
        </w:tc>
        <w:tc>
          <w:tcPr/>
          <w:p>
            <w:pPr>
              <w:pStyle w:val="Compact"/>
              <w:jc w:val="left"/>
            </w:pPr>
            <w:r>
              <w:t xml:space="preserve">75.1% (648,234)</w:t>
            </w:r>
          </w:p>
        </w:tc>
        <w:tc>
          <w:tcPr/>
          <w:p>
            <w:pPr>
              <w:pStyle w:val="Compact"/>
              <w:jc w:val="left"/>
            </w:pPr>
            <w:r>
              <w:t xml:space="preserve">75.3% (159,013)</w:t>
            </w:r>
          </w:p>
        </w:tc>
        <w:tc>
          <w:tcPr/>
          <w:p>
            <w:pPr>
              <w:pStyle w:val="Compact"/>
              <w:jc w:val="left"/>
            </w:pPr>
            <w:r>
              <w:t xml:space="preserve">77.7% (52,034)</w:t>
            </w:r>
          </w:p>
        </w:tc>
        <w:tc>
          <w:tcPr/>
          <w:p>
            <w:pPr>
              <w:pStyle w:val="Compact"/>
              <w:jc w:val="left"/>
            </w:pPr>
            <w:r>
              <w:t xml:space="preserve">71.5% (33,533)</w:t>
            </w:r>
          </w:p>
        </w:tc>
        <w:tc>
          <w:tcPr/>
          <w:p>
            <w:pPr>
              <w:pStyle w:val="Compact"/>
              <w:jc w:val="left"/>
            </w:pPr>
            <w:r>
              <w:t xml:space="preserve">76.5% (173,294)</w:t>
            </w:r>
          </w:p>
        </w:tc>
        <w:tc>
          <w:tcPr/>
          <w:p>
            <w:pPr>
              <w:pStyle w:val="Compact"/>
              <w:jc w:val="left"/>
            </w:pPr>
            <w:r>
              <w:t xml:space="preserve">73.6% (56,672)</w:t>
            </w:r>
          </w:p>
        </w:tc>
        <w:tc>
          <w:tcPr/>
          <w:p>
            <w:pPr>
              <w:pStyle w:val="Compact"/>
              <w:jc w:val="left"/>
            </w:pPr>
            <w:r>
              <w:t xml:space="preserve">73.4% (27,537)</w:t>
            </w:r>
          </w:p>
        </w:tc>
        <w:tc>
          <w:tcPr/>
          <w:p>
            <w:pPr>
              <w:pStyle w:val="Compact"/>
              <w:jc w:val="left"/>
            </w:pPr>
            <w:r>
              <w:t xml:space="preserve">76.5% (8,737)</w:t>
            </w:r>
          </w:p>
        </w:tc>
        <w:tc>
          <w:tcPr/>
          <w:p>
            <w:pPr>
              <w:pStyle w:val="Compact"/>
              <w:jc w:val="left"/>
            </w:pPr>
            <w:r>
              <w:t xml:space="preserve">73.9% (137,414)</w:t>
            </w:r>
          </w:p>
        </w:tc>
        <w:tc>
          <w:tcPr/>
          <w:p>
            <w:pPr>
              <w:pStyle w:val="Compact"/>
            </w:pPr>
          </w:p>
        </w:tc>
      </w:tr>
      <w:tr>
        <w:tc>
          <w:tcPr/>
          <w:p>
            <w:pPr>
              <w:pStyle w:val="Compact"/>
              <w:jc w:val="left"/>
            </w:pPr>
            <w:r>
              <w:t xml:space="preserve"> Government, nonfederal</w:t>
            </w:r>
          </w:p>
        </w:tc>
        <w:tc>
          <w:tcPr/>
          <w:p>
            <w:pPr>
              <w:pStyle w:val="Compact"/>
              <w:jc w:val="left"/>
            </w:pPr>
            <w:r>
              <w:t xml:space="preserve">10.5% (96,381)</w:t>
            </w:r>
          </w:p>
        </w:tc>
        <w:tc>
          <w:tcPr/>
          <w:p>
            <w:pPr>
              <w:pStyle w:val="Compact"/>
              <w:jc w:val="left"/>
            </w:pPr>
            <w:r>
              <w:t xml:space="preserve">9.8% (21,871)</w:t>
            </w:r>
          </w:p>
        </w:tc>
        <w:tc>
          <w:tcPr/>
          <w:p>
            <w:pPr>
              <w:pStyle w:val="Compact"/>
              <w:jc w:val="left"/>
            </w:pPr>
            <w:r>
              <w:t xml:space="preserve">10.2% (7,147)</w:t>
            </w:r>
          </w:p>
        </w:tc>
        <w:tc>
          <w:tcPr/>
          <w:p>
            <w:pPr>
              <w:pStyle w:val="Compact"/>
              <w:jc w:val="left"/>
            </w:pPr>
            <w:r>
              <w:t xml:space="preserve">13.1% (6,287)</w:t>
            </w:r>
          </w:p>
        </w:tc>
        <w:tc>
          <w:tcPr/>
          <w:p>
            <w:pPr>
              <w:pStyle w:val="Compact"/>
              <w:jc w:val="left"/>
            </w:pPr>
            <w:r>
              <w:t xml:space="preserve">9.4% (22,839)</w:t>
            </w:r>
          </w:p>
        </w:tc>
        <w:tc>
          <w:tcPr/>
          <w:p>
            <w:pPr>
              <w:pStyle w:val="Compact"/>
              <w:jc w:val="left"/>
            </w:pPr>
            <w:r>
              <w:t xml:space="preserve">11.7% (9,342)</w:t>
            </w:r>
          </w:p>
        </w:tc>
        <w:tc>
          <w:tcPr/>
          <w:p>
            <w:pPr>
              <w:pStyle w:val="Compact"/>
              <w:jc w:val="left"/>
            </w:pPr>
            <w:r>
              <w:t xml:space="preserve">11.4% (4,616)</w:t>
            </w:r>
          </w:p>
        </w:tc>
        <w:tc>
          <w:tcPr/>
          <w:p>
            <w:pPr>
              <w:pStyle w:val="Compact"/>
              <w:jc w:val="left"/>
            </w:pPr>
            <w:r>
              <w:t xml:space="preserve">10.2% (1,262)</w:t>
            </w:r>
          </w:p>
        </w:tc>
        <w:tc>
          <w:tcPr/>
          <w:p>
            <w:pPr>
              <w:pStyle w:val="Compact"/>
              <w:jc w:val="left"/>
            </w:pPr>
            <w:r>
              <w:t xml:space="preserve">11.5% (23,017)</w:t>
            </w:r>
          </w:p>
        </w:tc>
        <w:tc>
          <w:tcPr/>
          <w:p>
            <w:pPr>
              <w:pStyle w:val="Compact"/>
            </w:pPr>
          </w:p>
        </w:tc>
      </w:tr>
      <w:tr>
        <w:tc>
          <w:tcPr/>
          <w:p>
            <w:pPr>
              <w:pStyle w:val="Compact"/>
              <w:jc w:val="left"/>
            </w:pPr>
            <w:r>
              <w:t xml:space="preserve"> Private, invest-own</w:t>
            </w:r>
          </w:p>
        </w:tc>
        <w:tc>
          <w:tcPr/>
          <w:p>
            <w:pPr>
              <w:pStyle w:val="Compact"/>
              <w:jc w:val="left"/>
            </w:pPr>
            <w:r>
              <w:t xml:space="preserve">14.4% (125,871)</w:t>
            </w:r>
          </w:p>
        </w:tc>
        <w:tc>
          <w:tcPr/>
          <w:p>
            <w:pPr>
              <w:pStyle w:val="Compact"/>
              <w:jc w:val="left"/>
            </w:pPr>
            <w:r>
              <w:t xml:space="preserve">14.8% (31,871)</w:t>
            </w:r>
          </w:p>
        </w:tc>
        <w:tc>
          <w:tcPr/>
          <w:p>
            <w:pPr>
              <w:pStyle w:val="Compact"/>
              <w:jc w:val="left"/>
            </w:pPr>
            <w:r>
              <w:t xml:space="preserve">12.1% (8,301)</w:t>
            </w:r>
          </w:p>
        </w:tc>
        <w:tc>
          <w:tcPr/>
          <w:p>
            <w:pPr>
              <w:pStyle w:val="Compact"/>
              <w:jc w:val="left"/>
            </w:pPr>
            <w:r>
              <w:t xml:space="preserve">15.4% (7,376)</w:t>
            </w:r>
          </w:p>
        </w:tc>
        <w:tc>
          <w:tcPr/>
          <w:p>
            <w:pPr>
              <w:pStyle w:val="Compact"/>
              <w:jc w:val="left"/>
            </w:pPr>
            <w:r>
              <w:t xml:space="preserve">14.1% (32,043)</w:t>
            </w:r>
          </w:p>
        </w:tc>
        <w:tc>
          <w:tcPr/>
          <w:p>
            <w:pPr>
              <w:pStyle w:val="Compact"/>
              <w:jc w:val="left"/>
            </w:pPr>
            <w:r>
              <w:t xml:space="preserve">14.7% (11,704)</w:t>
            </w:r>
          </w:p>
        </w:tc>
        <w:tc>
          <w:tcPr/>
          <w:p>
            <w:pPr>
              <w:pStyle w:val="Compact"/>
              <w:jc w:val="left"/>
            </w:pPr>
            <w:r>
              <w:t xml:space="preserve">15.1% (5,701)</w:t>
            </w:r>
          </w:p>
        </w:tc>
        <w:tc>
          <w:tcPr/>
          <w:p>
            <w:pPr>
              <w:pStyle w:val="Compact"/>
              <w:jc w:val="left"/>
            </w:pPr>
            <w:r>
              <w:t xml:space="preserve">13.3% (1,521)</w:t>
            </w:r>
          </w:p>
        </w:tc>
        <w:tc>
          <w:tcPr/>
          <w:p>
            <w:pPr>
              <w:pStyle w:val="Compact"/>
              <w:jc w:val="left"/>
            </w:pPr>
            <w:r>
              <w:t xml:space="preserve">14.6% (27,354)</w:t>
            </w:r>
          </w:p>
        </w:tc>
        <w:tc>
          <w:tcPr/>
          <w:p>
            <w:pPr>
              <w:pStyle w:val="Compact"/>
            </w:pPr>
          </w:p>
        </w:tc>
      </w:tr>
      <w:tr>
        <w:tc>
          <w:tcPr/>
          <w:p>
            <w:pPr>
              <w:pStyle w:val="Compact"/>
              <w:jc w:val="left"/>
            </w:pPr>
            <w:r>
              <w:t xml:space="preserve">Type 2 MI coded as the principal diagnosis,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0.447</w:t>
            </w:r>
          </w:p>
        </w:tc>
      </w:tr>
      <w:tr>
        <w:tc>
          <w:tcPr/>
          <w:p>
            <w:pPr>
              <w:pStyle w:val="Compact"/>
              <w:jc w:val="left"/>
            </w:pPr>
            <w:r>
              <w:t xml:space="preserve"> No</w:t>
            </w:r>
          </w:p>
        </w:tc>
        <w:tc>
          <w:tcPr/>
          <w:p>
            <w:pPr>
              <w:pStyle w:val="Compact"/>
              <w:jc w:val="left"/>
            </w:pPr>
            <w:r>
              <w:t xml:space="preserve">94.8% (825,220)</w:t>
            </w:r>
          </w:p>
        </w:tc>
        <w:tc>
          <w:tcPr/>
          <w:p>
            <w:pPr>
              <w:pStyle w:val="Compact"/>
              <w:jc w:val="left"/>
            </w:pPr>
            <w:r>
              <w:t xml:space="preserve">99.6% (211,941)</w:t>
            </w:r>
          </w:p>
        </w:tc>
        <w:tc>
          <w:tcPr/>
          <w:p>
            <w:pPr>
              <w:pStyle w:val="Compact"/>
              <w:jc w:val="left"/>
            </w:pPr>
            <w:r>
              <w:t xml:space="preserve">96.5% (65,148)</w:t>
            </w:r>
          </w:p>
        </w:tc>
        <w:tc>
          <w:tcPr/>
          <w:p>
            <w:pPr>
              <w:pStyle w:val="Compact"/>
              <w:jc w:val="left"/>
            </w:pPr>
            <w:r>
              <w:t xml:space="preserve">93.2% (43,984)</w:t>
            </w:r>
          </w:p>
        </w:tc>
        <w:tc>
          <w:tcPr/>
          <w:p>
            <w:pPr>
              <w:pStyle w:val="Compact"/>
              <w:jc w:val="left"/>
            </w:pPr>
            <w:r>
              <w:t xml:space="preserve">93.7% (213,640)</w:t>
            </w:r>
          </w:p>
        </w:tc>
        <w:tc>
          <w:tcPr/>
          <w:p>
            <w:pPr>
              <w:pStyle w:val="Compact"/>
              <w:jc w:val="left"/>
            </w:pPr>
            <w:r>
              <w:t xml:space="preserve">96.6% (75,082)</w:t>
            </w:r>
          </w:p>
        </w:tc>
        <w:tc>
          <w:tcPr/>
          <w:p>
            <w:pPr>
              <w:pStyle w:val="Compact"/>
              <w:jc w:val="left"/>
            </w:pPr>
            <w:r>
              <w:t xml:space="preserve">93.5% (35,396)</w:t>
            </w:r>
          </w:p>
        </w:tc>
        <w:tc>
          <w:tcPr/>
          <w:p>
            <w:pPr>
              <w:pStyle w:val="Compact"/>
              <w:jc w:val="left"/>
            </w:pPr>
            <w:r>
              <w:t xml:space="preserve">97.4% (11,221)</w:t>
            </w:r>
          </w:p>
        </w:tc>
        <w:tc>
          <w:tcPr/>
          <w:p>
            <w:pPr>
              <w:pStyle w:val="Compact"/>
              <w:jc w:val="left"/>
            </w:pPr>
            <w:r>
              <w:t xml:space="preserve">89.9% (168,808)</w:t>
            </w:r>
          </w:p>
        </w:tc>
        <w:tc>
          <w:tcPr/>
          <w:p>
            <w:pPr>
              <w:pStyle w:val="Compact"/>
            </w:pPr>
          </w:p>
        </w:tc>
      </w:tr>
      <w:tr>
        <w:tc>
          <w:tcPr/>
          <w:p>
            <w:pPr>
              <w:pStyle w:val="Compact"/>
              <w:jc w:val="left"/>
            </w:pPr>
            <w:r>
              <w:t xml:space="preserve"> Yes</w:t>
            </w:r>
          </w:p>
        </w:tc>
        <w:tc>
          <w:tcPr/>
          <w:p>
            <w:pPr>
              <w:pStyle w:val="Compact"/>
              <w:jc w:val="left"/>
            </w:pPr>
            <w:r>
              <w:t xml:space="preserve">5.2% (45,266)</w:t>
            </w:r>
          </w:p>
        </w:tc>
        <w:tc>
          <w:tcPr/>
          <w:p>
            <w:pPr>
              <w:pStyle w:val="Compact"/>
              <w:jc w:val="left"/>
            </w:pPr>
            <w:r>
              <w:t xml:space="preserve">0.4% (814)</w:t>
            </w:r>
          </w:p>
        </w:tc>
        <w:tc>
          <w:tcPr/>
          <w:p>
            <w:pPr>
              <w:pStyle w:val="Compact"/>
              <w:jc w:val="left"/>
            </w:pPr>
            <w:r>
              <w:t xml:space="preserve">3.5% (2,334)</w:t>
            </w:r>
          </w:p>
        </w:tc>
        <w:tc>
          <w:tcPr/>
          <w:p>
            <w:pPr>
              <w:pStyle w:val="Compact"/>
              <w:jc w:val="left"/>
            </w:pPr>
            <w:r>
              <w:t xml:space="preserve">6.8% (3,212)</w:t>
            </w:r>
          </w:p>
        </w:tc>
        <w:tc>
          <w:tcPr/>
          <w:p>
            <w:pPr>
              <w:pStyle w:val="Compact"/>
              <w:jc w:val="left"/>
            </w:pPr>
            <w:r>
              <w:t xml:space="preserve">6.3% (14,536)</w:t>
            </w:r>
          </w:p>
        </w:tc>
        <w:tc>
          <w:tcPr/>
          <w:p>
            <w:pPr>
              <w:pStyle w:val="Compact"/>
              <w:jc w:val="left"/>
            </w:pPr>
            <w:r>
              <w:t xml:space="preserve">3.4% (2,636)</w:t>
            </w:r>
          </w:p>
        </w:tc>
        <w:tc>
          <w:tcPr/>
          <w:p>
            <w:pPr>
              <w:pStyle w:val="Compact"/>
              <w:jc w:val="left"/>
            </w:pPr>
            <w:r>
              <w:t xml:space="preserve">6.5% (2,458)</w:t>
            </w:r>
          </w:p>
        </w:tc>
        <w:tc>
          <w:tcPr/>
          <w:p>
            <w:pPr>
              <w:pStyle w:val="Compact"/>
              <w:jc w:val="left"/>
            </w:pPr>
            <w:r>
              <w:t xml:space="preserve">2.6% (299)</w:t>
            </w:r>
          </w:p>
        </w:tc>
        <w:tc>
          <w:tcPr/>
          <w:p>
            <w:pPr>
              <w:pStyle w:val="Compact"/>
              <w:jc w:val="left"/>
            </w:pPr>
            <w:r>
              <w:t xml:space="preserve">10.1% (18,977)</w:t>
            </w:r>
          </w:p>
        </w:tc>
        <w:tc>
          <w:tcPr/>
          <w:p>
            <w:pPr>
              <w:pStyle w:val="Compact"/>
            </w:pPr>
          </w:p>
        </w:tc>
      </w:tr>
      <w:tr>
        <w:tc>
          <w:tcPr/>
          <w:p>
            <w:pPr>
              <w:pStyle w:val="Compact"/>
              <w:jc w:val="left"/>
            </w:pPr>
            <w:r>
              <w:t xml:space="preserve">Cardiogenic shock at index,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0.233</w:t>
            </w:r>
          </w:p>
        </w:tc>
      </w:tr>
      <w:tr>
        <w:tc>
          <w:tcPr/>
          <w:p>
            <w:pPr>
              <w:pStyle w:val="Compact"/>
              <w:jc w:val="left"/>
            </w:pPr>
            <w:r>
              <w:t xml:space="preserve"> No</w:t>
            </w:r>
          </w:p>
        </w:tc>
        <w:tc>
          <w:tcPr/>
          <w:p>
            <w:pPr>
              <w:pStyle w:val="Compact"/>
              <w:jc w:val="left"/>
            </w:pPr>
            <w:r>
              <w:t xml:space="preserve">97.6% (849,966)</w:t>
            </w:r>
          </w:p>
        </w:tc>
        <w:tc>
          <w:tcPr/>
          <w:p>
            <w:pPr>
              <w:pStyle w:val="Compact"/>
              <w:jc w:val="left"/>
            </w:pPr>
            <w:r>
              <w:t xml:space="preserve">96.1% (204,582)</w:t>
            </w:r>
          </w:p>
        </w:tc>
        <w:tc>
          <w:tcPr/>
          <w:p>
            <w:pPr>
              <w:pStyle w:val="Compact"/>
              <w:jc w:val="left"/>
            </w:pPr>
            <w:r>
              <w:t xml:space="preserve">97.1% (65,564)</w:t>
            </w:r>
          </w:p>
        </w:tc>
        <w:tc>
          <w:tcPr/>
          <w:p>
            <w:pPr>
              <w:pStyle w:val="Compact"/>
              <w:jc w:val="left"/>
            </w:pPr>
            <w:r>
              <w:t xml:space="preserve">99.5% (46,957)</w:t>
            </w:r>
          </w:p>
        </w:tc>
        <w:tc>
          <w:tcPr/>
          <w:p>
            <w:pPr>
              <w:pStyle w:val="Compact"/>
              <w:jc w:val="left"/>
            </w:pPr>
            <w:r>
              <w:t xml:space="preserve">97.2% (221,856)</w:t>
            </w:r>
          </w:p>
        </w:tc>
        <w:tc>
          <w:tcPr/>
          <w:p>
            <w:pPr>
              <w:pStyle w:val="Compact"/>
              <w:jc w:val="left"/>
            </w:pPr>
            <w:r>
              <w:t xml:space="preserve">97.3% (75,621)</w:t>
            </w:r>
          </w:p>
        </w:tc>
        <w:tc>
          <w:tcPr/>
          <w:p>
            <w:pPr>
              <w:pStyle w:val="Compact"/>
              <w:jc w:val="left"/>
            </w:pPr>
            <w:r>
              <w:t xml:space="preserve">99.2% (37,532)</w:t>
            </w:r>
          </w:p>
        </w:tc>
        <w:tc>
          <w:tcPr/>
          <w:p>
            <w:pPr>
              <w:pStyle w:val="Compact"/>
              <w:jc w:val="left"/>
            </w:pPr>
            <w:r>
              <w:t xml:space="preserve">98.3% (11,327)</w:t>
            </w:r>
          </w:p>
        </w:tc>
        <w:tc>
          <w:tcPr/>
          <w:p>
            <w:pPr>
              <w:pStyle w:val="Compact"/>
              <w:jc w:val="left"/>
            </w:pPr>
            <w:r>
              <w:t xml:space="preserve">99.3% (186,527)</w:t>
            </w:r>
          </w:p>
        </w:tc>
        <w:tc>
          <w:tcPr/>
          <w:p>
            <w:pPr>
              <w:pStyle w:val="Compact"/>
            </w:pPr>
          </w:p>
        </w:tc>
      </w:tr>
      <w:tr>
        <w:tc>
          <w:tcPr/>
          <w:p>
            <w:pPr>
              <w:pStyle w:val="Compact"/>
              <w:jc w:val="left"/>
            </w:pPr>
            <w:r>
              <w:t xml:space="preserve"> Yes</w:t>
            </w:r>
          </w:p>
        </w:tc>
        <w:tc>
          <w:tcPr/>
          <w:p>
            <w:pPr>
              <w:pStyle w:val="Compact"/>
              <w:jc w:val="left"/>
            </w:pPr>
            <w:r>
              <w:t xml:space="preserve">2.4% (20,520)</w:t>
            </w:r>
          </w:p>
        </w:tc>
        <w:tc>
          <w:tcPr/>
          <w:p>
            <w:pPr>
              <w:pStyle w:val="Compact"/>
              <w:jc w:val="left"/>
            </w:pPr>
            <w:r>
              <w:t xml:space="preserve">3.9% (8,173)</w:t>
            </w:r>
          </w:p>
        </w:tc>
        <w:tc>
          <w:tcPr/>
          <w:p>
            <w:pPr>
              <w:pStyle w:val="Compact"/>
              <w:jc w:val="left"/>
            </w:pPr>
            <w:r>
              <w:t xml:space="preserve">2.9% (1,918)</w:t>
            </w:r>
          </w:p>
        </w:tc>
        <w:tc>
          <w:tcPr/>
          <w:p>
            <w:pPr>
              <w:pStyle w:val="Compact"/>
              <w:jc w:val="left"/>
            </w:pPr>
            <w:r>
              <w:t xml:space="preserve">0.5% (239)</w:t>
            </w:r>
          </w:p>
        </w:tc>
        <w:tc>
          <w:tcPr/>
          <w:p>
            <w:pPr>
              <w:pStyle w:val="Compact"/>
              <w:jc w:val="left"/>
            </w:pPr>
            <w:r>
              <w:t xml:space="preserve">2.8% (6,320)</w:t>
            </w:r>
          </w:p>
        </w:tc>
        <w:tc>
          <w:tcPr/>
          <w:p>
            <w:pPr>
              <w:pStyle w:val="Compact"/>
              <w:jc w:val="left"/>
            </w:pPr>
            <w:r>
              <w:t xml:space="preserve">2.7% (2,097)</w:t>
            </w:r>
          </w:p>
        </w:tc>
        <w:tc>
          <w:tcPr/>
          <w:p>
            <w:pPr>
              <w:pStyle w:val="Compact"/>
              <w:jc w:val="left"/>
            </w:pPr>
            <w:r>
              <w:t xml:space="preserve">0.8% (322)</w:t>
            </w:r>
          </w:p>
        </w:tc>
        <w:tc>
          <w:tcPr/>
          <w:p>
            <w:pPr>
              <w:pStyle w:val="Compact"/>
              <w:jc w:val="left"/>
            </w:pPr>
            <w:r>
              <w:t xml:space="preserve">1.7% (193)</w:t>
            </w:r>
          </w:p>
        </w:tc>
        <w:tc>
          <w:tcPr/>
          <w:p>
            <w:pPr>
              <w:pStyle w:val="Compact"/>
              <w:jc w:val="left"/>
            </w:pPr>
            <w:r>
              <w:t xml:space="preserve">0.7% (1,258)</w:t>
            </w:r>
          </w:p>
        </w:tc>
        <w:tc>
          <w:tcPr/>
          <w:p>
            <w:pPr>
              <w:pStyle w:val="Compact"/>
            </w:pPr>
          </w:p>
        </w:tc>
      </w:tr>
      <w:tr>
        <w:tc>
          <w:tcPr/>
          <w:p>
            <w:pPr>
              <w:pStyle w:val="Compact"/>
              <w:jc w:val="left"/>
            </w:pPr>
            <w:r>
              <w:t xml:space="preserve">Invasive mechanical ventilation at index,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0.585</w:t>
            </w:r>
          </w:p>
        </w:tc>
      </w:tr>
      <w:tr>
        <w:tc>
          <w:tcPr/>
          <w:p>
            <w:pPr>
              <w:pStyle w:val="Compact"/>
              <w:jc w:val="left"/>
            </w:pPr>
            <w:r>
              <w:t xml:space="preserve"> No</w:t>
            </w:r>
          </w:p>
        </w:tc>
        <w:tc>
          <w:tcPr/>
          <w:p>
            <w:pPr>
              <w:pStyle w:val="Compact"/>
              <w:jc w:val="left"/>
            </w:pPr>
            <w:r>
              <w:t xml:space="preserve">91.3% (795,943)</w:t>
            </w:r>
          </w:p>
        </w:tc>
        <w:tc>
          <w:tcPr/>
          <w:p>
            <w:pPr>
              <w:pStyle w:val="Compact"/>
              <w:jc w:val="left"/>
            </w:pPr>
            <w:r>
              <w:t xml:space="preserve">80.9% (172,666)</w:t>
            </w:r>
          </w:p>
        </w:tc>
        <w:tc>
          <w:tcPr/>
          <w:p>
            <w:pPr>
              <w:pStyle w:val="Compact"/>
              <w:jc w:val="left"/>
            </w:pPr>
            <w:r>
              <w:t xml:space="preserve">91.9% (62,140)</w:t>
            </w:r>
          </w:p>
        </w:tc>
        <w:tc>
          <w:tcPr/>
          <w:p>
            <w:pPr>
              <w:pStyle w:val="Compact"/>
              <w:jc w:val="left"/>
            </w:pPr>
            <w:r>
              <w:t xml:space="preserve">95.4% (45,028)</w:t>
            </w:r>
          </w:p>
        </w:tc>
        <w:tc>
          <w:tcPr/>
          <w:p>
            <w:pPr>
              <w:pStyle w:val="Compact"/>
              <w:jc w:val="left"/>
            </w:pPr>
            <w:r>
              <w:t xml:space="preserve">96.3% (219,881)</w:t>
            </w:r>
          </w:p>
        </w:tc>
        <w:tc>
          <w:tcPr/>
          <w:p>
            <w:pPr>
              <w:pStyle w:val="Compact"/>
              <w:jc w:val="left"/>
            </w:pPr>
            <w:r>
              <w:t xml:space="preserve">81.7% (63,779)</w:t>
            </w:r>
          </w:p>
        </w:tc>
        <w:tc>
          <w:tcPr/>
          <w:p>
            <w:pPr>
              <w:pStyle w:val="Compact"/>
              <w:jc w:val="left"/>
            </w:pPr>
            <w:r>
              <w:t xml:space="preserve">97.7% (37,000)</w:t>
            </w:r>
          </w:p>
        </w:tc>
        <w:tc>
          <w:tcPr/>
          <w:p>
            <w:pPr>
              <w:pStyle w:val="Compact"/>
              <w:jc w:val="left"/>
            </w:pPr>
            <w:r>
              <w:t xml:space="preserve">96.6% (11,131)</w:t>
            </w:r>
          </w:p>
        </w:tc>
        <w:tc>
          <w:tcPr/>
          <w:p>
            <w:pPr>
              <w:pStyle w:val="Compact"/>
              <w:jc w:val="left"/>
            </w:pPr>
            <w:r>
              <w:t xml:space="preserve">98.1% (184,318)</w:t>
            </w:r>
          </w:p>
        </w:tc>
        <w:tc>
          <w:tcPr/>
          <w:p>
            <w:pPr>
              <w:pStyle w:val="Compact"/>
            </w:pPr>
          </w:p>
        </w:tc>
      </w:tr>
      <w:tr>
        <w:tc>
          <w:tcPr/>
          <w:p>
            <w:pPr>
              <w:pStyle w:val="Compact"/>
              <w:jc w:val="left"/>
            </w:pPr>
            <w:r>
              <w:t xml:space="preserve"> Yes</w:t>
            </w:r>
          </w:p>
        </w:tc>
        <w:tc>
          <w:tcPr/>
          <w:p>
            <w:pPr>
              <w:pStyle w:val="Compact"/>
              <w:jc w:val="left"/>
            </w:pPr>
            <w:r>
              <w:t xml:space="preserve">8.7% (74,543)</w:t>
            </w:r>
          </w:p>
        </w:tc>
        <w:tc>
          <w:tcPr/>
          <w:p>
            <w:pPr>
              <w:pStyle w:val="Compact"/>
              <w:jc w:val="left"/>
            </w:pPr>
            <w:r>
              <w:t xml:space="preserve">19.1% (40,089)</w:t>
            </w:r>
          </w:p>
        </w:tc>
        <w:tc>
          <w:tcPr/>
          <w:p>
            <w:pPr>
              <w:pStyle w:val="Compact"/>
              <w:jc w:val="left"/>
            </w:pPr>
            <w:r>
              <w:t xml:space="preserve">8.1% (5,342)</w:t>
            </w:r>
          </w:p>
        </w:tc>
        <w:tc>
          <w:tcPr/>
          <w:p>
            <w:pPr>
              <w:pStyle w:val="Compact"/>
              <w:jc w:val="left"/>
            </w:pPr>
            <w:r>
              <w:t xml:space="preserve">4.6% (2,168)</w:t>
            </w:r>
          </w:p>
        </w:tc>
        <w:tc>
          <w:tcPr/>
          <w:p>
            <w:pPr>
              <w:pStyle w:val="Compact"/>
              <w:jc w:val="left"/>
            </w:pPr>
            <w:r>
              <w:t xml:space="preserve">3.7% (8,295)</w:t>
            </w:r>
          </w:p>
        </w:tc>
        <w:tc>
          <w:tcPr/>
          <w:p>
            <w:pPr>
              <w:pStyle w:val="Compact"/>
              <w:jc w:val="left"/>
            </w:pPr>
            <w:r>
              <w:t xml:space="preserve">18.3% (13,939)</w:t>
            </w:r>
          </w:p>
        </w:tc>
        <w:tc>
          <w:tcPr/>
          <w:p>
            <w:pPr>
              <w:pStyle w:val="Compact"/>
              <w:jc w:val="left"/>
            </w:pPr>
            <w:r>
              <w:t xml:space="preserve">2.3% (854)</w:t>
            </w:r>
          </w:p>
        </w:tc>
        <w:tc>
          <w:tcPr/>
          <w:p>
            <w:pPr>
              <w:pStyle w:val="Compact"/>
              <w:jc w:val="left"/>
            </w:pPr>
            <w:r>
              <w:t xml:space="preserve">3.4% (389)</w:t>
            </w:r>
          </w:p>
        </w:tc>
        <w:tc>
          <w:tcPr/>
          <w:p>
            <w:pPr>
              <w:pStyle w:val="Compact"/>
              <w:jc w:val="left"/>
            </w:pPr>
            <w:r>
              <w:t xml:space="preserve">1.9% (3,467)</w:t>
            </w:r>
          </w:p>
        </w:tc>
        <w:tc>
          <w:tcPr/>
          <w:p>
            <w:pPr>
              <w:pStyle w:val="Compact"/>
            </w:pPr>
          </w:p>
        </w:tc>
      </w:tr>
      <w:tr>
        <w:tc>
          <w:tcPr/>
          <w:p>
            <w:pPr>
              <w:pStyle w:val="Compact"/>
              <w:jc w:val="left"/>
            </w:pPr>
            <w:r>
              <w:t xml:space="preserve">Chronic kidney disease stage,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0.332</w:t>
            </w:r>
          </w:p>
        </w:tc>
      </w:tr>
      <w:tr>
        <w:tc>
          <w:tcPr/>
          <w:p>
            <w:pPr>
              <w:pStyle w:val="Compact"/>
              <w:jc w:val="left"/>
            </w:pPr>
            <w:r>
              <w:t xml:space="preserve"> No coded CKD</w:t>
            </w:r>
          </w:p>
        </w:tc>
        <w:tc>
          <w:tcPr/>
          <w:p>
            <w:pPr>
              <w:pStyle w:val="Compact"/>
              <w:jc w:val="left"/>
            </w:pPr>
            <w:r>
              <w:t xml:space="preserve">58.9% (512,297)</w:t>
            </w:r>
          </w:p>
        </w:tc>
        <w:tc>
          <w:tcPr/>
          <w:p>
            <w:pPr>
              <w:pStyle w:val="Compact"/>
              <w:jc w:val="left"/>
            </w:pPr>
            <w:r>
              <w:t xml:space="preserve">61.1% (130,299)</w:t>
            </w:r>
          </w:p>
        </w:tc>
        <w:tc>
          <w:tcPr/>
          <w:p>
            <w:pPr>
              <w:pStyle w:val="Compact"/>
              <w:jc w:val="left"/>
            </w:pPr>
            <w:r>
              <w:t xml:space="preserve">54.6% (36,830)</w:t>
            </w:r>
          </w:p>
        </w:tc>
        <w:tc>
          <w:tcPr/>
          <w:p>
            <w:pPr>
              <w:pStyle w:val="Compact"/>
              <w:jc w:val="left"/>
            </w:pPr>
            <w:r>
              <w:t xml:space="preserve">44.8% (21,089)</w:t>
            </w:r>
          </w:p>
        </w:tc>
        <w:tc>
          <w:tcPr/>
          <w:p>
            <w:pPr>
              <w:pStyle w:val="Compact"/>
              <w:jc w:val="left"/>
            </w:pPr>
            <w:r>
              <w:t xml:space="preserve">56.4% (128,717)</w:t>
            </w:r>
          </w:p>
        </w:tc>
        <w:tc>
          <w:tcPr/>
          <w:p>
            <w:pPr>
              <w:pStyle w:val="Compact"/>
              <w:jc w:val="left"/>
            </w:pPr>
            <w:r>
              <w:t xml:space="preserve">61.2% (47,377)</w:t>
            </w:r>
          </w:p>
        </w:tc>
        <w:tc>
          <w:tcPr/>
          <w:p>
            <w:pPr>
              <w:pStyle w:val="Compact"/>
              <w:jc w:val="left"/>
            </w:pPr>
            <w:r>
              <w:t xml:space="preserve">63.0% (23,905)</w:t>
            </w:r>
          </w:p>
        </w:tc>
        <w:tc>
          <w:tcPr/>
          <w:p>
            <w:pPr>
              <w:pStyle w:val="Compact"/>
              <w:jc w:val="left"/>
            </w:pPr>
            <w:r>
              <w:t xml:space="preserve">60.9% (7,003)</w:t>
            </w:r>
          </w:p>
        </w:tc>
        <w:tc>
          <w:tcPr/>
          <w:p>
            <w:pPr>
              <w:pStyle w:val="Compact"/>
              <w:jc w:val="left"/>
            </w:pPr>
            <w:r>
              <w:t xml:space="preserve">62.6% (117,077)</w:t>
            </w:r>
          </w:p>
        </w:tc>
        <w:tc>
          <w:tcPr/>
          <w:p>
            <w:pPr>
              <w:pStyle w:val="Compact"/>
            </w:pPr>
          </w:p>
        </w:tc>
      </w:tr>
      <w:tr>
        <w:tc>
          <w:tcPr/>
          <w:p>
            <w:pPr>
              <w:pStyle w:val="Compact"/>
              <w:jc w:val="left"/>
            </w:pPr>
            <w:r>
              <w:t xml:space="preserve"> Stage 1-2</w:t>
            </w:r>
          </w:p>
        </w:tc>
        <w:tc>
          <w:tcPr/>
          <w:p>
            <w:pPr>
              <w:pStyle w:val="Compact"/>
              <w:jc w:val="left"/>
            </w:pPr>
            <w:r>
              <w:t xml:space="preserve">1.8% (15,287)</w:t>
            </w:r>
          </w:p>
        </w:tc>
        <w:tc>
          <w:tcPr/>
          <w:p>
            <w:pPr>
              <w:pStyle w:val="Compact"/>
              <w:jc w:val="left"/>
            </w:pPr>
            <w:r>
              <w:t xml:space="preserve">1.6% (3,365)</w:t>
            </w:r>
          </w:p>
        </w:tc>
        <w:tc>
          <w:tcPr/>
          <w:p>
            <w:pPr>
              <w:pStyle w:val="Compact"/>
              <w:jc w:val="left"/>
            </w:pPr>
            <w:r>
              <w:t xml:space="preserve">1.6% (1,084)</w:t>
            </w:r>
          </w:p>
        </w:tc>
        <w:tc>
          <w:tcPr/>
          <w:p>
            <w:pPr>
              <w:pStyle w:val="Compact"/>
              <w:jc w:val="left"/>
            </w:pPr>
            <w:r>
              <w:t xml:space="preserve">2.2% (973)</w:t>
            </w:r>
          </w:p>
        </w:tc>
        <w:tc>
          <w:tcPr/>
          <w:p>
            <w:pPr>
              <w:pStyle w:val="Compact"/>
              <w:jc w:val="left"/>
            </w:pPr>
            <w:r>
              <w:t xml:space="preserve">2.0% (4,614)</w:t>
            </w:r>
          </w:p>
        </w:tc>
        <w:tc>
          <w:tcPr/>
          <w:p>
            <w:pPr>
              <w:pStyle w:val="Compact"/>
              <w:jc w:val="left"/>
            </w:pPr>
            <w:r>
              <w:t xml:space="preserve">1.5% (1,181)</w:t>
            </w:r>
          </w:p>
        </w:tc>
        <w:tc>
          <w:tcPr/>
          <w:p>
            <w:pPr>
              <w:pStyle w:val="Compact"/>
              <w:jc w:val="left"/>
            </w:pPr>
            <w:r>
              <w:t xml:space="preserve">2.0% (753)</w:t>
            </w:r>
          </w:p>
        </w:tc>
        <w:tc>
          <w:tcPr/>
          <w:p>
            <w:pPr>
              <w:pStyle w:val="Compact"/>
              <w:jc w:val="left"/>
            </w:pPr>
            <w:r>
              <w:t xml:space="preserve">1.6% (168)</w:t>
            </w:r>
          </w:p>
        </w:tc>
        <w:tc>
          <w:tcPr/>
          <w:p>
            <w:pPr>
              <w:pStyle w:val="Compact"/>
              <w:jc w:val="left"/>
            </w:pPr>
            <w:r>
              <w:t xml:space="preserve">1.7% (3,149)</w:t>
            </w:r>
          </w:p>
        </w:tc>
        <w:tc>
          <w:tcPr/>
          <w:p>
            <w:pPr>
              <w:pStyle w:val="Compact"/>
            </w:pPr>
          </w:p>
        </w:tc>
      </w:tr>
      <w:tr>
        <w:tc>
          <w:tcPr/>
          <w:p>
            <w:pPr>
              <w:pStyle w:val="Compact"/>
              <w:jc w:val="left"/>
            </w:pPr>
            <w:r>
              <w:t xml:space="preserve"> Stage 3</w:t>
            </w:r>
          </w:p>
        </w:tc>
        <w:tc>
          <w:tcPr/>
          <w:p>
            <w:pPr>
              <w:pStyle w:val="Compact"/>
              <w:jc w:val="left"/>
            </w:pPr>
            <w:r>
              <w:t xml:space="preserve">17.3% (148,049)</w:t>
            </w:r>
          </w:p>
        </w:tc>
        <w:tc>
          <w:tcPr/>
          <w:p>
            <w:pPr>
              <w:pStyle w:val="Compact"/>
              <w:jc w:val="left"/>
            </w:pPr>
            <w:r>
              <w:t xml:space="preserve">15.4% (32,125)</w:t>
            </w:r>
          </w:p>
        </w:tc>
        <w:tc>
          <w:tcPr/>
          <w:p>
            <w:pPr>
              <w:pStyle w:val="Compact"/>
              <w:jc w:val="left"/>
            </w:pPr>
            <w:r>
              <w:t xml:space="preserve">18.6% (12,343)</w:t>
            </w:r>
          </w:p>
        </w:tc>
        <w:tc>
          <w:tcPr/>
          <w:p>
            <w:pPr>
              <w:pStyle w:val="Compact"/>
              <w:jc w:val="left"/>
            </w:pPr>
            <w:r>
              <w:t xml:space="preserve">18.0% (8,346)</w:t>
            </w:r>
          </w:p>
        </w:tc>
        <w:tc>
          <w:tcPr/>
          <w:p>
            <w:pPr>
              <w:pStyle w:val="Compact"/>
              <w:jc w:val="left"/>
            </w:pPr>
            <w:r>
              <w:t xml:space="preserve">21.2% (47,617)</w:t>
            </w:r>
          </w:p>
        </w:tc>
        <w:tc>
          <w:tcPr/>
          <w:p>
            <w:pPr>
              <w:pStyle w:val="Compact"/>
              <w:jc w:val="left"/>
            </w:pPr>
            <w:r>
              <w:t xml:space="preserve">15.1% (11,543)</w:t>
            </w:r>
          </w:p>
        </w:tc>
        <w:tc>
          <w:tcPr/>
          <w:p>
            <w:pPr>
              <w:pStyle w:val="Compact"/>
              <w:jc w:val="left"/>
            </w:pPr>
            <w:r>
              <w:t xml:space="preserve">17.1% (6,365)</w:t>
            </w:r>
          </w:p>
        </w:tc>
        <w:tc>
          <w:tcPr/>
          <w:p>
            <w:pPr>
              <w:pStyle w:val="Compact"/>
              <w:jc w:val="left"/>
            </w:pPr>
            <w:r>
              <w:t xml:space="preserve">14.0% (1,597)</w:t>
            </w:r>
          </w:p>
        </w:tc>
        <w:tc>
          <w:tcPr/>
          <w:p>
            <w:pPr>
              <w:pStyle w:val="Compact"/>
              <w:jc w:val="left"/>
            </w:pPr>
            <w:r>
              <w:t xml:space="preserve">15.2% (28,113)</w:t>
            </w:r>
          </w:p>
        </w:tc>
        <w:tc>
          <w:tcPr/>
          <w:p>
            <w:pPr>
              <w:pStyle w:val="Compact"/>
            </w:pPr>
          </w:p>
        </w:tc>
      </w:tr>
      <w:tr>
        <w:tc>
          <w:tcPr/>
          <w:p>
            <w:pPr>
              <w:pStyle w:val="Compact"/>
              <w:jc w:val="left"/>
            </w:pPr>
            <w:r>
              <w:t xml:space="preserve"> Stage 4-5, not on dialysis</w:t>
            </w:r>
          </w:p>
        </w:tc>
        <w:tc>
          <w:tcPr/>
          <w:p>
            <w:pPr>
              <w:pStyle w:val="Compact"/>
              <w:jc w:val="left"/>
            </w:pPr>
            <w:r>
              <w:t xml:space="preserve">6.1% (53,059)</w:t>
            </w:r>
          </w:p>
        </w:tc>
        <w:tc>
          <w:tcPr/>
          <w:p>
            <w:pPr>
              <w:pStyle w:val="Compact"/>
              <w:jc w:val="left"/>
            </w:pPr>
            <w:r>
              <w:t xml:space="preserve">4.8% (10,185)</w:t>
            </w:r>
          </w:p>
        </w:tc>
        <w:tc>
          <w:tcPr/>
          <w:p>
            <w:pPr>
              <w:pStyle w:val="Compact"/>
              <w:jc w:val="left"/>
            </w:pPr>
            <w:r>
              <w:t xml:space="preserve">7.7% (5,242)</w:t>
            </w:r>
          </w:p>
        </w:tc>
        <w:tc>
          <w:tcPr/>
          <w:p>
            <w:pPr>
              <w:pStyle w:val="Compact"/>
              <w:jc w:val="left"/>
            </w:pPr>
            <w:r>
              <w:t xml:space="preserve">9.4% (4,454)</w:t>
            </w:r>
          </w:p>
        </w:tc>
        <w:tc>
          <w:tcPr/>
          <w:p>
            <w:pPr>
              <w:pStyle w:val="Compact"/>
              <w:jc w:val="left"/>
            </w:pPr>
            <w:r>
              <w:t xml:space="preserve">6.5% (14,847)</w:t>
            </w:r>
          </w:p>
        </w:tc>
        <w:tc>
          <w:tcPr/>
          <w:p>
            <w:pPr>
              <w:pStyle w:val="Compact"/>
              <w:jc w:val="left"/>
            </w:pPr>
            <w:r>
              <w:t xml:space="preserve">5.8% (4,561)</w:t>
            </w:r>
          </w:p>
        </w:tc>
        <w:tc>
          <w:tcPr/>
          <w:p>
            <w:pPr>
              <w:pStyle w:val="Compact"/>
              <w:jc w:val="left"/>
            </w:pPr>
            <w:r>
              <w:t xml:space="preserve">5.5% (2,076)</w:t>
            </w:r>
          </w:p>
        </w:tc>
        <w:tc>
          <w:tcPr/>
          <w:p>
            <w:pPr>
              <w:pStyle w:val="Compact"/>
              <w:jc w:val="left"/>
            </w:pPr>
            <w:r>
              <w:t xml:space="preserve">4.6% (540)</w:t>
            </w:r>
          </w:p>
        </w:tc>
        <w:tc>
          <w:tcPr/>
          <w:p>
            <w:pPr>
              <w:pStyle w:val="Compact"/>
              <w:jc w:val="left"/>
            </w:pPr>
            <w:r>
              <w:t xml:space="preserve">5.9% (11,154)</w:t>
            </w:r>
          </w:p>
        </w:tc>
        <w:tc>
          <w:tcPr/>
          <w:p>
            <w:pPr>
              <w:pStyle w:val="Compact"/>
            </w:pPr>
          </w:p>
        </w:tc>
      </w:tr>
      <w:tr>
        <w:tc>
          <w:tcPr/>
          <w:p>
            <w:pPr>
              <w:pStyle w:val="Compact"/>
              <w:jc w:val="left"/>
            </w:pPr>
            <w:r>
              <w:t xml:space="preserve"> Unspecified stage</w:t>
            </w:r>
          </w:p>
        </w:tc>
        <w:tc>
          <w:tcPr/>
          <w:p>
            <w:pPr>
              <w:pStyle w:val="Compact"/>
              <w:jc w:val="left"/>
            </w:pPr>
            <w:r>
              <w:t xml:space="preserve">6.3% (56,494)</w:t>
            </w:r>
          </w:p>
        </w:tc>
        <w:tc>
          <w:tcPr/>
          <w:p>
            <w:pPr>
              <w:pStyle w:val="Compact"/>
              <w:jc w:val="left"/>
            </w:pPr>
            <w:r>
              <w:t xml:space="preserve">6.4% (13,885)</w:t>
            </w:r>
          </w:p>
        </w:tc>
        <w:tc>
          <w:tcPr/>
          <w:p>
            <w:pPr>
              <w:pStyle w:val="Compact"/>
              <w:jc w:val="left"/>
            </w:pPr>
            <w:r>
              <w:t xml:space="preserve">5.8% (4,051)</w:t>
            </w:r>
          </w:p>
        </w:tc>
        <w:tc>
          <w:tcPr/>
          <w:p>
            <w:pPr>
              <w:pStyle w:val="Compact"/>
              <w:jc w:val="left"/>
            </w:pPr>
            <w:r>
              <w:t xml:space="preserve">7.8% (3,720)</w:t>
            </w:r>
          </w:p>
        </w:tc>
        <w:tc>
          <w:tcPr/>
          <w:p>
            <w:pPr>
              <w:pStyle w:val="Compact"/>
              <w:jc w:val="left"/>
            </w:pPr>
            <w:r>
              <w:t xml:space="preserve">6.8% (15,898)</w:t>
            </w:r>
          </w:p>
        </w:tc>
        <w:tc>
          <w:tcPr/>
          <w:p>
            <w:pPr>
              <w:pStyle w:val="Compact"/>
              <w:jc w:val="left"/>
            </w:pPr>
            <w:r>
              <w:t xml:space="preserve">5.4% (4,347)</w:t>
            </w:r>
          </w:p>
        </w:tc>
        <w:tc>
          <w:tcPr/>
          <w:p>
            <w:pPr>
              <w:pStyle w:val="Compact"/>
              <w:jc w:val="left"/>
            </w:pPr>
            <w:r>
              <w:t xml:space="preserve">7.7% (3,020)</w:t>
            </w:r>
          </w:p>
        </w:tc>
        <w:tc>
          <w:tcPr/>
          <w:p>
            <w:pPr>
              <w:pStyle w:val="Compact"/>
              <w:jc w:val="left"/>
            </w:pPr>
            <w:r>
              <w:t xml:space="preserve">4.8% (550)</w:t>
            </w:r>
          </w:p>
        </w:tc>
        <w:tc>
          <w:tcPr/>
          <w:p>
            <w:pPr>
              <w:pStyle w:val="Compact"/>
              <w:jc w:val="left"/>
            </w:pPr>
            <w:r>
              <w:t xml:space="preserve">5.7% (11,023)</w:t>
            </w:r>
          </w:p>
        </w:tc>
        <w:tc>
          <w:tcPr/>
          <w:p>
            <w:pPr>
              <w:pStyle w:val="Compact"/>
            </w:pPr>
          </w:p>
        </w:tc>
      </w:tr>
      <w:tr>
        <w:tc>
          <w:tcPr/>
          <w:p>
            <w:pPr>
              <w:pStyle w:val="Compact"/>
              <w:jc w:val="left"/>
            </w:pPr>
            <w:r>
              <w:t xml:space="preserve"> Dialysis-dependent / ESKD</w:t>
            </w:r>
          </w:p>
        </w:tc>
        <w:tc>
          <w:tcPr/>
          <w:p>
            <w:pPr>
              <w:pStyle w:val="Compact"/>
              <w:jc w:val="left"/>
            </w:pPr>
            <w:r>
              <w:t xml:space="preserve">9.7% (85,300)</w:t>
            </w:r>
          </w:p>
        </w:tc>
        <w:tc>
          <w:tcPr/>
          <w:p>
            <w:pPr>
              <w:pStyle w:val="Compact"/>
              <w:jc w:val="left"/>
            </w:pPr>
            <w:r>
              <w:t xml:space="preserve">10.7% (22,896)</w:t>
            </w:r>
          </w:p>
        </w:tc>
        <w:tc>
          <w:tcPr/>
          <w:p>
            <w:pPr>
              <w:pStyle w:val="Compact"/>
              <w:jc w:val="left"/>
            </w:pPr>
            <w:r>
              <w:t xml:space="preserve">11.6% (7,932)</w:t>
            </w:r>
          </w:p>
        </w:tc>
        <w:tc>
          <w:tcPr/>
          <w:p>
            <w:pPr>
              <w:pStyle w:val="Compact"/>
              <w:jc w:val="left"/>
            </w:pPr>
            <w:r>
              <w:t xml:space="preserve">17.8% (8,614)</w:t>
            </w:r>
          </w:p>
        </w:tc>
        <w:tc>
          <w:tcPr/>
          <w:p>
            <w:pPr>
              <w:pStyle w:val="Compact"/>
              <w:jc w:val="left"/>
            </w:pPr>
            <w:r>
              <w:t xml:space="preserve">7.1% (16,483)</w:t>
            </w:r>
          </w:p>
        </w:tc>
        <w:tc>
          <w:tcPr/>
          <w:p>
            <w:pPr>
              <w:pStyle w:val="Compact"/>
              <w:jc w:val="left"/>
            </w:pPr>
            <w:r>
              <w:t xml:space="preserve">10.9% (8,709)</w:t>
            </w:r>
          </w:p>
        </w:tc>
        <w:tc>
          <w:tcPr/>
          <w:p>
            <w:pPr>
              <w:pStyle w:val="Compact"/>
              <w:jc w:val="left"/>
            </w:pPr>
            <w:r>
              <w:t xml:space="preserve">4.6% (1,735)</w:t>
            </w:r>
          </w:p>
        </w:tc>
        <w:tc>
          <w:tcPr/>
          <w:p>
            <w:pPr>
              <w:pStyle w:val="Compact"/>
              <w:jc w:val="left"/>
            </w:pPr>
            <w:r>
              <w:t xml:space="preserve">14.1% (1,662)</w:t>
            </w:r>
          </w:p>
        </w:tc>
        <w:tc>
          <w:tcPr/>
          <w:p>
            <w:pPr>
              <w:pStyle w:val="Compact"/>
              <w:jc w:val="left"/>
            </w:pPr>
            <w:r>
              <w:t xml:space="preserve">9.0% (17,269)</w:t>
            </w:r>
          </w:p>
        </w:tc>
        <w:tc>
          <w:tcPr/>
          <w:p>
            <w:pPr>
              <w:pStyle w:val="Compact"/>
            </w:pPr>
          </w:p>
        </w:tc>
      </w:tr>
      <w:tr>
        <w:tc>
          <w:tcPr/>
          <w:p>
            <w:pPr>
              <w:pStyle w:val="Compact"/>
              <w:jc w:val="left"/>
            </w:pPr>
            <w:r>
              <w:t xml:space="preserve">Dialysis dependence at index,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0.230</w:t>
            </w:r>
          </w:p>
        </w:tc>
      </w:tr>
      <w:tr>
        <w:tc>
          <w:tcPr/>
          <w:p>
            <w:pPr>
              <w:pStyle w:val="Compact"/>
              <w:jc w:val="left"/>
            </w:pPr>
            <w:r>
              <w:t xml:space="preserve"> No</w:t>
            </w:r>
          </w:p>
        </w:tc>
        <w:tc>
          <w:tcPr/>
          <w:p>
            <w:pPr>
              <w:pStyle w:val="Compact"/>
              <w:jc w:val="left"/>
            </w:pPr>
            <w:r>
              <w:t xml:space="preserve">90.3% (785,186)</w:t>
            </w:r>
          </w:p>
        </w:tc>
        <w:tc>
          <w:tcPr/>
          <w:p>
            <w:pPr>
              <w:pStyle w:val="Compact"/>
              <w:jc w:val="left"/>
            </w:pPr>
            <w:r>
              <w:t xml:space="preserve">89.3% (189,859)</w:t>
            </w:r>
          </w:p>
        </w:tc>
        <w:tc>
          <w:tcPr/>
          <w:p>
            <w:pPr>
              <w:pStyle w:val="Compact"/>
              <w:jc w:val="left"/>
            </w:pPr>
            <w:r>
              <w:t xml:space="preserve">88.4% (59,550)</w:t>
            </w:r>
          </w:p>
        </w:tc>
        <w:tc>
          <w:tcPr/>
          <w:p>
            <w:pPr>
              <w:pStyle w:val="Compact"/>
              <w:jc w:val="left"/>
            </w:pPr>
            <w:r>
              <w:t xml:space="preserve">82.2% (38,582)</w:t>
            </w:r>
          </w:p>
        </w:tc>
        <w:tc>
          <w:tcPr/>
          <w:p>
            <w:pPr>
              <w:pStyle w:val="Compact"/>
              <w:jc w:val="left"/>
            </w:pPr>
            <w:r>
              <w:t xml:space="preserve">92.9% (211,693)</w:t>
            </w:r>
          </w:p>
        </w:tc>
        <w:tc>
          <w:tcPr/>
          <w:p>
            <w:pPr>
              <w:pStyle w:val="Compact"/>
              <w:jc w:val="left"/>
            </w:pPr>
            <w:r>
              <w:t xml:space="preserve">89.1% (69,009)</w:t>
            </w:r>
          </w:p>
        </w:tc>
        <w:tc>
          <w:tcPr/>
          <w:p>
            <w:pPr>
              <w:pStyle w:val="Compact"/>
              <w:jc w:val="left"/>
            </w:pPr>
            <w:r>
              <w:t xml:space="preserve">95.4% (36,119)</w:t>
            </w:r>
          </w:p>
        </w:tc>
        <w:tc>
          <w:tcPr/>
          <w:p>
            <w:pPr>
              <w:pStyle w:val="Compact"/>
              <w:jc w:val="left"/>
            </w:pPr>
            <w:r>
              <w:t xml:space="preserve">85.9% (9,858)</w:t>
            </w:r>
          </w:p>
        </w:tc>
        <w:tc>
          <w:tcPr/>
          <w:p>
            <w:pPr>
              <w:pStyle w:val="Compact"/>
              <w:jc w:val="left"/>
            </w:pPr>
            <w:r>
              <w:t xml:space="preserve">91.0% (170,516)</w:t>
            </w:r>
          </w:p>
        </w:tc>
        <w:tc>
          <w:tcPr/>
          <w:p>
            <w:pPr>
              <w:pStyle w:val="Compact"/>
            </w:pPr>
          </w:p>
        </w:tc>
      </w:tr>
      <w:tr>
        <w:tc>
          <w:tcPr/>
          <w:p>
            <w:pPr>
              <w:pStyle w:val="Compact"/>
              <w:jc w:val="left"/>
            </w:pPr>
            <w:r>
              <w:t xml:space="preserve"> Yes</w:t>
            </w:r>
          </w:p>
        </w:tc>
        <w:tc>
          <w:tcPr/>
          <w:p>
            <w:pPr>
              <w:pStyle w:val="Compact"/>
              <w:jc w:val="left"/>
            </w:pPr>
            <w:r>
              <w:t xml:space="preserve">9.7% (85,300)</w:t>
            </w:r>
          </w:p>
        </w:tc>
        <w:tc>
          <w:tcPr/>
          <w:p>
            <w:pPr>
              <w:pStyle w:val="Compact"/>
              <w:jc w:val="left"/>
            </w:pPr>
            <w:r>
              <w:t xml:space="preserve">10.7% (22,896)</w:t>
            </w:r>
          </w:p>
        </w:tc>
        <w:tc>
          <w:tcPr/>
          <w:p>
            <w:pPr>
              <w:pStyle w:val="Compact"/>
              <w:jc w:val="left"/>
            </w:pPr>
            <w:r>
              <w:t xml:space="preserve">11.6% (7,932)</w:t>
            </w:r>
          </w:p>
        </w:tc>
        <w:tc>
          <w:tcPr/>
          <w:p>
            <w:pPr>
              <w:pStyle w:val="Compact"/>
              <w:jc w:val="left"/>
            </w:pPr>
            <w:r>
              <w:t xml:space="preserve">17.8% (8,614)</w:t>
            </w:r>
          </w:p>
        </w:tc>
        <w:tc>
          <w:tcPr/>
          <w:p>
            <w:pPr>
              <w:pStyle w:val="Compact"/>
              <w:jc w:val="left"/>
            </w:pPr>
            <w:r>
              <w:t xml:space="preserve">7.1% (16,483)</w:t>
            </w:r>
          </w:p>
        </w:tc>
        <w:tc>
          <w:tcPr/>
          <w:p>
            <w:pPr>
              <w:pStyle w:val="Compact"/>
              <w:jc w:val="left"/>
            </w:pPr>
            <w:r>
              <w:t xml:space="preserve">10.9% (8,709)</w:t>
            </w:r>
          </w:p>
        </w:tc>
        <w:tc>
          <w:tcPr/>
          <w:p>
            <w:pPr>
              <w:pStyle w:val="Compact"/>
              <w:jc w:val="left"/>
            </w:pPr>
            <w:r>
              <w:t xml:space="preserve">4.6% (1,735)</w:t>
            </w:r>
          </w:p>
        </w:tc>
        <w:tc>
          <w:tcPr/>
          <w:p>
            <w:pPr>
              <w:pStyle w:val="Compact"/>
              <w:jc w:val="left"/>
            </w:pPr>
            <w:r>
              <w:t xml:space="preserve">14.1% (1,662)</w:t>
            </w:r>
          </w:p>
        </w:tc>
        <w:tc>
          <w:tcPr/>
          <w:p>
            <w:pPr>
              <w:pStyle w:val="Compact"/>
              <w:jc w:val="left"/>
            </w:pPr>
            <w:r>
              <w:t xml:space="preserve">9.0% (17,269)</w:t>
            </w:r>
          </w:p>
        </w:tc>
        <w:tc>
          <w:tcPr/>
          <w:p>
            <w:pPr>
              <w:pStyle w:val="Compact"/>
            </w:pPr>
          </w:p>
        </w:tc>
      </w:tr>
      <w:tr>
        <w:tc>
          <w:tcPr/>
          <w:p>
            <w:pPr>
              <w:pStyle w:val="Compact"/>
              <w:jc w:val="left"/>
            </w:pPr>
            <w:r>
              <w:t xml:space="preserve">Known coronary artery disease (I25.1x/I25.7x),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0.356</w:t>
            </w:r>
          </w:p>
        </w:tc>
      </w:tr>
      <w:tr>
        <w:tc>
          <w:tcPr/>
          <w:p>
            <w:pPr>
              <w:pStyle w:val="Compact"/>
              <w:jc w:val="left"/>
            </w:pPr>
            <w:r>
              <w:t xml:space="preserve"> No</w:t>
            </w:r>
          </w:p>
        </w:tc>
        <w:tc>
          <w:tcPr/>
          <w:p>
            <w:pPr>
              <w:pStyle w:val="Compact"/>
              <w:jc w:val="left"/>
            </w:pPr>
            <w:r>
              <w:t xml:space="preserve">57.7% (506,872)</w:t>
            </w:r>
          </w:p>
        </w:tc>
        <w:tc>
          <w:tcPr/>
          <w:p>
            <w:pPr>
              <w:pStyle w:val="Compact"/>
              <w:jc w:val="left"/>
            </w:pPr>
            <w:r>
              <w:t xml:space="preserve">66.4% (142,663)</w:t>
            </w:r>
          </w:p>
        </w:tc>
        <w:tc>
          <w:tcPr/>
          <w:p>
            <w:pPr>
              <w:pStyle w:val="Compact"/>
              <w:jc w:val="left"/>
            </w:pPr>
            <w:r>
              <w:t xml:space="preserve">49.7% (33,951)</w:t>
            </w:r>
          </w:p>
        </w:tc>
        <w:tc>
          <w:tcPr/>
          <w:p>
            <w:pPr>
              <w:pStyle w:val="Compact"/>
              <w:jc w:val="left"/>
            </w:pPr>
            <w:r>
              <w:t xml:space="preserve">60.7% (28,747)</w:t>
            </w:r>
          </w:p>
        </w:tc>
        <w:tc>
          <w:tcPr/>
          <w:p>
            <w:pPr>
              <w:pStyle w:val="Compact"/>
              <w:jc w:val="left"/>
            </w:pPr>
            <w:r>
              <w:t xml:space="preserve">49.1% (113,457)</w:t>
            </w:r>
          </w:p>
        </w:tc>
        <w:tc>
          <w:tcPr/>
          <w:p>
            <w:pPr>
              <w:pStyle w:val="Compact"/>
              <w:jc w:val="left"/>
            </w:pPr>
            <w:r>
              <w:t xml:space="preserve">62.3% (48,629)</w:t>
            </w:r>
          </w:p>
        </w:tc>
        <w:tc>
          <w:tcPr/>
          <w:p>
            <w:pPr>
              <w:pStyle w:val="Compact"/>
              <w:jc w:val="left"/>
            </w:pPr>
            <w:r>
              <w:t xml:space="preserve">64.6% (24,712)</w:t>
            </w:r>
          </w:p>
        </w:tc>
        <w:tc>
          <w:tcPr/>
          <w:p>
            <w:pPr>
              <w:pStyle w:val="Compact"/>
              <w:jc w:val="left"/>
            </w:pPr>
            <w:r>
              <w:t xml:space="preserve">54.9% (6,388)</w:t>
            </w:r>
          </w:p>
        </w:tc>
        <w:tc>
          <w:tcPr/>
          <w:p>
            <w:pPr>
              <w:pStyle w:val="Compact"/>
              <w:jc w:val="left"/>
            </w:pPr>
            <w:r>
              <w:t xml:space="preserve">57.2% (108,325)</w:t>
            </w:r>
          </w:p>
        </w:tc>
        <w:tc>
          <w:tcPr/>
          <w:p>
            <w:pPr>
              <w:pStyle w:val="Compact"/>
            </w:pPr>
          </w:p>
        </w:tc>
      </w:tr>
      <w:tr>
        <w:tc>
          <w:tcPr/>
          <w:p>
            <w:pPr>
              <w:pStyle w:val="Compact"/>
              <w:jc w:val="left"/>
            </w:pPr>
            <w:r>
              <w:t xml:space="preserve"> Yes</w:t>
            </w:r>
          </w:p>
        </w:tc>
        <w:tc>
          <w:tcPr/>
          <w:p>
            <w:pPr>
              <w:pStyle w:val="Compact"/>
              <w:jc w:val="left"/>
            </w:pPr>
            <w:r>
              <w:t xml:space="preserve">42.3% (363,614)</w:t>
            </w:r>
          </w:p>
        </w:tc>
        <w:tc>
          <w:tcPr/>
          <w:p>
            <w:pPr>
              <w:pStyle w:val="Compact"/>
              <w:jc w:val="left"/>
            </w:pPr>
            <w:r>
              <w:t xml:space="preserve">33.6% (70,092)</w:t>
            </w:r>
          </w:p>
        </w:tc>
        <w:tc>
          <w:tcPr/>
          <w:p>
            <w:pPr>
              <w:pStyle w:val="Compact"/>
              <w:jc w:val="left"/>
            </w:pPr>
            <w:r>
              <w:t xml:space="preserve">50.3% (33,531)</w:t>
            </w:r>
          </w:p>
        </w:tc>
        <w:tc>
          <w:tcPr/>
          <w:p>
            <w:pPr>
              <w:pStyle w:val="Compact"/>
              <w:jc w:val="left"/>
            </w:pPr>
            <w:r>
              <w:t xml:space="preserve">39.3% (18,449)</w:t>
            </w:r>
          </w:p>
        </w:tc>
        <w:tc>
          <w:tcPr/>
          <w:p>
            <w:pPr>
              <w:pStyle w:val="Compact"/>
              <w:jc w:val="left"/>
            </w:pPr>
            <w:r>
              <w:t xml:space="preserve">50.9% (114,719)</w:t>
            </w:r>
          </w:p>
        </w:tc>
        <w:tc>
          <w:tcPr/>
          <w:p>
            <w:pPr>
              <w:pStyle w:val="Compact"/>
              <w:jc w:val="left"/>
            </w:pPr>
            <w:r>
              <w:t xml:space="preserve">37.7% (29,089)</w:t>
            </w:r>
          </w:p>
        </w:tc>
        <w:tc>
          <w:tcPr/>
          <w:p>
            <w:pPr>
              <w:pStyle w:val="Compact"/>
              <w:jc w:val="left"/>
            </w:pPr>
            <w:r>
              <w:t xml:space="preserve">35.4% (13,142)</w:t>
            </w:r>
          </w:p>
        </w:tc>
        <w:tc>
          <w:tcPr/>
          <w:p>
            <w:pPr>
              <w:pStyle w:val="Compact"/>
              <w:jc w:val="left"/>
            </w:pPr>
            <w:r>
              <w:t xml:space="preserve">45.1% (5,132)</w:t>
            </w:r>
          </w:p>
        </w:tc>
        <w:tc>
          <w:tcPr/>
          <w:p>
            <w:pPr>
              <w:pStyle w:val="Compact"/>
              <w:jc w:val="left"/>
            </w:pPr>
            <w:r>
              <w:t xml:space="preserve">42.8% (79,460)</w:t>
            </w:r>
          </w:p>
        </w:tc>
        <w:tc>
          <w:tcPr/>
          <w:p>
            <w:pPr>
              <w:pStyle w:val="Compact"/>
            </w:pPr>
          </w:p>
        </w:tc>
      </w:tr>
      <w:tr>
        <w:tc>
          <w:tcPr/>
          <w:p>
            <w:pPr>
              <w:pStyle w:val="Compact"/>
              <w:jc w:val="left"/>
            </w:pPr>
            <w:r>
              <w:t xml:space="preserve">Prior revascularization (Z95.1/Z95.5),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0.273</w:t>
            </w:r>
          </w:p>
        </w:tc>
      </w:tr>
      <w:tr>
        <w:tc>
          <w:tcPr/>
          <w:p>
            <w:pPr>
              <w:pStyle w:val="Compact"/>
              <w:jc w:val="left"/>
            </w:pPr>
            <w:r>
              <w:t xml:space="preserve"> No</w:t>
            </w:r>
          </w:p>
        </w:tc>
        <w:tc>
          <w:tcPr/>
          <w:p>
            <w:pPr>
              <w:pStyle w:val="Compact"/>
              <w:jc w:val="left"/>
            </w:pPr>
            <w:r>
              <w:t xml:space="preserve">84.0% (734,208)</w:t>
            </w:r>
          </w:p>
        </w:tc>
        <w:tc>
          <w:tcPr/>
          <w:p>
            <w:pPr>
              <w:pStyle w:val="Compact"/>
              <w:jc w:val="left"/>
            </w:pPr>
            <w:r>
              <w:t xml:space="preserve">89.0% (190,094)</w:t>
            </w:r>
          </w:p>
        </w:tc>
        <w:tc>
          <w:tcPr/>
          <w:p>
            <w:pPr>
              <w:pStyle w:val="Compact"/>
              <w:jc w:val="left"/>
            </w:pPr>
            <w:r>
              <w:t xml:space="preserve">79.1% (53,651)</w:t>
            </w:r>
          </w:p>
        </w:tc>
        <w:tc>
          <w:tcPr/>
          <w:p>
            <w:pPr>
              <w:pStyle w:val="Compact"/>
              <w:jc w:val="left"/>
            </w:pPr>
            <w:r>
              <w:t xml:space="preserve">86.9% (41,047)</w:t>
            </w:r>
          </w:p>
        </w:tc>
        <w:tc>
          <w:tcPr/>
          <w:p>
            <w:pPr>
              <w:pStyle w:val="Compact"/>
              <w:jc w:val="left"/>
            </w:pPr>
            <w:r>
              <w:t xml:space="preserve">79.8% (183,125)</w:t>
            </w:r>
          </w:p>
        </w:tc>
        <w:tc>
          <w:tcPr/>
          <w:p>
            <w:pPr>
              <w:pStyle w:val="Compact"/>
              <w:jc w:val="left"/>
            </w:pPr>
            <w:r>
              <w:t xml:space="preserve">86.0% (67,039)</w:t>
            </w:r>
          </w:p>
        </w:tc>
        <w:tc>
          <w:tcPr/>
          <w:p>
            <w:pPr>
              <w:pStyle w:val="Compact"/>
              <w:jc w:val="left"/>
            </w:pPr>
            <w:r>
              <w:t xml:space="preserve">87.3% (33,164)</w:t>
            </w:r>
          </w:p>
        </w:tc>
        <w:tc>
          <w:tcPr/>
          <w:p>
            <w:pPr>
              <w:pStyle w:val="Compact"/>
              <w:jc w:val="left"/>
            </w:pPr>
            <w:r>
              <w:t xml:space="preserve">82.4% (9,538)</w:t>
            </w:r>
          </w:p>
        </w:tc>
        <w:tc>
          <w:tcPr/>
          <w:p>
            <w:pPr>
              <w:pStyle w:val="Compact"/>
              <w:jc w:val="left"/>
            </w:pPr>
            <w:r>
              <w:t xml:space="preserve">83.1% (156,550)</w:t>
            </w:r>
          </w:p>
        </w:tc>
        <w:tc>
          <w:tcPr/>
          <w:p>
            <w:pPr>
              <w:pStyle w:val="Compact"/>
            </w:pPr>
          </w:p>
        </w:tc>
      </w:tr>
      <w:tr>
        <w:tc>
          <w:tcPr/>
          <w:p>
            <w:pPr>
              <w:pStyle w:val="Compact"/>
              <w:jc w:val="left"/>
            </w:pPr>
            <w:r>
              <w:t xml:space="preserve"> Yes</w:t>
            </w:r>
          </w:p>
        </w:tc>
        <w:tc>
          <w:tcPr/>
          <w:p>
            <w:pPr>
              <w:pStyle w:val="Compact"/>
              <w:jc w:val="left"/>
            </w:pPr>
            <w:r>
              <w:t xml:space="preserve">16.0% (136,278)</w:t>
            </w:r>
          </w:p>
        </w:tc>
        <w:tc>
          <w:tcPr/>
          <w:p>
            <w:pPr>
              <w:pStyle w:val="Compact"/>
              <w:jc w:val="left"/>
            </w:pPr>
            <w:r>
              <w:t xml:space="preserve">11.0% (22,661)</w:t>
            </w:r>
          </w:p>
        </w:tc>
        <w:tc>
          <w:tcPr/>
          <w:p>
            <w:pPr>
              <w:pStyle w:val="Compact"/>
              <w:jc w:val="left"/>
            </w:pPr>
            <w:r>
              <w:t xml:space="preserve">20.9% (13,831)</w:t>
            </w:r>
          </w:p>
        </w:tc>
        <w:tc>
          <w:tcPr/>
          <w:p>
            <w:pPr>
              <w:pStyle w:val="Compact"/>
              <w:jc w:val="left"/>
            </w:pPr>
            <w:r>
              <w:t xml:space="preserve">13.1% (6,149)</w:t>
            </w:r>
          </w:p>
        </w:tc>
        <w:tc>
          <w:tcPr/>
          <w:p>
            <w:pPr>
              <w:pStyle w:val="Compact"/>
              <w:jc w:val="left"/>
            </w:pPr>
            <w:r>
              <w:t xml:space="preserve">20.2% (45,051)</w:t>
            </w:r>
          </w:p>
        </w:tc>
        <w:tc>
          <w:tcPr/>
          <w:p>
            <w:pPr>
              <w:pStyle w:val="Compact"/>
              <w:jc w:val="left"/>
            </w:pPr>
            <w:r>
              <w:t xml:space="preserve">14.0% (10,679)</w:t>
            </w:r>
          </w:p>
        </w:tc>
        <w:tc>
          <w:tcPr/>
          <w:p>
            <w:pPr>
              <w:pStyle w:val="Compact"/>
              <w:jc w:val="left"/>
            </w:pPr>
            <w:r>
              <w:t xml:space="preserve">12.7% (4,690)</w:t>
            </w:r>
          </w:p>
        </w:tc>
        <w:tc>
          <w:tcPr/>
          <w:p>
            <w:pPr>
              <w:pStyle w:val="Compact"/>
              <w:jc w:val="left"/>
            </w:pPr>
            <w:r>
              <w:t xml:space="preserve">17.6% (1,982)</w:t>
            </w:r>
          </w:p>
        </w:tc>
        <w:tc>
          <w:tcPr/>
          <w:p>
            <w:pPr>
              <w:pStyle w:val="Compact"/>
              <w:jc w:val="left"/>
            </w:pPr>
            <w:r>
              <w:t xml:space="preserve">16.9% (31,235)</w:t>
            </w:r>
          </w:p>
        </w:tc>
        <w:tc>
          <w:tcPr/>
          <w:p>
            <w:pPr>
              <w:pStyle w:val="Compact"/>
            </w:pPr>
          </w:p>
        </w:tc>
      </w:tr>
      <w:tr>
        <w:tc>
          <w:tcPr/>
          <w:p>
            <w:pPr>
              <w:pStyle w:val="Compact"/>
              <w:jc w:val="left"/>
            </w:pPr>
            <w:r>
              <w:t xml:space="preserve">Atrial fibrillation or flutter (I48),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1.273</w:t>
            </w:r>
          </w:p>
        </w:tc>
      </w:tr>
      <w:tr>
        <w:tc>
          <w:tcPr/>
          <w:p>
            <w:pPr>
              <w:pStyle w:val="Compact"/>
              <w:jc w:val="left"/>
            </w:pPr>
            <w:r>
              <w:t xml:space="preserve"> No</w:t>
            </w:r>
          </w:p>
        </w:tc>
        <w:tc>
          <w:tcPr/>
          <w:p>
            <w:pPr>
              <w:pStyle w:val="Compact"/>
              <w:jc w:val="left"/>
            </w:pPr>
            <w:r>
              <w:t xml:space="preserve">64.7% (562,746)</w:t>
            </w:r>
          </w:p>
        </w:tc>
        <w:tc>
          <w:tcPr/>
          <w:p>
            <w:pPr>
              <w:pStyle w:val="Compact"/>
              <w:jc w:val="left"/>
            </w:pPr>
            <w:r>
              <w:t xml:space="preserve">65.9% (140,308)</w:t>
            </w:r>
          </w:p>
        </w:tc>
        <w:tc>
          <w:tcPr/>
          <w:p>
            <w:pPr>
              <w:pStyle w:val="Compact"/>
              <w:jc w:val="left"/>
            </w:pPr>
            <w:r>
              <w:t xml:space="preserve">62.3% (42,144)</w:t>
            </w:r>
          </w:p>
        </w:tc>
        <w:tc>
          <w:tcPr/>
          <w:p>
            <w:pPr>
              <w:pStyle w:val="Compact"/>
              <w:jc w:val="left"/>
            </w:pPr>
            <w:r>
              <w:t xml:space="preserve">84.4% (39,735)</w:t>
            </w:r>
          </w:p>
        </w:tc>
        <w:tc>
          <w:tcPr/>
          <w:p>
            <w:pPr>
              <w:pStyle w:val="Compact"/>
              <w:jc w:val="left"/>
            </w:pPr>
            <w:r>
              <w:t xml:space="preserve">13.3% (30,127)</w:t>
            </w:r>
          </w:p>
        </w:tc>
        <w:tc>
          <w:tcPr/>
          <w:p>
            <w:pPr>
              <w:pStyle w:val="Compact"/>
              <w:jc w:val="left"/>
            </w:pPr>
            <w:r>
              <w:t xml:space="preserve">95.4% (74,179)</w:t>
            </w:r>
          </w:p>
        </w:tc>
        <w:tc>
          <w:tcPr/>
          <w:p>
            <w:pPr>
              <w:pStyle w:val="Compact"/>
              <w:jc w:val="left"/>
            </w:pPr>
            <w:r>
              <w:t xml:space="preserve">97.6% (36,948)</w:t>
            </w:r>
          </w:p>
        </w:tc>
        <w:tc>
          <w:tcPr/>
          <w:p>
            <w:pPr>
              <w:pStyle w:val="Compact"/>
              <w:jc w:val="left"/>
            </w:pPr>
            <w:r>
              <w:t xml:space="preserve">100.0% (11,520)</w:t>
            </w:r>
          </w:p>
        </w:tc>
        <w:tc>
          <w:tcPr/>
          <w:p>
            <w:pPr>
              <w:pStyle w:val="Compact"/>
              <w:jc w:val="left"/>
            </w:pPr>
            <w:r>
              <w:t xml:space="preserve">100.0% (187,785)</w:t>
            </w:r>
          </w:p>
        </w:tc>
        <w:tc>
          <w:tcPr/>
          <w:p>
            <w:pPr>
              <w:pStyle w:val="Compact"/>
            </w:pPr>
          </w:p>
        </w:tc>
      </w:tr>
      <w:tr>
        <w:tc>
          <w:tcPr/>
          <w:p>
            <w:pPr>
              <w:pStyle w:val="Compact"/>
              <w:jc w:val="left"/>
            </w:pPr>
            <w:r>
              <w:t xml:space="preserve"> Yes</w:t>
            </w:r>
          </w:p>
        </w:tc>
        <w:tc>
          <w:tcPr/>
          <w:p>
            <w:pPr>
              <w:pStyle w:val="Compact"/>
              <w:jc w:val="left"/>
            </w:pPr>
            <w:r>
              <w:t xml:space="preserve">35.3% (307,740)</w:t>
            </w:r>
          </w:p>
        </w:tc>
        <w:tc>
          <w:tcPr/>
          <w:p>
            <w:pPr>
              <w:pStyle w:val="Compact"/>
              <w:jc w:val="left"/>
            </w:pPr>
            <w:r>
              <w:t xml:space="preserve">34.1% (72,447)</w:t>
            </w:r>
          </w:p>
        </w:tc>
        <w:tc>
          <w:tcPr/>
          <w:p>
            <w:pPr>
              <w:pStyle w:val="Compact"/>
              <w:jc w:val="left"/>
            </w:pPr>
            <w:r>
              <w:t xml:space="preserve">37.7% (25,338)</w:t>
            </w:r>
          </w:p>
        </w:tc>
        <w:tc>
          <w:tcPr/>
          <w:p>
            <w:pPr>
              <w:pStyle w:val="Compact"/>
              <w:jc w:val="left"/>
            </w:pPr>
            <w:r>
              <w:t xml:space="preserve">15.6% (7,461)</w:t>
            </w:r>
          </w:p>
        </w:tc>
        <w:tc>
          <w:tcPr/>
          <w:p>
            <w:pPr>
              <w:pStyle w:val="Compact"/>
              <w:jc w:val="left"/>
            </w:pPr>
            <w:r>
              <w:t xml:space="preserve">86.7% (198,049)</w:t>
            </w:r>
          </w:p>
        </w:tc>
        <w:tc>
          <w:tcPr/>
          <w:p>
            <w:pPr>
              <w:pStyle w:val="Compact"/>
              <w:jc w:val="left"/>
            </w:pPr>
            <w:r>
              <w:t xml:space="preserve">4.6% (3,539)</w:t>
            </w:r>
          </w:p>
        </w:tc>
        <w:tc>
          <w:tcPr/>
          <w:p>
            <w:pPr>
              <w:pStyle w:val="Compact"/>
              <w:jc w:val="left"/>
            </w:pPr>
            <w:r>
              <w:t xml:space="preserve">2.4% (906)</w:t>
            </w:r>
          </w:p>
        </w:tc>
        <w:tc>
          <w:tcPr/>
          <w:p>
            <w:pPr>
              <w:pStyle w:val="Compact"/>
              <w:jc w:val="left"/>
            </w:pPr>
            <w:r>
              <w:t xml:space="preserve">0.0% (0)</w:t>
            </w:r>
          </w:p>
        </w:tc>
        <w:tc>
          <w:tcPr/>
          <w:p>
            <w:pPr>
              <w:pStyle w:val="Compact"/>
              <w:jc w:val="left"/>
            </w:pPr>
            <w:r>
              <w:t xml:space="preserve">0.0% (0)</w:t>
            </w:r>
          </w:p>
        </w:tc>
        <w:tc>
          <w:tcPr/>
          <w:p>
            <w:pPr>
              <w:pStyle w:val="Compact"/>
            </w:pPr>
          </w:p>
        </w:tc>
      </w:tr>
      <w:tr>
        <w:tc>
          <w:tcPr/>
          <w:p>
            <w:pPr>
              <w:pStyle w:val="Compact"/>
              <w:jc w:val="left"/>
            </w:pPr>
            <w:r>
              <w:t xml:space="preserve">COVID-19 at index (U07.1),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0.304</w:t>
            </w:r>
          </w:p>
        </w:tc>
      </w:tr>
      <w:tr>
        <w:tc>
          <w:tcPr/>
          <w:p>
            <w:pPr>
              <w:pStyle w:val="Compact"/>
              <w:jc w:val="left"/>
            </w:pPr>
            <w:r>
              <w:t xml:space="preserve"> No</w:t>
            </w:r>
          </w:p>
        </w:tc>
        <w:tc>
          <w:tcPr/>
          <w:p>
            <w:pPr>
              <w:pStyle w:val="Compact"/>
              <w:jc w:val="left"/>
            </w:pPr>
            <w:r>
              <w:t xml:space="preserve">93.5% (814,176)</w:t>
            </w:r>
          </w:p>
        </w:tc>
        <w:tc>
          <w:tcPr/>
          <w:p>
            <w:pPr>
              <w:pStyle w:val="Compact"/>
              <w:jc w:val="left"/>
            </w:pPr>
            <w:r>
              <w:t xml:space="preserve">91.2% (193,823)</w:t>
            </w:r>
          </w:p>
        </w:tc>
        <w:tc>
          <w:tcPr/>
          <w:p>
            <w:pPr>
              <w:pStyle w:val="Compact"/>
              <w:jc w:val="left"/>
            </w:pPr>
            <w:r>
              <w:t xml:space="preserve">96.5% (65,101)</w:t>
            </w:r>
          </w:p>
        </w:tc>
        <w:tc>
          <w:tcPr/>
          <w:p>
            <w:pPr>
              <w:pStyle w:val="Compact"/>
              <w:jc w:val="left"/>
            </w:pPr>
            <w:r>
              <w:t xml:space="preserve">97.0% (45,812)</w:t>
            </w:r>
          </w:p>
        </w:tc>
        <w:tc>
          <w:tcPr/>
          <w:p>
            <w:pPr>
              <w:pStyle w:val="Compact"/>
              <w:jc w:val="left"/>
            </w:pPr>
            <w:r>
              <w:t xml:space="preserve">94.6% (215,955)</w:t>
            </w:r>
          </w:p>
        </w:tc>
        <w:tc>
          <w:tcPr/>
          <w:p>
            <w:pPr>
              <w:pStyle w:val="Compact"/>
              <w:jc w:val="left"/>
            </w:pPr>
            <w:r>
              <w:t xml:space="preserve">86.8% (67,435)</w:t>
            </w:r>
          </w:p>
        </w:tc>
        <w:tc>
          <w:tcPr/>
          <w:p>
            <w:pPr>
              <w:pStyle w:val="Compact"/>
              <w:jc w:val="left"/>
            </w:pPr>
            <w:r>
              <w:t xml:space="preserve">94.1% (35,622)</w:t>
            </w:r>
          </w:p>
        </w:tc>
        <w:tc>
          <w:tcPr/>
          <w:p>
            <w:pPr>
              <w:pStyle w:val="Compact"/>
              <w:jc w:val="left"/>
            </w:pPr>
            <w:r>
              <w:t xml:space="preserve">98.0% (11,280)</w:t>
            </w:r>
          </w:p>
        </w:tc>
        <w:tc>
          <w:tcPr/>
          <w:p>
            <w:pPr>
              <w:pStyle w:val="Compact"/>
              <w:jc w:val="left"/>
            </w:pPr>
            <w:r>
              <w:t xml:space="preserve">95.4% (179,148)</w:t>
            </w:r>
          </w:p>
        </w:tc>
        <w:tc>
          <w:tcPr/>
          <w:p>
            <w:pPr>
              <w:pStyle w:val="Compact"/>
            </w:pPr>
          </w:p>
        </w:tc>
      </w:tr>
      <w:tr>
        <w:tc>
          <w:tcPr/>
          <w:p>
            <w:pPr>
              <w:pStyle w:val="Compact"/>
              <w:jc w:val="left"/>
            </w:pPr>
            <w:r>
              <w:t xml:space="preserve"> Yes</w:t>
            </w:r>
          </w:p>
        </w:tc>
        <w:tc>
          <w:tcPr/>
          <w:p>
            <w:pPr>
              <w:pStyle w:val="Compact"/>
              <w:jc w:val="left"/>
            </w:pPr>
            <w:r>
              <w:t xml:space="preserve">6.5% (56,310)</w:t>
            </w:r>
          </w:p>
        </w:tc>
        <w:tc>
          <w:tcPr/>
          <w:p>
            <w:pPr>
              <w:pStyle w:val="Compact"/>
              <w:jc w:val="left"/>
            </w:pPr>
            <w:r>
              <w:t xml:space="preserve">8.8% (18,932)</w:t>
            </w:r>
          </w:p>
        </w:tc>
        <w:tc>
          <w:tcPr/>
          <w:p>
            <w:pPr>
              <w:pStyle w:val="Compact"/>
              <w:jc w:val="left"/>
            </w:pPr>
            <w:r>
              <w:t xml:space="preserve">3.5% (2,381)</w:t>
            </w:r>
          </w:p>
        </w:tc>
        <w:tc>
          <w:tcPr/>
          <w:p>
            <w:pPr>
              <w:pStyle w:val="Compact"/>
              <w:jc w:val="left"/>
            </w:pPr>
            <w:r>
              <w:t xml:space="preserve">3.0% (1,384)</w:t>
            </w:r>
          </w:p>
        </w:tc>
        <w:tc>
          <w:tcPr/>
          <w:p>
            <w:pPr>
              <w:pStyle w:val="Compact"/>
              <w:jc w:val="left"/>
            </w:pPr>
            <w:r>
              <w:t xml:space="preserve">5.4% (12,221)</w:t>
            </w:r>
          </w:p>
        </w:tc>
        <w:tc>
          <w:tcPr/>
          <w:p>
            <w:pPr>
              <w:pStyle w:val="Compact"/>
              <w:jc w:val="left"/>
            </w:pPr>
            <w:r>
              <w:t xml:space="preserve">13.2% (10,283)</w:t>
            </w:r>
          </w:p>
        </w:tc>
        <w:tc>
          <w:tcPr/>
          <w:p>
            <w:pPr>
              <w:pStyle w:val="Compact"/>
              <w:jc w:val="left"/>
            </w:pPr>
            <w:r>
              <w:t xml:space="preserve">5.9% (2,232)</w:t>
            </w:r>
          </w:p>
        </w:tc>
        <w:tc>
          <w:tcPr/>
          <w:p>
            <w:pPr>
              <w:pStyle w:val="Compact"/>
              <w:jc w:val="left"/>
            </w:pPr>
            <w:r>
              <w:t xml:space="preserve">2.0% (240)</w:t>
            </w:r>
          </w:p>
        </w:tc>
        <w:tc>
          <w:tcPr/>
          <w:p>
            <w:pPr>
              <w:pStyle w:val="Compact"/>
              <w:jc w:val="left"/>
            </w:pPr>
            <w:r>
              <w:t xml:space="preserve">4.6% (8,637)</w:t>
            </w:r>
          </w:p>
        </w:tc>
        <w:tc>
          <w:tcPr/>
          <w:p>
            <w:pPr>
              <w:pStyle w:val="Compact"/>
            </w:pPr>
          </w:p>
        </w:tc>
      </w:tr>
      <w:tr>
        <w:tc>
          <w:tcPr/>
          <w:p>
            <w:pPr>
              <w:pStyle w:val="Compact"/>
              <w:jc w:val="left"/>
            </w:pPr>
            <w:r>
              <w:t xml:space="preserve">Elixhauser comorbidity count, mean (SD)</w:t>
            </w:r>
          </w:p>
        </w:tc>
        <w:tc>
          <w:tcPr/>
          <w:p>
            <w:pPr>
              <w:pStyle w:val="Compact"/>
              <w:jc w:val="left"/>
            </w:pPr>
            <w:r>
              <w:t xml:space="preserve">5.6 (2.2)</w:t>
            </w:r>
          </w:p>
        </w:tc>
        <w:tc>
          <w:tcPr/>
          <w:p>
            <w:pPr>
              <w:pStyle w:val="Compact"/>
              <w:jc w:val="left"/>
            </w:pPr>
            <w:r>
              <w:t xml:space="preserve">5.8 (2.2)</w:t>
            </w:r>
          </w:p>
        </w:tc>
        <w:tc>
          <w:tcPr/>
          <w:p>
            <w:pPr>
              <w:pStyle w:val="Compact"/>
              <w:jc w:val="left"/>
            </w:pPr>
            <w:r>
              <w:t xml:space="preserve">5.9 (2.2)</w:t>
            </w:r>
          </w:p>
        </w:tc>
        <w:tc>
          <w:tcPr/>
          <w:p>
            <w:pPr>
              <w:pStyle w:val="Compact"/>
              <w:jc w:val="left"/>
            </w:pPr>
            <w:r>
              <w:t xml:space="preserve">5.2 (2.0)</w:t>
            </w:r>
          </w:p>
        </w:tc>
        <w:tc>
          <w:tcPr/>
          <w:p>
            <w:pPr>
              <w:pStyle w:val="Compact"/>
              <w:jc w:val="left"/>
            </w:pPr>
            <w:r>
              <w:t xml:space="preserve">6.2 (2.1)</w:t>
            </w:r>
          </w:p>
        </w:tc>
        <w:tc>
          <w:tcPr/>
          <w:p>
            <w:pPr>
              <w:pStyle w:val="Compact"/>
              <w:jc w:val="left"/>
            </w:pPr>
            <w:r>
              <w:t xml:space="preserve">5.4 (2.1)</w:t>
            </w:r>
          </w:p>
        </w:tc>
        <w:tc>
          <w:tcPr/>
          <w:p>
            <w:pPr>
              <w:pStyle w:val="Compact"/>
              <w:jc w:val="left"/>
            </w:pPr>
            <w:r>
              <w:t xml:space="preserve">5.4 (2.0)</w:t>
            </w:r>
          </w:p>
        </w:tc>
        <w:tc>
          <w:tcPr/>
          <w:p>
            <w:pPr>
              <w:pStyle w:val="Compact"/>
              <w:jc w:val="left"/>
            </w:pPr>
            <w:r>
              <w:t xml:space="preserve">4.9 (2.1)</w:t>
            </w:r>
          </w:p>
        </w:tc>
        <w:tc>
          <w:tcPr/>
          <w:p>
            <w:pPr>
              <w:pStyle w:val="Compact"/>
              <w:jc w:val="left"/>
            </w:pPr>
            <w:r>
              <w:t xml:space="preserve">4.8 (2.1)</w:t>
            </w:r>
          </w:p>
        </w:tc>
        <w:tc>
          <w:tcPr/>
          <w:p>
            <w:pPr>
              <w:pStyle w:val="Compact"/>
              <w:jc w:val="left"/>
            </w:pPr>
            <w:r>
              <w:t xml:space="preserve">0.471</w:t>
            </w:r>
          </w:p>
        </w:tc>
      </w:tr>
      <w:tr>
        <w:tc>
          <w:tcPr/>
          <w:p>
            <w:pPr>
              <w:pStyle w:val="Compact"/>
              <w:jc w:val="left"/>
            </w:pPr>
            <w:r>
              <w:t xml:space="preserve">Congestive heart failure,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0.380</w:t>
            </w:r>
          </w:p>
        </w:tc>
      </w:tr>
      <w:tr>
        <w:tc>
          <w:tcPr/>
          <w:p>
            <w:pPr>
              <w:pStyle w:val="Compact"/>
              <w:jc w:val="left"/>
            </w:pPr>
            <w:r>
              <w:t xml:space="preserve"> No</w:t>
            </w:r>
          </w:p>
        </w:tc>
        <w:tc>
          <w:tcPr/>
          <w:p>
            <w:pPr>
              <w:pStyle w:val="Compact"/>
              <w:jc w:val="left"/>
            </w:pPr>
            <w:r>
              <w:t xml:space="preserve">41.9% (366,081)</w:t>
            </w:r>
          </w:p>
        </w:tc>
        <w:tc>
          <w:tcPr/>
          <w:p>
            <w:pPr>
              <w:pStyle w:val="Compact"/>
              <w:jc w:val="left"/>
            </w:pPr>
            <w:r>
              <w:t xml:space="preserve">47.6% (101,980)</w:t>
            </w:r>
          </w:p>
        </w:tc>
        <w:tc>
          <w:tcPr/>
          <w:p>
            <w:pPr>
              <w:pStyle w:val="Compact"/>
              <w:jc w:val="left"/>
            </w:pPr>
            <w:r>
              <w:t xml:space="preserve">44.0% (29,770)</w:t>
            </w:r>
          </w:p>
        </w:tc>
        <w:tc>
          <w:tcPr/>
          <w:p>
            <w:pPr>
              <w:pStyle w:val="Compact"/>
              <w:jc w:val="left"/>
            </w:pPr>
            <w:r>
              <w:t xml:space="preserve">37.9% (17,977)</w:t>
            </w:r>
          </w:p>
        </w:tc>
        <w:tc>
          <w:tcPr/>
          <w:p>
            <w:pPr>
              <w:pStyle w:val="Compact"/>
              <w:jc w:val="left"/>
            </w:pPr>
            <w:r>
              <w:t xml:space="preserve">29.6% (67,554)</w:t>
            </w:r>
          </w:p>
        </w:tc>
        <w:tc>
          <w:tcPr/>
          <w:p>
            <w:pPr>
              <w:pStyle w:val="Compact"/>
              <w:jc w:val="left"/>
            </w:pPr>
            <w:r>
              <w:t xml:space="preserve">38.4% (29,706)</w:t>
            </w:r>
          </w:p>
        </w:tc>
        <w:tc>
          <w:tcPr/>
          <w:p>
            <w:pPr>
              <w:pStyle w:val="Compact"/>
              <w:jc w:val="left"/>
            </w:pPr>
            <w:r>
              <w:t xml:space="preserve">66.1% (25,197)</w:t>
            </w:r>
          </w:p>
        </w:tc>
        <w:tc>
          <w:tcPr/>
          <w:p>
            <w:pPr>
              <w:pStyle w:val="Compact"/>
              <w:jc w:val="left"/>
            </w:pPr>
            <w:r>
              <w:t xml:space="preserve">54.2% (6,270)</w:t>
            </w:r>
          </w:p>
        </w:tc>
        <w:tc>
          <w:tcPr/>
          <w:p>
            <w:pPr>
              <w:pStyle w:val="Compact"/>
              <w:jc w:val="left"/>
            </w:pPr>
            <w:r>
              <w:t xml:space="preserve">46.5% (87,627)</w:t>
            </w:r>
          </w:p>
        </w:tc>
        <w:tc>
          <w:tcPr/>
          <w:p>
            <w:pPr>
              <w:pStyle w:val="Compact"/>
            </w:pPr>
          </w:p>
        </w:tc>
      </w:tr>
      <w:tr>
        <w:tc>
          <w:tcPr/>
          <w:p>
            <w:pPr>
              <w:pStyle w:val="Compact"/>
              <w:jc w:val="left"/>
            </w:pPr>
            <w:r>
              <w:t xml:space="preserve"> Yes</w:t>
            </w:r>
          </w:p>
        </w:tc>
        <w:tc>
          <w:tcPr/>
          <w:p>
            <w:pPr>
              <w:pStyle w:val="Compact"/>
              <w:jc w:val="left"/>
            </w:pPr>
            <w:r>
              <w:t xml:space="preserve">58.1% (504,405)</w:t>
            </w:r>
          </w:p>
        </w:tc>
        <w:tc>
          <w:tcPr/>
          <w:p>
            <w:pPr>
              <w:pStyle w:val="Compact"/>
              <w:jc w:val="left"/>
            </w:pPr>
            <w:r>
              <w:t xml:space="preserve">52.4% (110,775)</w:t>
            </w:r>
          </w:p>
        </w:tc>
        <w:tc>
          <w:tcPr/>
          <w:p>
            <w:pPr>
              <w:pStyle w:val="Compact"/>
              <w:jc w:val="left"/>
            </w:pPr>
            <w:r>
              <w:t xml:space="preserve">56.0% (37,712)</w:t>
            </w:r>
          </w:p>
        </w:tc>
        <w:tc>
          <w:tcPr/>
          <w:p>
            <w:pPr>
              <w:pStyle w:val="Compact"/>
              <w:jc w:val="left"/>
            </w:pPr>
            <w:r>
              <w:t xml:space="preserve">62.1% (29,219)</w:t>
            </w:r>
          </w:p>
        </w:tc>
        <w:tc>
          <w:tcPr/>
          <w:p>
            <w:pPr>
              <w:pStyle w:val="Compact"/>
              <w:jc w:val="left"/>
            </w:pPr>
            <w:r>
              <w:t xml:space="preserve">70.4% (160,622)</w:t>
            </w:r>
          </w:p>
        </w:tc>
        <w:tc>
          <w:tcPr/>
          <w:p>
            <w:pPr>
              <w:pStyle w:val="Compact"/>
              <w:jc w:val="left"/>
            </w:pPr>
            <w:r>
              <w:t xml:space="preserve">61.6% (48,012)</w:t>
            </w:r>
          </w:p>
        </w:tc>
        <w:tc>
          <w:tcPr/>
          <w:p>
            <w:pPr>
              <w:pStyle w:val="Compact"/>
              <w:jc w:val="left"/>
            </w:pPr>
            <w:r>
              <w:t xml:space="preserve">33.9% (12,657)</w:t>
            </w:r>
          </w:p>
        </w:tc>
        <w:tc>
          <w:tcPr/>
          <w:p>
            <w:pPr>
              <w:pStyle w:val="Compact"/>
              <w:jc w:val="left"/>
            </w:pPr>
            <w:r>
              <w:t xml:space="preserve">45.8% (5,250)</w:t>
            </w:r>
          </w:p>
        </w:tc>
        <w:tc>
          <w:tcPr/>
          <w:p>
            <w:pPr>
              <w:pStyle w:val="Compact"/>
              <w:jc w:val="left"/>
            </w:pPr>
            <w:r>
              <w:t xml:space="preserve">53.5% (100,158)</w:t>
            </w:r>
          </w:p>
        </w:tc>
        <w:tc>
          <w:tcPr/>
          <w:p>
            <w:pPr>
              <w:pStyle w:val="Compact"/>
            </w:pPr>
          </w:p>
        </w:tc>
      </w:tr>
      <w:tr>
        <w:tc>
          <w:tcPr/>
          <w:p>
            <w:pPr>
              <w:pStyle w:val="Compact"/>
              <w:jc w:val="left"/>
            </w:pPr>
            <w:r>
              <w:t xml:space="preserve">Valvular disease,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0.316</w:t>
            </w:r>
          </w:p>
        </w:tc>
      </w:tr>
      <w:tr>
        <w:tc>
          <w:tcPr/>
          <w:p>
            <w:pPr>
              <w:pStyle w:val="Compact"/>
              <w:jc w:val="left"/>
            </w:pPr>
            <w:r>
              <w:t xml:space="preserve"> No</w:t>
            </w:r>
          </w:p>
        </w:tc>
        <w:tc>
          <w:tcPr/>
          <w:p>
            <w:pPr>
              <w:pStyle w:val="Compact"/>
              <w:jc w:val="left"/>
            </w:pPr>
            <w:r>
              <w:t xml:space="preserve">80.2% (698,045)</w:t>
            </w:r>
          </w:p>
        </w:tc>
        <w:tc>
          <w:tcPr/>
          <w:p>
            <w:pPr>
              <w:pStyle w:val="Compact"/>
              <w:jc w:val="left"/>
            </w:pPr>
            <w:r>
              <w:t xml:space="preserve">84.9% (180,791)</w:t>
            </w:r>
          </w:p>
        </w:tc>
        <w:tc>
          <w:tcPr/>
          <w:p>
            <w:pPr>
              <w:pStyle w:val="Compact"/>
              <w:jc w:val="left"/>
            </w:pPr>
            <w:r>
              <w:t xml:space="preserve">75.3% (50,847)</w:t>
            </w:r>
          </w:p>
        </w:tc>
        <w:tc>
          <w:tcPr/>
          <w:p>
            <w:pPr>
              <w:pStyle w:val="Compact"/>
              <w:jc w:val="left"/>
            </w:pPr>
            <w:r>
              <w:t xml:space="preserve">85.1% (40,107)</w:t>
            </w:r>
          </w:p>
        </w:tc>
        <w:tc>
          <w:tcPr/>
          <w:p>
            <w:pPr>
              <w:pStyle w:val="Compact"/>
              <w:jc w:val="left"/>
            </w:pPr>
            <w:r>
              <w:t xml:space="preserve">72.0% (164,284)</w:t>
            </w:r>
          </w:p>
        </w:tc>
        <w:tc>
          <w:tcPr/>
          <w:p>
            <w:pPr>
              <w:pStyle w:val="Compact"/>
              <w:jc w:val="left"/>
            </w:pPr>
            <w:r>
              <w:t xml:space="preserve">82.4% (64,055)</w:t>
            </w:r>
          </w:p>
        </w:tc>
        <w:tc>
          <w:tcPr/>
          <w:p>
            <w:pPr>
              <w:pStyle w:val="Compact"/>
              <w:jc w:val="left"/>
            </w:pPr>
            <w:r>
              <w:t xml:space="preserve">86.8% (32,883)</w:t>
            </w:r>
          </w:p>
        </w:tc>
        <w:tc>
          <w:tcPr/>
          <w:p>
            <w:pPr>
              <w:pStyle w:val="Compact"/>
              <w:jc w:val="left"/>
            </w:pPr>
            <w:r>
              <w:t xml:space="preserve">81.3% (9,370)</w:t>
            </w:r>
          </w:p>
        </w:tc>
        <w:tc>
          <w:tcPr/>
          <w:p>
            <w:pPr>
              <w:pStyle w:val="Compact"/>
              <w:jc w:val="left"/>
            </w:pPr>
            <w:r>
              <w:t xml:space="preserve">82.9% (155,708)</w:t>
            </w:r>
          </w:p>
        </w:tc>
        <w:tc>
          <w:tcPr/>
          <w:p>
            <w:pPr>
              <w:pStyle w:val="Compact"/>
            </w:pPr>
          </w:p>
        </w:tc>
      </w:tr>
      <w:tr>
        <w:tc>
          <w:tcPr/>
          <w:p>
            <w:pPr>
              <w:pStyle w:val="Compact"/>
              <w:jc w:val="left"/>
            </w:pPr>
            <w:r>
              <w:t xml:space="preserve"> Yes</w:t>
            </w:r>
          </w:p>
        </w:tc>
        <w:tc>
          <w:tcPr/>
          <w:p>
            <w:pPr>
              <w:pStyle w:val="Compact"/>
              <w:jc w:val="left"/>
            </w:pPr>
            <w:r>
              <w:t xml:space="preserve">19.8% (172,441)</w:t>
            </w:r>
          </w:p>
        </w:tc>
        <w:tc>
          <w:tcPr/>
          <w:p>
            <w:pPr>
              <w:pStyle w:val="Compact"/>
              <w:jc w:val="left"/>
            </w:pPr>
            <w:r>
              <w:t xml:space="preserve">15.1% (31,964)</w:t>
            </w:r>
          </w:p>
        </w:tc>
        <w:tc>
          <w:tcPr/>
          <w:p>
            <w:pPr>
              <w:pStyle w:val="Compact"/>
              <w:jc w:val="left"/>
            </w:pPr>
            <w:r>
              <w:t xml:space="preserve">24.7% (16,635)</w:t>
            </w:r>
          </w:p>
        </w:tc>
        <w:tc>
          <w:tcPr/>
          <w:p>
            <w:pPr>
              <w:pStyle w:val="Compact"/>
              <w:jc w:val="left"/>
            </w:pPr>
            <w:r>
              <w:t xml:space="preserve">14.9% (7,089)</w:t>
            </w:r>
          </w:p>
        </w:tc>
        <w:tc>
          <w:tcPr/>
          <w:p>
            <w:pPr>
              <w:pStyle w:val="Compact"/>
              <w:jc w:val="left"/>
            </w:pPr>
            <w:r>
              <w:t xml:space="preserve">28.0% (63,892)</w:t>
            </w:r>
          </w:p>
        </w:tc>
        <w:tc>
          <w:tcPr/>
          <w:p>
            <w:pPr>
              <w:pStyle w:val="Compact"/>
              <w:jc w:val="left"/>
            </w:pPr>
            <w:r>
              <w:t xml:space="preserve">17.6% (13,663)</w:t>
            </w:r>
          </w:p>
        </w:tc>
        <w:tc>
          <w:tcPr/>
          <w:p>
            <w:pPr>
              <w:pStyle w:val="Compact"/>
              <w:jc w:val="left"/>
            </w:pPr>
            <w:r>
              <w:t xml:space="preserve">13.2% (4,971)</w:t>
            </w:r>
          </w:p>
        </w:tc>
        <w:tc>
          <w:tcPr/>
          <w:p>
            <w:pPr>
              <w:pStyle w:val="Compact"/>
              <w:jc w:val="left"/>
            </w:pPr>
            <w:r>
              <w:t xml:space="preserve">18.7% (2,150)</w:t>
            </w:r>
          </w:p>
        </w:tc>
        <w:tc>
          <w:tcPr/>
          <w:p>
            <w:pPr>
              <w:pStyle w:val="Compact"/>
              <w:jc w:val="left"/>
            </w:pPr>
            <w:r>
              <w:t xml:space="preserve">17.1% (32,077)</w:t>
            </w:r>
          </w:p>
        </w:tc>
        <w:tc>
          <w:tcPr/>
          <w:p>
            <w:pPr>
              <w:pStyle w:val="Compact"/>
            </w:pPr>
          </w:p>
        </w:tc>
      </w:tr>
      <w:tr>
        <w:tc>
          <w:tcPr/>
          <w:p>
            <w:pPr>
              <w:pStyle w:val="Compact"/>
              <w:jc w:val="left"/>
            </w:pPr>
            <w:r>
              <w:t xml:space="preserve">Pulmonary circulation disorders,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0.229</w:t>
            </w:r>
          </w:p>
        </w:tc>
      </w:tr>
      <w:tr>
        <w:tc>
          <w:tcPr/>
          <w:p>
            <w:pPr>
              <w:pStyle w:val="Compact"/>
              <w:jc w:val="left"/>
            </w:pPr>
            <w:r>
              <w:t xml:space="preserve"> No</w:t>
            </w:r>
          </w:p>
        </w:tc>
        <w:tc>
          <w:tcPr/>
          <w:p>
            <w:pPr>
              <w:pStyle w:val="Compact"/>
              <w:jc w:val="left"/>
            </w:pPr>
            <w:r>
              <w:t xml:space="preserve">83.7% (729,650)</w:t>
            </w:r>
          </w:p>
        </w:tc>
        <w:tc>
          <w:tcPr/>
          <w:p>
            <w:pPr>
              <w:pStyle w:val="Compact"/>
              <w:jc w:val="left"/>
            </w:pPr>
            <w:r>
              <w:t xml:space="preserve">86.6% (184,573)</w:t>
            </w:r>
          </w:p>
        </w:tc>
        <w:tc>
          <w:tcPr/>
          <w:p>
            <w:pPr>
              <w:pStyle w:val="Compact"/>
              <w:jc w:val="left"/>
            </w:pPr>
            <w:r>
              <w:t xml:space="preserve">83.7% (56,559)</w:t>
            </w:r>
          </w:p>
        </w:tc>
        <w:tc>
          <w:tcPr/>
          <w:p>
            <w:pPr>
              <w:pStyle w:val="Compact"/>
              <w:jc w:val="left"/>
            </w:pPr>
            <w:r>
              <w:t xml:space="preserve">88.9% (41,944)</w:t>
            </w:r>
          </w:p>
        </w:tc>
        <w:tc>
          <w:tcPr/>
          <w:p>
            <w:pPr>
              <w:pStyle w:val="Compact"/>
              <w:jc w:val="left"/>
            </w:pPr>
            <w:r>
              <w:t xml:space="preserve">80.7% (184,175)</w:t>
            </w:r>
          </w:p>
        </w:tc>
        <w:tc>
          <w:tcPr/>
          <w:p>
            <w:pPr>
              <w:pStyle w:val="Compact"/>
              <w:jc w:val="left"/>
            </w:pPr>
            <w:r>
              <w:t xml:space="preserve">77.9% (60,604)</w:t>
            </w:r>
          </w:p>
        </w:tc>
        <w:tc>
          <w:tcPr/>
          <w:p>
            <w:pPr>
              <w:pStyle w:val="Compact"/>
              <w:jc w:val="left"/>
            </w:pPr>
            <w:r>
              <w:t xml:space="preserve">90.4% (34,305)</w:t>
            </w:r>
          </w:p>
        </w:tc>
        <w:tc>
          <w:tcPr/>
          <w:p>
            <w:pPr>
              <w:pStyle w:val="Compact"/>
              <w:jc w:val="left"/>
            </w:pPr>
            <w:r>
              <w:t xml:space="preserve">87.6% (10,095)</w:t>
            </w:r>
          </w:p>
        </w:tc>
        <w:tc>
          <w:tcPr/>
          <w:p>
            <w:pPr>
              <w:pStyle w:val="Compact"/>
              <w:jc w:val="left"/>
            </w:pPr>
            <w:r>
              <w:t xml:space="preserve">83.6% (157,395)</w:t>
            </w:r>
          </w:p>
        </w:tc>
        <w:tc>
          <w:tcPr/>
          <w:p>
            <w:pPr>
              <w:pStyle w:val="Compact"/>
            </w:pPr>
          </w:p>
        </w:tc>
      </w:tr>
      <w:tr>
        <w:tc>
          <w:tcPr/>
          <w:p>
            <w:pPr>
              <w:pStyle w:val="Compact"/>
              <w:jc w:val="left"/>
            </w:pPr>
            <w:r>
              <w:t xml:space="preserve"> Yes</w:t>
            </w:r>
          </w:p>
        </w:tc>
        <w:tc>
          <w:tcPr/>
          <w:p>
            <w:pPr>
              <w:pStyle w:val="Compact"/>
              <w:jc w:val="left"/>
            </w:pPr>
            <w:r>
              <w:t xml:space="preserve">16.3% (140,836)</w:t>
            </w:r>
          </w:p>
        </w:tc>
        <w:tc>
          <w:tcPr/>
          <w:p>
            <w:pPr>
              <w:pStyle w:val="Compact"/>
              <w:jc w:val="left"/>
            </w:pPr>
            <w:r>
              <w:t xml:space="preserve">13.4% (28,182)</w:t>
            </w:r>
          </w:p>
        </w:tc>
        <w:tc>
          <w:tcPr/>
          <w:p>
            <w:pPr>
              <w:pStyle w:val="Compact"/>
              <w:jc w:val="left"/>
            </w:pPr>
            <w:r>
              <w:t xml:space="preserve">16.3% (10,923)</w:t>
            </w:r>
          </w:p>
        </w:tc>
        <w:tc>
          <w:tcPr/>
          <w:p>
            <w:pPr>
              <w:pStyle w:val="Compact"/>
              <w:jc w:val="left"/>
            </w:pPr>
            <w:r>
              <w:t xml:space="preserve">11.1% (5,252)</w:t>
            </w:r>
          </w:p>
        </w:tc>
        <w:tc>
          <w:tcPr/>
          <w:p>
            <w:pPr>
              <w:pStyle w:val="Compact"/>
              <w:jc w:val="left"/>
            </w:pPr>
            <w:r>
              <w:t xml:space="preserve">19.3% (44,001)</w:t>
            </w:r>
          </w:p>
        </w:tc>
        <w:tc>
          <w:tcPr/>
          <w:p>
            <w:pPr>
              <w:pStyle w:val="Compact"/>
              <w:jc w:val="left"/>
            </w:pPr>
            <w:r>
              <w:t xml:space="preserve">22.1% (17,114)</w:t>
            </w:r>
          </w:p>
        </w:tc>
        <w:tc>
          <w:tcPr/>
          <w:p>
            <w:pPr>
              <w:pStyle w:val="Compact"/>
              <w:jc w:val="left"/>
            </w:pPr>
            <w:r>
              <w:t xml:space="preserve">9.6% (3,549)</w:t>
            </w:r>
          </w:p>
        </w:tc>
        <w:tc>
          <w:tcPr/>
          <w:p>
            <w:pPr>
              <w:pStyle w:val="Compact"/>
              <w:jc w:val="left"/>
            </w:pPr>
            <w:r>
              <w:t xml:space="preserve">12.4% (1,425)</w:t>
            </w:r>
          </w:p>
        </w:tc>
        <w:tc>
          <w:tcPr/>
          <w:p>
            <w:pPr>
              <w:pStyle w:val="Compact"/>
              <w:jc w:val="left"/>
            </w:pPr>
            <w:r>
              <w:t xml:space="preserve">16.4% (30,390)</w:t>
            </w:r>
          </w:p>
        </w:tc>
        <w:tc>
          <w:tcPr/>
          <w:p>
            <w:pPr>
              <w:pStyle w:val="Compact"/>
            </w:pPr>
          </w:p>
        </w:tc>
      </w:tr>
      <w:tr>
        <w:tc>
          <w:tcPr/>
          <w:p>
            <w:pPr>
              <w:pStyle w:val="Compact"/>
              <w:jc w:val="left"/>
            </w:pPr>
            <w:r>
              <w:t xml:space="preserve">Peripheral vascular disorders,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0.177</w:t>
            </w:r>
          </w:p>
        </w:tc>
      </w:tr>
      <w:tr>
        <w:tc>
          <w:tcPr/>
          <w:p>
            <w:pPr>
              <w:pStyle w:val="Compact"/>
              <w:jc w:val="left"/>
            </w:pPr>
            <w:r>
              <w:t xml:space="preserve"> No</w:t>
            </w:r>
          </w:p>
        </w:tc>
        <w:tc>
          <w:tcPr/>
          <w:p>
            <w:pPr>
              <w:pStyle w:val="Compact"/>
              <w:jc w:val="left"/>
            </w:pPr>
            <w:r>
              <w:t xml:space="preserve">86.9% (756,284)</w:t>
            </w:r>
          </w:p>
        </w:tc>
        <w:tc>
          <w:tcPr/>
          <w:p>
            <w:pPr>
              <w:pStyle w:val="Compact"/>
              <w:jc w:val="left"/>
            </w:pPr>
            <w:r>
              <w:t xml:space="preserve">88.8% (188,742)</w:t>
            </w:r>
          </w:p>
        </w:tc>
        <w:tc>
          <w:tcPr/>
          <w:p>
            <w:pPr>
              <w:pStyle w:val="Compact"/>
              <w:jc w:val="left"/>
            </w:pPr>
            <w:r>
              <w:t xml:space="preserve">82.6% (55,780)</w:t>
            </w:r>
          </w:p>
        </w:tc>
        <w:tc>
          <w:tcPr/>
          <w:p>
            <w:pPr>
              <w:pStyle w:val="Compact"/>
              <w:jc w:val="left"/>
            </w:pPr>
            <w:r>
              <w:t xml:space="preserve">89.2% (42,090)</w:t>
            </w:r>
          </w:p>
        </w:tc>
        <w:tc>
          <w:tcPr/>
          <w:p>
            <w:pPr>
              <w:pStyle w:val="Compact"/>
              <w:jc w:val="left"/>
            </w:pPr>
            <w:r>
              <w:t xml:space="preserve">83.2% (189,654)</w:t>
            </w:r>
          </w:p>
        </w:tc>
        <w:tc>
          <w:tcPr/>
          <w:p>
            <w:pPr>
              <w:pStyle w:val="Compact"/>
              <w:jc w:val="left"/>
            </w:pPr>
            <w:r>
              <w:t xml:space="preserve">89.2% (69,298)</w:t>
            </w:r>
          </w:p>
        </w:tc>
        <w:tc>
          <w:tcPr/>
          <w:p>
            <w:pPr>
              <w:pStyle w:val="Compact"/>
              <w:jc w:val="left"/>
            </w:pPr>
            <w:r>
              <w:t xml:space="preserve">90.4% (34,198)</w:t>
            </w:r>
          </w:p>
        </w:tc>
        <w:tc>
          <w:tcPr/>
          <w:p>
            <w:pPr>
              <w:pStyle w:val="Compact"/>
              <w:jc w:val="left"/>
            </w:pPr>
            <w:r>
              <w:t xml:space="preserve">84.6% (9,740)</w:t>
            </w:r>
          </w:p>
        </w:tc>
        <w:tc>
          <w:tcPr/>
          <w:p>
            <w:pPr>
              <w:pStyle w:val="Compact"/>
              <w:jc w:val="left"/>
            </w:pPr>
            <w:r>
              <w:t xml:space="preserve">88.8% (166,782)</w:t>
            </w:r>
          </w:p>
        </w:tc>
        <w:tc>
          <w:tcPr/>
          <w:p>
            <w:pPr>
              <w:pStyle w:val="Compact"/>
            </w:pPr>
          </w:p>
        </w:tc>
      </w:tr>
      <w:tr>
        <w:tc>
          <w:tcPr/>
          <w:p>
            <w:pPr>
              <w:pStyle w:val="Compact"/>
              <w:jc w:val="left"/>
            </w:pPr>
            <w:r>
              <w:t xml:space="preserve"> Yes</w:t>
            </w:r>
          </w:p>
        </w:tc>
        <w:tc>
          <w:tcPr/>
          <w:p>
            <w:pPr>
              <w:pStyle w:val="Compact"/>
              <w:jc w:val="left"/>
            </w:pPr>
            <w:r>
              <w:t xml:space="preserve">13.1% (114,202)</w:t>
            </w:r>
          </w:p>
        </w:tc>
        <w:tc>
          <w:tcPr/>
          <w:p>
            <w:pPr>
              <w:pStyle w:val="Compact"/>
              <w:jc w:val="left"/>
            </w:pPr>
            <w:r>
              <w:t xml:space="preserve">11.2% (24,013)</w:t>
            </w:r>
          </w:p>
        </w:tc>
        <w:tc>
          <w:tcPr/>
          <w:p>
            <w:pPr>
              <w:pStyle w:val="Compact"/>
              <w:jc w:val="left"/>
            </w:pPr>
            <w:r>
              <w:t xml:space="preserve">17.4% (11,702)</w:t>
            </w:r>
          </w:p>
        </w:tc>
        <w:tc>
          <w:tcPr/>
          <w:p>
            <w:pPr>
              <w:pStyle w:val="Compact"/>
              <w:jc w:val="left"/>
            </w:pPr>
            <w:r>
              <w:t xml:space="preserve">10.8% (5,106)</w:t>
            </w:r>
          </w:p>
        </w:tc>
        <w:tc>
          <w:tcPr/>
          <w:p>
            <w:pPr>
              <w:pStyle w:val="Compact"/>
              <w:jc w:val="left"/>
            </w:pPr>
            <w:r>
              <w:t xml:space="preserve">16.8% (38,522)</w:t>
            </w:r>
          </w:p>
        </w:tc>
        <w:tc>
          <w:tcPr/>
          <w:p>
            <w:pPr>
              <w:pStyle w:val="Compact"/>
              <w:jc w:val="left"/>
            </w:pPr>
            <w:r>
              <w:t xml:space="preserve">10.8% (8,420)</w:t>
            </w:r>
          </w:p>
        </w:tc>
        <w:tc>
          <w:tcPr/>
          <w:p>
            <w:pPr>
              <w:pStyle w:val="Compact"/>
              <w:jc w:val="left"/>
            </w:pPr>
            <w:r>
              <w:t xml:space="preserve">9.6% (3,656)</w:t>
            </w:r>
          </w:p>
        </w:tc>
        <w:tc>
          <w:tcPr/>
          <w:p>
            <w:pPr>
              <w:pStyle w:val="Compact"/>
              <w:jc w:val="left"/>
            </w:pPr>
            <w:r>
              <w:t xml:space="preserve">15.4% (1,780)</w:t>
            </w:r>
          </w:p>
        </w:tc>
        <w:tc>
          <w:tcPr/>
          <w:p>
            <w:pPr>
              <w:pStyle w:val="Compact"/>
              <w:jc w:val="left"/>
            </w:pPr>
            <w:r>
              <w:t xml:space="preserve">11.2% (21,003)</w:t>
            </w:r>
          </w:p>
        </w:tc>
        <w:tc>
          <w:tcPr/>
          <w:p>
            <w:pPr>
              <w:pStyle w:val="Compact"/>
            </w:pPr>
          </w:p>
        </w:tc>
      </w:tr>
      <w:tr>
        <w:tc>
          <w:tcPr/>
          <w:p>
            <w:pPr>
              <w:pStyle w:val="Compact"/>
              <w:jc w:val="left"/>
            </w:pPr>
            <w:r>
              <w:t xml:space="preserve">Hypertension, uncomplicated,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0.253</w:t>
            </w:r>
          </w:p>
        </w:tc>
      </w:tr>
      <w:tr>
        <w:tc>
          <w:tcPr/>
          <w:p>
            <w:pPr>
              <w:pStyle w:val="Compact"/>
              <w:jc w:val="left"/>
            </w:pPr>
            <w:r>
              <w:t xml:space="preserve"> No</w:t>
            </w:r>
          </w:p>
        </w:tc>
        <w:tc>
          <w:tcPr/>
          <w:p>
            <w:pPr>
              <w:pStyle w:val="Compact"/>
              <w:jc w:val="left"/>
            </w:pPr>
            <w:r>
              <w:t xml:space="preserve">78.4% (682,658)</w:t>
            </w:r>
          </w:p>
        </w:tc>
        <w:tc>
          <w:tcPr/>
          <w:p>
            <w:pPr>
              <w:pStyle w:val="Compact"/>
              <w:jc w:val="left"/>
            </w:pPr>
            <w:r>
              <w:t xml:space="preserve">78.2% (166,451)</w:t>
            </w:r>
          </w:p>
        </w:tc>
        <w:tc>
          <w:tcPr/>
          <w:p>
            <w:pPr>
              <w:pStyle w:val="Compact"/>
              <w:jc w:val="left"/>
            </w:pPr>
            <w:r>
              <w:t xml:space="preserve">77.6% (52,469)</w:t>
            </w:r>
          </w:p>
        </w:tc>
        <w:tc>
          <w:tcPr/>
          <w:p>
            <w:pPr>
              <w:pStyle w:val="Compact"/>
              <w:jc w:val="left"/>
            </w:pPr>
            <w:r>
              <w:t xml:space="preserve">82.1% (38,741)</w:t>
            </w:r>
          </w:p>
        </w:tc>
        <w:tc>
          <w:tcPr/>
          <w:p>
            <w:pPr>
              <w:pStyle w:val="Compact"/>
              <w:jc w:val="left"/>
            </w:pPr>
            <w:r>
              <w:t xml:space="preserve">82.2% (187,857)</w:t>
            </w:r>
          </w:p>
        </w:tc>
        <w:tc>
          <w:tcPr/>
          <w:p>
            <w:pPr>
              <w:pStyle w:val="Compact"/>
              <w:jc w:val="left"/>
            </w:pPr>
            <w:r>
              <w:t xml:space="preserve">80.5% (62,759)</w:t>
            </w:r>
          </w:p>
        </w:tc>
        <w:tc>
          <w:tcPr/>
          <w:p>
            <w:pPr>
              <w:pStyle w:val="Compact"/>
              <w:jc w:val="left"/>
            </w:pPr>
            <w:r>
              <w:t xml:space="preserve">67.0% (25,388)</w:t>
            </w:r>
          </w:p>
        </w:tc>
        <w:tc>
          <w:tcPr/>
          <w:p>
            <w:pPr>
              <w:pStyle w:val="Compact"/>
              <w:jc w:val="left"/>
            </w:pPr>
            <w:r>
              <w:t xml:space="preserve">69.8% (8,011)</w:t>
            </w:r>
          </w:p>
        </w:tc>
        <w:tc>
          <w:tcPr/>
          <w:p>
            <w:pPr>
              <w:pStyle w:val="Compact"/>
              <w:jc w:val="left"/>
            </w:pPr>
            <w:r>
              <w:t xml:space="preserve">74.9% (140,982)</w:t>
            </w:r>
          </w:p>
        </w:tc>
        <w:tc>
          <w:tcPr/>
          <w:p>
            <w:pPr>
              <w:pStyle w:val="Compact"/>
            </w:pPr>
          </w:p>
        </w:tc>
      </w:tr>
      <w:tr>
        <w:tc>
          <w:tcPr/>
          <w:p>
            <w:pPr>
              <w:pStyle w:val="Compact"/>
              <w:jc w:val="left"/>
            </w:pPr>
            <w:r>
              <w:t xml:space="preserve"> Yes</w:t>
            </w:r>
          </w:p>
        </w:tc>
        <w:tc>
          <w:tcPr/>
          <w:p>
            <w:pPr>
              <w:pStyle w:val="Compact"/>
              <w:jc w:val="left"/>
            </w:pPr>
            <w:r>
              <w:t xml:space="preserve">21.6% (187,828)</w:t>
            </w:r>
          </w:p>
        </w:tc>
        <w:tc>
          <w:tcPr/>
          <w:p>
            <w:pPr>
              <w:pStyle w:val="Compact"/>
              <w:jc w:val="left"/>
            </w:pPr>
            <w:r>
              <w:t xml:space="preserve">21.8% (46,304)</w:t>
            </w:r>
          </w:p>
        </w:tc>
        <w:tc>
          <w:tcPr/>
          <w:p>
            <w:pPr>
              <w:pStyle w:val="Compact"/>
              <w:jc w:val="left"/>
            </w:pPr>
            <w:r>
              <w:t xml:space="preserve">22.4% (15,013)</w:t>
            </w:r>
          </w:p>
        </w:tc>
        <w:tc>
          <w:tcPr/>
          <w:p>
            <w:pPr>
              <w:pStyle w:val="Compact"/>
              <w:jc w:val="left"/>
            </w:pPr>
            <w:r>
              <w:t xml:space="preserve">17.9% (8,455)</w:t>
            </w:r>
          </w:p>
        </w:tc>
        <w:tc>
          <w:tcPr/>
          <w:p>
            <w:pPr>
              <w:pStyle w:val="Compact"/>
              <w:jc w:val="left"/>
            </w:pPr>
            <w:r>
              <w:t xml:space="preserve">17.8% (40,319)</w:t>
            </w:r>
          </w:p>
        </w:tc>
        <w:tc>
          <w:tcPr/>
          <w:p>
            <w:pPr>
              <w:pStyle w:val="Compact"/>
              <w:jc w:val="left"/>
            </w:pPr>
            <w:r>
              <w:t xml:space="preserve">19.5% (14,959)</w:t>
            </w:r>
          </w:p>
        </w:tc>
        <w:tc>
          <w:tcPr/>
          <w:p>
            <w:pPr>
              <w:pStyle w:val="Compact"/>
              <w:jc w:val="left"/>
            </w:pPr>
            <w:r>
              <w:t xml:space="preserve">33.0% (12,466)</w:t>
            </w:r>
          </w:p>
        </w:tc>
        <w:tc>
          <w:tcPr/>
          <w:p>
            <w:pPr>
              <w:pStyle w:val="Compact"/>
              <w:jc w:val="left"/>
            </w:pPr>
            <w:r>
              <w:t xml:space="preserve">30.2% (3,509)</w:t>
            </w:r>
          </w:p>
        </w:tc>
        <w:tc>
          <w:tcPr/>
          <w:p>
            <w:pPr>
              <w:pStyle w:val="Compact"/>
              <w:jc w:val="left"/>
            </w:pPr>
            <w:r>
              <w:t xml:space="preserve">25.1% (46,803)</w:t>
            </w:r>
          </w:p>
        </w:tc>
        <w:tc>
          <w:tcPr/>
          <w:p>
            <w:pPr>
              <w:pStyle w:val="Compact"/>
            </w:pPr>
          </w:p>
        </w:tc>
      </w:tr>
      <w:tr>
        <w:tc>
          <w:tcPr/>
          <w:p>
            <w:pPr>
              <w:pStyle w:val="Compact"/>
              <w:jc w:val="left"/>
            </w:pPr>
            <w:r>
              <w:t xml:space="preserve">Hypertension, complicated,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0.474</w:t>
            </w:r>
          </w:p>
        </w:tc>
      </w:tr>
      <w:tr>
        <w:tc>
          <w:tcPr/>
          <w:p>
            <w:pPr>
              <w:pStyle w:val="Compact"/>
              <w:jc w:val="left"/>
            </w:pPr>
            <w:r>
              <w:t xml:space="preserve"> No</w:t>
            </w:r>
          </w:p>
        </w:tc>
        <w:tc>
          <w:tcPr/>
          <w:p>
            <w:pPr>
              <w:pStyle w:val="Compact"/>
              <w:jc w:val="left"/>
            </w:pPr>
            <w:r>
              <w:t xml:space="preserve">37.5% (327,758)</w:t>
            </w:r>
          </w:p>
        </w:tc>
        <w:tc>
          <w:tcPr/>
          <w:p>
            <w:pPr>
              <w:pStyle w:val="Compact"/>
              <w:jc w:val="left"/>
            </w:pPr>
            <w:r>
              <w:t xml:space="preserve">44.1% (94,337)</w:t>
            </w:r>
          </w:p>
        </w:tc>
        <w:tc>
          <w:tcPr/>
          <w:p>
            <w:pPr>
              <w:pStyle w:val="Compact"/>
              <w:jc w:val="left"/>
            </w:pPr>
            <w:r>
              <w:t xml:space="preserve">37.1% (25,064)</w:t>
            </w:r>
          </w:p>
        </w:tc>
        <w:tc>
          <w:tcPr/>
          <w:p>
            <w:pPr>
              <w:pStyle w:val="Compact"/>
              <w:jc w:val="left"/>
            </w:pPr>
            <w:r>
              <w:t xml:space="preserve">22.3% (10,579)</w:t>
            </w:r>
          </w:p>
        </w:tc>
        <w:tc>
          <w:tcPr/>
          <w:p>
            <w:pPr>
              <w:pStyle w:val="Compact"/>
              <w:jc w:val="left"/>
            </w:pPr>
            <w:r>
              <w:t xml:space="preserve">29.1% (66,543)</w:t>
            </w:r>
          </w:p>
        </w:tc>
        <w:tc>
          <w:tcPr/>
          <w:p>
            <w:pPr>
              <w:pStyle w:val="Compact"/>
              <w:jc w:val="left"/>
            </w:pPr>
            <w:r>
              <w:t xml:space="preserve">37.4% (28,942)</w:t>
            </w:r>
          </w:p>
        </w:tc>
        <w:tc>
          <w:tcPr/>
          <w:p>
            <w:pPr>
              <w:pStyle w:val="Compact"/>
              <w:jc w:val="left"/>
            </w:pPr>
            <w:r>
              <w:t xml:space="preserve">51.9% (19,774)</w:t>
            </w:r>
          </w:p>
        </w:tc>
        <w:tc>
          <w:tcPr/>
          <w:p>
            <w:pPr>
              <w:pStyle w:val="Compact"/>
              <w:jc w:val="left"/>
            </w:pPr>
            <w:r>
              <w:t xml:space="preserve">44.9% (5,197)</w:t>
            </w:r>
          </w:p>
        </w:tc>
        <w:tc>
          <w:tcPr/>
          <w:p>
            <w:pPr>
              <w:pStyle w:val="Compact"/>
              <w:jc w:val="left"/>
            </w:pPr>
            <w:r>
              <w:t xml:space="preserve">41.2% (77,322)</w:t>
            </w:r>
          </w:p>
        </w:tc>
        <w:tc>
          <w:tcPr/>
          <w:p>
            <w:pPr>
              <w:pStyle w:val="Compact"/>
            </w:pPr>
          </w:p>
        </w:tc>
      </w:tr>
      <w:tr>
        <w:tc>
          <w:tcPr/>
          <w:p>
            <w:pPr>
              <w:pStyle w:val="Compact"/>
              <w:jc w:val="left"/>
            </w:pPr>
            <w:r>
              <w:t xml:space="preserve"> Yes</w:t>
            </w:r>
          </w:p>
        </w:tc>
        <w:tc>
          <w:tcPr/>
          <w:p>
            <w:pPr>
              <w:pStyle w:val="Compact"/>
              <w:jc w:val="left"/>
            </w:pPr>
            <w:r>
              <w:t xml:space="preserve">62.5% (542,728)</w:t>
            </w:r>
          </w:p>
        </w:tc>
        <w:tc>
          <w:tcPr/>
          <w:p>
            <w:pPr>
              <w:pStyle w:val="Compact"/>
              <w:jc w:val="left"/>
            </w:pPr>
            <w:r>
              <w:t xml:space="preserve">55.9% (118,418)</w:t>
            </w:r>
          </w:p>
        </w:tc>
        <w:tc>
          <w:tcPr/>
          <w:p>
            <w:pPr>
              <w:pStyle w:val="Compact"/>
              <w:jc w:val="left"/>
            </w:pPr>
            <w:r>
              <w:t xml:space="preserve">62.9% (42,418)</w:t>
            </w:r>
          </w:p>
        </w:tc>
        <w:tc>
          <w:tcPr/>
          <w:p>
            <w:pPr>
              <w:pStyle w:val="Compact"/>
              <w:jc w:val="left"/>
            </w:pPr>
            <w:r>
              <w:t xml:space="preserve">77.7% (36,617)</w:t>
            </w:r>
          </w:p>
        </w:tc>
        <w:tc>
          <w:tcPr/>
          <w:p>
            <w:pPr>
              <w:pStyle w:val="Compact"/>
              <w:jc w:val="left"/>
            </w:pPr>
            <w:r>
              <w:t xml:space="preserve">70.9% (161,633)</w:t>
            </w:r>
          </w:p>
        </w:tc>
        <w:tc>
          <w:tcPr/>
          <w:p>
            <w:pPr>
              <w:pStyle w:val="Compact"/>
              <w:jc w:val="left"/>
            </w:pPr>
            <w:r>
              <w:t xml:space="preserve">62.6% (48,776)</w:t>
            </w:r>
          </w:p>
        </w:tc>
        <w:tc>
          <w:tcPr/>
          <w:p>
            <w:pPr>
              <w:pStyle w:val="Compact"/>
              <w:jc w:val="left"/>
            </w:pPr>
            <w:r>
              <w:t xml:space="preserve">48.1% (18,080)</w:t>
            </w:r>
          </w:p>
        </w:tc>
        <w:tc>
          <w:tcPr/>
          <w:p>
            <w:pPr>
              <w:pStyle w:val="Compact"/>
              <w:jc w:val="left"/>
            </w:pPr>
            <w:r>
              <w:t xml:space="preserve">55.1% (6,323)</w:t>
            </w:r>
          </w:p>
        </w:tc>
        <w:tc>
          <w:tcPr/>
          <w:p>
            <w:pPr>
              <w:pStyle w:val="Compact"/>
              <w:jc w:val="left"/>
            </w:pPr>
            <w:r>
              <w:t xml:space="preserve">58.8% (110,463)</w:t>
            </w:r>
          </w:p>
        </w:tc>
        <w:tc>
          <w:tcPr/>
          <w:p>
            <w:pPr>
              <w:pStyle w:val="Compact"/>
            </w:pPr>
          </w:p>
        </w:tc>
      </w:tr>
      <w:tr>
        <w:tc>
          <w:tcPr/>
          <w:p>
            <w:pPr>
              <w:pStyle w:val="Compact"/>
              <w:jc w:val="left"/>
            </w:pPr>
            <w:r>
              <w:t xml:space="preserve">Other neurological disorders,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0.523</w:t>
            </w:r>
          </w:p>
        </w:tc>
      </w:tr>
      <w:tr>
        <w:tc>
          <w:tcPr/>
          <w:p>
            <w:pPr>
              <w:pStyle w:val="Compact"/>
              <w:jc w:val="left"/>
            </w:pPr>
            <w:r>
              <w:t xml:space="preserve"> No</w:t>
            </w:r>
          </w:p>
        </w:tc>
        <w:tc>
          <w:tcPr/>
          <w:p>
            <w:pPr>
              <w:pStyle w:val="Compact"/>
              <w:jc w:val="left"/>
            </w:pPr>
            <w:r>
              <w:t xml:space="preserve">78.5% (683,432)</w:t>
            </w:r>
          </w:p>
        </w:tc>
        <w:tc>
          <w:tcPr/>
          <w:p>
            <w:pPr>
              <w:pStyle w:val="Compact"/>
              <w:jc w:val="left"/>
            </w:pPr>
            <w:r>
              <w:t xml:space="preserve">64.0% (136,261)</w:t>
            </w:r>
          </w:p>
        </w:tc>
        <w:tc>
          <w:tcPr/>
          <w:p>
            <w:pPr>
              <w:pStyle w:val="Compact"/>
              <w:jc w:val="left"/>
            </w:pPr>
            <w:r>
              <w:t xml:space="preserve">83.0% (56,137)</w:t>
            </w:r>
          </w:p>
        </w:tc>
        <w:tc>
          <w:tcPr/>
          <w:p>
            <w:pPr>
              <w:pStyle w:val="Compact"/>
              <w:jc w:val="left"/>
            </w:pPr>
            <w:r>
              <w:t xml:space="preserve">85.5% (40,313)</w:t>
            </w:r>
          </w:p>
        </w:tc>
        <w:tc>
          <w:tcPr/>
          <w:p>
            <w:pPr>
              <w:pStyle w:val="Compact"/>
              <w:jc w:val="left"/>
            </w:pPr>
            <w:r>
              <w:t xml:space="preserve">84.4% (192,672)</w:t>
            </w:r>
          </w:p>
        </w:tc>
        <w:tc>
          <w:tcPr/>
          <w:p>
            <w:pPr>
              <w:pStyle w:val="Compact"/>
              <w:jc w:val="left"/>
            </w:pPr>
            <w:r>
              <w:t xml:space="preserve">79.3% (61,662)</w:t>
            </w:r>
          </w:p>
        </w:tc>
        <w:tc>
          <w:tcPr/>
          <w:p>
            <w:pPr>
              <w:pStyle w:val="Compact"/>
              <w:jc w:val="left"/>
            </w:pPr>
            <w:r>
              <w:t xml:space="preserve">73.9% (27,993)</w:t>
            </w:r>
          </w:p>
        </w:tc>
        <w:tc>
          <w:tcPr/>
          <w:p>
            <w:pPr>
              <w:pStyle w:val="Compact"/>
              <w:jc w:val="left"/>
            </w:pPr>
            <w:r>
              <w:t xml:space="preserve">85.9% (9,907)</w:t>
            </w:r>
          </w:p>
        </w:tc>
        <w:tc>
          <w:tcPr/>
          <w:p>
            <w:pPr>
              <w:pStyle w:val="Compact"/>
              <w:jc w:val="left"/>
            </w:pPr>
            <w:r>
              <w:t xml:space="preserve">84.4% (158,487)</w:t>
            </w:r>
          </w:p>
        </w:tc>
        <w:tc>
          <w:tcPr/>
          <w:p>
            <w:pPr>
              <w:pStyle w:val="Compact"/>
            </w:pPr>
          </w:p>
        </w:tc>
      </w:tr>
      <w:tr>
        <w:tc>
          <w:tcPr/>
          <w:p>
            <w:pPr>
              <w:pStyle w:val="Compact"/>
              <w:jc w:val="left"/>
            </w:pPr>
            <w:r>
              <w:t xml:space="preserve"> Yes</w:t>
            </w:r>
          </w:p>
        </w:tc>
        <w:tc>
          <w:tcPr/>
          <w:p>
            <w:pPr>
              <w:pStyle w:val="Compact"/>
              <w:jc w:val="left"/>
            </w:pPr>
            <w:r>
              <w:t xml:space="preserve">21.5% (187,054)</w:t>
            </w:r>
          </w:p>
        </w:tc>
        <w:tc>
          <w:tcPr/>
          <w:p>
            <w:pPr>
              <w:pStyle w:val="Compact"/>
              <w:jc w:val="left"/>
            </w:pPr>
            <w:r>
              <w:t xml:space="preserve">36.0% (76,494)</w:t>
            </w:r>
          </w:p>
        </w:tc>
        <w:tc>
          <w:tcPr/>
          <w:p>
            <w:pPr>
              <w:pStyle w:val="Compact"/>
              <w:jc w:val="left"/>
            </w:pPr>
            <w:r>
              <w:t xml:space="preserve">17.0% (11,345)</w:t>
            </w:r>
          </w:p>
        </w:tc>
        <w:tc>
          <w:tcPr/>
          <w:p>
            <w:pPr>
              <w:pStyle w:val="Compact"/>
              <w:jc w:val="left"/>
            </w:pPr>
            <w:r>
              <w:t xml:space="preserve">14.5% (6,883)</w:t>
            </w:r>
          </w:p>
        </w:tc>
        <w:tc>
          <w:tcPr/>
          <w:p>
            <w:pPr>
              <w:pStyle w:val="Compact"/>
              <w:jc w:val="left"/>
            </w:pPr>
            <w:r>
              <w:t xml:space="preserve">15.6% (35,504)</w:t>
            </w:r>
          </w:p>
        </w:tc>
        <w:tc>
          <w:tcPr/>
          <w:p>
            <w:pPr>
              <w:pStyle w:val="Compact"/>
              <w:jc w:val="left"/>
            </w:pPr>
            <w:r>
              <w:t xml:space="preserve">20.7% (16,056)</w:t>
            </w:r>
          </w:p>
        </w:tc>
        <w:tc>
          <w:tcPr/>
          <w:p>
            <w:pPr>
              <w:pStyle w:val="Compact"/>
              <w:jc w:val="left"/>
            </w:pPr>
            <w:r>
              <w:t xml:space="preserve">26.1% (9,861)</w:t>
            </w:r>
          </w:p>
        </w:tc>
        <w:tc>
          <w:tcPr/>
          <w:p>
            <w:pPr>
              <w:pStyle w:val="Compact"/>
              <w:jc w:val="left"/>
            </w:pPr>
            <w:r>
              <w:t xml:space="preserve">14.1% (1,613)</w:t>
            </w:r>
          </w:p>
        </w:tc>
        <w:tc>
          <w:tcPr/>
          <w:p>
            <w:pPr>
              <w:pStyle w:val="Compact"/>
              <w:jc w:val="left"/>
            </w:pPr>
            <w:r>
              <w:t xml:space="preserve">15.6% (29,298)</w:t>
            </w:r>
          </w:p>
        </w:tc>
        <w:tc>
          <w:tcPr/>
          <w:p>
            <w:pPr>
              <w:pStyle w:val="Compact"/>
            </w:pPr>
          </w:p>
        </w:tc>
      </w:tr>
      <w:tr>
        <w:tc>
          <w:tcPr/>
          <w:p>
            <w:pPr>
              <w:pStyle w:val="Compact"/>
              <w:jc w:val="left"/>
            </w:pPr>
            <w:r>
              <w:t xml:space="preserve">Chronic pulmonary disease,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0.203</w:t>
            </w:r>
          </w:p>
        </w:tc>
      </w:tr>
      <w:tr>
        <w:tc>
          <w:tcPr/>
          <w:p>
            <w:pPr>
              <w:pStyle w:val="Compact"/>
              <w:jc w:val="left"/>
            </w:pPr>
            <w:r>
              <w:t xml:space="preserve"> No</w:t>
            </w:r>
          </w:p>
        </w:tc>
        <w:tc>
          <w:tcPr/>
          <w:p>
            <w:pPr>
              <w:pStyle w:val="Compact"/>
              <w:jc w:val="left"/>
            </w:pPr>
            <w:r>
              <w:t xml:space="preserve">67.9% (595,973)</w:t>
            </w:r>
          </w:p>
        </w:tc>
        <w:tc>
          <w:tcPr/>
          <w:p>
            <w:pPr>
              <w:pStyle w:val="Compact"/>
              <w:jc w:val="left"/>
            </w:pPr>
            <w:r>
              <w:t xml:space="preserve">69.0% (148,166)</w:t>
            </w:r>
          </w:p>
        </w:tc>
        <w:tc>
          <w:tcPr/>
          <w:p>
            <w:pPr>
              <w:pStyle w:val="Compact"/>
              <w:jc w:val="left"/>
            </w:pPr>
            <w:r>
              <w:t xml:space="preserve">72.0% (48,908)</w:t>
            </w:r>
          </w:p>
        </w:tc>
        <w:tc>
          <w:tcPr/>
          <w:p>
            <w:pPr>
              <w:pStyle w:val="Compact"/>
              <w:jc w:val="left"/>
            </w:pPr>
            <w:r>
              <w:t xml:space="preserve">76.0% (36,006)</w:t>
            </w:r>
          </w:p>
        </w:tc>
        <w:tc>
          <w:tcPr/>
          <w:p>
            <w:pPr>
              <w:pStyle w:val="Compact"/>
              <w:jc w:val="left"/>
            </w:pPr>
            <w:r>
              <w:t xml:space="preserve">66.6% (153,176)</w:t>
            </w:r>
          </w:p>
        </w:tc>
        <w:tc>
          <w:tcPr/>
          <w:p>
            <w:pPr>
              <w:pStyle w:val="Compact"/>
              <w:jc w:val="left"/>
            </w:pPr>
            <w:r>
              <w:t xml:space="preserve">59.3% (46,369)</w:t>
            </w:r>
          </w:p>
        </w:tc>
        <w:tc>
          <w:tcPr/>
          <w:p>
            <w:pPr>
              <w:pStyle w:val="Compact"/>
              <w:jc w:val="left"/>
            </w:pPr>
            <w:r>
              <w:t xml:space="preserve">75.4% (28,746)</w:t>
            </w:r>
          </w:p>
        </w:tc>
        <w:tc>
          <w:tcPr/>
          <w:p>
            <w:pPr>
              <w:pStyle w:val="Compact"/>
              <w:jc w:val="left"/>
            </w:pPr>
            <w:r>
              <w:t xml:space="preserve">76.4% (8,873)</w:t>
            </w:r>
          </w:p>
        </w:tc>
        <w:tc>
          <w:tcPr/>
          <w:p>
            <w:pPr>
              <w:pStyle w:val="Compact"/>
              <w:jc w:val="left"/>
            </w:pPr>
            <w:r>
              <w:t xml:space="preserve">66.3% (125,729)</w:t>
            </w:r>
          </w:p>
        </w:tc>
        <w:tc>
          <w:tcPr/>
          <w:p>
            <w:pPr>
              <w:pStyle w:val="Compact"/>
            </w:pPr>
          </w:p>
        </w:tc>
      </w:tr>
      <w:tr>
        <w:tc>
          <w:tcPr/>
          <w:p>
            <w:pPr>
              <w:pStyle w:val="Compact"/>
              <w:jc w:val="left"/>
            </w:pPr>
            <w:r>
              <w:t xml:space="preserve"> Yes</w:t>
            </w:r>
          </w:p>
        </w:tc>
        <w:tc>
          <w:tcPr/>
          <w:p>
            <w:pPr>
              <w:pStyle w:val="Compact"/>
              <w:jc w:val="left"/>
            </w:pPr>
            <w:r>
              <w:t xml:space="preserve">32.1% (274,513)</w:t>
            </w:r>
          </w:p>
        </w:tc>
        <w:tc>
          <w:tcPr/>
          <w:p>
            <w:pPr>
              <w:pStyle w:val="Compact"/>
              <w:jc w:val="left"/>
            </w:pPr>
            <w:r>
              <w:t xml:space="preserve">31.0% (64,589)</w:t>
            </w:r>
          </w:p>
        </w:tc>
        <w:tc>
          <w:tcPr/>
          <w:p>
            <w:pPr>
              <w:pStyle w:val="Compact"/>
              <w:jc w:val="left"/>
            </w:pPr>
            <w:r>
              <w:t xml:space="preserve">28.0% (18,574)</w:t>
            </w:r>
          </w:p>
        </w:tc>
        <w:tc>
          <w:tcPr/>
          <w:p>
            <w:pPr>
              <w:pStyle w:val="Compact"/>
              <w:jc w:val="left"/>
            </w:pPr>
            <w:r>
              <w:t xml:space="preserve">24.0% (11,190)</w:t>
            </w:r>
          </w:p>
        </w:tc>
        <w:tc>
          <w:tcPr/>
          <w:p>
            <w:pPr>
              <w:pStyle w:val="Compact"/>
              <w:jc w:val="left"/>
            </w:pPr>
            <w:r>
              <w:t xml:space="preserve">33.4% (75,000)</w:t>
            </w:r>
          </w:p>
        </w:tc>
        <w:tc>
          <w:tcPr/>
          <w:p>
            <w:pPr>
              <w:pStyle w:val="Compact"/>
              <w:jc w:val="left"/>
            </w:pPr>
            <w:r>
              <w:t xml:space="preserve">40.7% (31,349)</w:t>
            </w:r>
          </w:p>
        </w:tc>
        <w:tc>
          <w:tcPr/>
          <w:p>
            <w:pPr>
              <w:pStyle w:val="Compact"/>
              <w:jc w:val="left"/>
            </w:pPr>
            <w:r>
              <w:t xml:space="preserve">24.6% (9,108)</w:t>
            </w:r>
          </w:p>
        </w:tc>
        <w:tc>
          <w:tcPr/>
          <w:p>
            <w:pPr>
              <w:pStyle w:val="Compact"/>
              <w:jc w:val="left"/>
            </w:pPr>
            <w:r>
              <w:t xml:space="preserve">23.6% (2,647)</w:t>
            </w:r>
          </w:p>
        </w:tc>
        <w:tc>
          <w:tcPr/>
          <w:p>
            <w:pPr>
              <w:pStyle w:val="Compact"/>
              <w:jc w:val="left"/>
            </w:pPr>
            <w:r>
              <w:t xml:space="preserve">33.7% (62,056)</w:t>
            </w:r>
          </w:p>
        </w:tc>
        <w:tc>
          <w:tcPr/>
          <w:p>
            <w:pPr>
              <w:pStyle w:val="Compact"/>
            </w:pPr>
          </w:p>
        </w:tc>
      </w:tr>
      <w:tr>
        <w:tc>
          <w:tcPr/>
          <w:p>
            <w:pPr>
              <w:pStyle w:val="Compact"/>
              <w:jc w:val="left"/>
            </w:pPr>
            <w:r>
              <w:t xml:space="preserve">Diabetes, uncomplicated,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0.122</w:t>
            </w:r>
          </w:p>
        </w:tc>
      </w:tr>
      <w:tr>
        <w:tc>
          <w:tcPr/>
          <w:p>
            <w:pPr>
              <w:pStyle w:val="Compact"/>
              <w:jc w:val="left"/>
            </w:pPr>
            <w:r>
              <w:t xml:space="preserve"> No</w:t>
            </w:r>
          </w:p>
        </w:tc>
        <w:tc>
          <w:tcPr/>
          <w:p>
            <w:pPr>
              <w:pStyle w:val="Compact"/>
              <w:jc w:val="left"/>
            </w:pPr>
            <w:r>
              <w:t xml:space="preserve">88.9% (773,444)</w:t>
            </w:r>
          </w:p>
        </w:tc>
        <w:tc>
          <w:tcPr/>
          <w:p>
            <w:pPr>
              <w:pStyle w:val="Compact"/>
              <w:jc w:val="left"/>
            </w:pPr>
            <w:r>
              <w:t xml:space="preserve">88.4% (188,047)</w:t>
            </w:r>
          </w:p>
        </w:tc>
        <w:tc>
          <w:tcPr/>
          <w:p>
            <w:pPr>
              <w:pStyle w:val="Compact"/>
              <w:jc w:val="left"/>
            </w:pPr>
            <w:r>
              <w:t xml:space="preserve">90.5% (61,085)</w:t>
            </w:r>
          </w:p>
        </w:tc>
        <w:tc>
          <w:tcPr/>
          <w:p>
            <w:pPr>
              <w:pStyle w:val="Compact"/>
              <w:jc w:val="left"/>
            </w:pPr>
            <w:r>
              <w:t xml:space="preserve">90.8% (42,824)</w:t>
            </w:r>
          </w:p>
        </w:tc>
        <w:tc>
          <w:tcPr/>
          <w:p>
            <w:pPr>
              <w:pStyle w:val="Compact"/>
              <w:jc w:val="left"/>
            </w:pPr>
            <w:r>
              <w:t xml:space="preserve">89.6% (204,381)</w:t>
            </w:r>
          </w:p>
        </w:tc>
        <w:tc>
          <w:tcPr/>
          <w:p>
            <w:pPr>
              <w:pStyle w:val="Compact"/>
              <w:jc w:val="left"/>
            </w:pPr>
            <w:r>
              <w:t xml:space="preserve">89.3% (69,419)</w:t>
            </w:r>
          </w:p>
        </w:tc>
        <w:tc>
          <w:tcPr/>
          <w:p>
            <w:pPr>
              <w:pStyle w:val="Compact"/>
              <w:jc w:val="left"/>
            </w:pPr>
            <w:r>
              <w:t xml:space="preserve">84.2% (31,898)</w:t>
            </w:r>
          </w:p>
        </w:tc>
        <w:tc>
          <w:tcPr/>
          <w:p>
            <w:pPr>
              <w:pStyle w:val="Compact"/>
              <w:jc w:val="left"/>
            </w:pPr>
            <w:r>
              <w:t xml:space="preserve">89.6% (10,322)</w:t>
            </w:r>
          </w:p>
        </w:tc>
        <w:tc>
          <w:tcPr/>
          <w:p>
            <w:pPr>
              <w:pStyle w:val="Compact"/>
              <w:jc w:val="left"/>
            </w:pPr>
            <w:r>
              <w:t xml:space="preserve">88.1% (165,468)</w:t>
            </w:r>
          </w:p>
        </w:tc>
        <w:tc>
          <w:tcPr/>
          <w:p>
            <w:pPr>
              <w:pStyle w:val="Compact"/>
            </w:pPr>
          </w:p>
        </w:tc>
      </w:tr>
      <w:tr>
        <w:tc>
          <w:tcPr/>
          <w:p>
            <w:pPr>
              <w:pStyle w:val="Compact"/>
              <w:jc w:val="left"/>
            </w:pPr>
            <w:r>
              <w:t xml:space="preserve"> Yes</w:t>
            </w:r>
          </w:p>
        </w:tc>
        <w:tc>
          <w:tcPr/>
          <w:p>
            <w:pPr>
              <w:pStyle w:val="Compact"/>
              <w:jc w:val="left"/>
            </w:pPr>
            <w:r>
              <w:t xml:space="preserve">11.1% (97,042)</w:t>
            </w:r>
          </w:p>
        </w:tc>
        <w:tc>
          <w:tcPr/>
          <w:p>
            <w:pPr>
              <w:pStyle w:val="Compact"/>
              <w:jc w:val="left"/>
            </w:pPr>
            <w:r>
              <w:t xml:space="preserve">11.6% (24,708)</w:t>
            </w:r>
          </w:p>
        </w:tc>
        <w:tc>
          <w:tcPr/>
          <w:p>
            <w:pPr>
              <w:pStyle w:val="Compact"/>
              <w:jc w:val="left"/>
            </w:pPr>
            <w:r>
              <w:t xml:space="preserve">9.5% (6,397)</w:t>
            </w:r>
          </w:p>
        </w:tc>
        <w:tc>
          <w:tcPr/>
          <w:p>
            <w:pPr>
              <w:pStyle w:val="Compact"/>
              <w:jc w:val="left"/>
            </w:pPr>
            <w:r>
              <w:t xml:space="preserve">9.2% (4,372)</w:t>
            </w:r>
          </w:p>
        </w:tc>
        <w:tc>
          <w:tcPr/>
          <w:p>
            <w:pPr>
              <w:pStyle w:val="Compact"/>
              <w:jc w:val="left"/>
            </w:pPr>
            <w:r>
              <w:t xml:space="preserve">10.4% (23,795)</w:t>
            </w:r>
          </w:p>
        </w:tc>
        <w:tc>
          <w:tcPr/>
          <w:p>
            <w:pPr>
              <w:pStyle w:val="Compact"/>
              <w:jc w:val="left"/>
            </w:pPr>
            <w:r>
              <w:t xml:space="preserve">10.7% (8,299)</w:t>
            </w:r>
          </w:p>
        </w:tc>
        <w:tc>
          <w:tcPr/>
          <w:p>
            <w:pPr>
              <w:pStyle w:val="Compact"/>
              <w:jc w:val="left"/>
            </w:pPr>
            <w:r>
              <w:t xml:space="preserve">15.8% (5,956)</w:t>
            </w:r>
          </w:p>
        </w:tc>
        <w:tc>
          <w:tcPr/>
          <w:p>
            <w:pPr>
              <w:pStyle w:val="Compact"/>
              <w:jc w:val="left"/>
            </w:pPr>
            <w:r>
              <w:t xml:space="preserve">10.4% (1,198)</w:t>
            </w:r>
          </w:p>
        </w:tc>
        <w:tc>
          <w:tcPr/>
          <w:p>
            <w:pPr>
              <w:pStyle w:val="Compact"/>
              <w:jc w:val="left"/>
            </w:pPr>
            <w:r>
              <w:t xml:space="preserve">11.9% (22,317)</w:t>
            </w:r>
          </w:p>
        </w:tc>
        <w:tc>
          <w:tcPr/>
          <w:p>
            <w:pPr>
              <w:pStyle w:val="Compact"/>
            </w:pPr>
          </w:p>
        </w:tc>
      </w:tr>
      <w:tr>
        <w:tc>
          <w:tcPr/>
          <w:p>
            <w:pPr>
              <w:pStyle w:val="Compact"/>
              <w:jc w:val="left"/>
            </w:pPr>
            <w:r>
              <w:t xml:space="preserve">Diabetes, complicated,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0.071</w:t>
            </w:r>
          </w:p>
        </w:tc>
      </w:tr>
      <w:tr>
        <w:tc>
          <w:tcPr/>
          <w:p>
            <w:pPr>
              <w:pStyle w:val="Compact"/>
              <w:jc w:val="left"/>
            </w:pPr>
            <w:r>
              <w:t xml:space="preserve"> No</w:t>
            </w:r>
          </w:p>
        </w:tc>
        <w:tc>
          <w:tcPr/>
          <w:p>
            <w:pPr>
              <w:pStyle w:val="Compact"/>
              <w:jc w:val="left"/>
            </w:pPr>
            <w:r>
              <w:t xml:space="preserve">67.2% (585,691)</w:t>
            </w:r>
          </w:p>
        </w:tc>
        <w:tc>
          <w:tcPr/>
          <w:p>
            <w:pPr>
              <w:pStyle w:val="Compact"/>
              <w:jc w:val="left"/>
            </w:pPr>
            <w:r>
              <w:t xml:space="preserve">66.1% (141,029)</w:t>
            </w:r>
          </w:p>
        </w:tc>
        <w:tc>
          <w:tcPr/>
          <w:p>
            <w:pPr>
              <w:pStyle w:val="Compact"/>
              <w:jc w:val="left"/>
            </w:pPr>
            <w:r>
              <w:t xml:space="preserve">65.3% (44,046)</w:t>
            </w:r>
          </w:p>
        </w:tc>
        <w:tc>
          <w:tcPr/>
          <w:p>
            <w:pPr>
              <w:pStyle w:val="Compact"/>
              <w:jc w:val="left"/>
            </w:pPr>
            <w:r>
              <w:t xml:space="preserve">63.3% (29,737)</w:t>
            </w:r>
          </w:p>
        </w:tc>
        <w:tc>
          <w:tcPr/>
          <w:p>
            <w:pPr>
              <w:pStyle w:val="Compact"/>
              <w:jc w:val="left"/>
            </w:pPr>
            <w:r>
              <w:t xml:space="preserve">69.3% (158,338)</w:t>
            </w:r>
          </w:p>
        </w:tc>
        <w:tc>
          <w:tcPr/>
          <w:p>
            <w:pPr>
              <w:pStyle w:val="Compact"/>
              <w:jc w:val="left"/>
            </w:pPr>
            <w:r>
              <w:t xml:space="preserve">66.4% (51,542)</w:t>
            </w:r>
          </w:p>
        </w:tc>
        <w:tc>
          <w:tcPr/>
          <w:p>
            <w:pPr>
              <w:pStyle w:val="Compact"/>
              <w:jc w:val="left"/>
            </w:pPr>
            <w:r>
              <w:t xml:space="preserve">67.5% (25,644)</w:t>
            </w:r>
          </w:p>
        </w:tc>
        <w:tc>
          <w:tcPr/>
          <w:p>
            <w:pPr>
              <w:pStyle w:val="Compact"/>
              <w:jc w:val="left"/>
            </w:pPr>
            <w:r>
              <w:t xml:space="preserve">62.7% (7,220)</w:t>
            </w:r>
          </w:p>
        </w:tc>
        <w:tc>
          <w:tcPr/>
          <w:p>
            <w:pPr>
              <w:pStyle w:val="Compact"/>
              <w:jc w:val="left"/>
            </w:pPr>
            <w:r>
              <w:t xml:space="preserve">68.2% (128,135)</w:t>
            </w:r>
          </w:p>
        </w:tc>
        <w:tc>
          <w:tcPr/>
          <w:p>
            <w:pPr>
              <w:pStyle w:val="Compact"/>
            </w:pPr>
          </w:p>
        </w:tc>
      </w:tr>
      <w:tr>
        <w:tc>
          <w:tcPr/>
          <w:p>
            <w:pPr>
              <w:pStyle w:val="Compact"/>
              <w:jc w:val="left"/>
            </w:pPr>
            <w:r>
              <w:t xml:space="preserve"> Yes</w:t>
            </w:r>
          </w:p>
        </w:tc>
        <w:tc>
          <w:tcPr/>
          <w:p>
            <w:pPr>
              <w:pStyle w:val="Compact"/>
              <w:jc w:val="left"/>
            </w:pPr>
            <w:r>
              <w:t xml:space="preserve">32.8% (284,795)</w:t>
            </w:r>
          </w:p>
        </w:tc>
        <w:tc>
          <w:tcPr/>
          <w:p>
            <w:pPr>
              <w:pStyle w:val="Compact"/>
              <w:jc w:val="left"/>
            </w:pPr>
            <w:r>
              <w:t xml:space="preserve">33.9% (71,726)</w:t>
            </w:r>
          </w:p>
        </w:tc>
        <w:tc>
          <w:tcPr/>
          <w:p>
            <w:pPr>
              <w:pStyle w:val="Compact"/>
              <w:jc w:val="left"/>
            </w:pPr>
            <w:r>
              <w:t xml:space="preserve">34.7% (23,436)</w:t>
            </w:r>
          </w:p>
        </w:tc>
        <w:tc>
          <w:tcPr/>
          <w:p>
            <w:pPr>
              <w:pStyle w:val="Compact"/>
              <w:jc w:val="left"/>
            </w:pPr>
            <w:r>
              <w:t xml:space="preserve">36.7% (17,459)</w:t>
            </w:r>
          </w:p>
        </w:tc>
        <w:tc>
          <w:tcPr/>
          <w:p>
            <w:pPr>
              <w:pStyle w:val="Compact"/>
              <w:jc w:val="left"/>
            </w:pPr>
            <w:r>
              <w:t xml:space="preserve">30.7% (69,838)</w:t>
            </w:r>
          </w:p>
        </w:tc>
        <w:tc>
          <w:tcPr/>
          <w:p>
            <w:pPr>
              <w:pStyle w:val="Compact"/>
              <w:jc w:val="left"/>
            </w:pPr>
            <w:r>
              <w:t xml:space="preserve">33.6% (26,176)</w:t>
            </w:r>
          </w:p>
        </w:tc>
        <w:tc>
          <w:tcPr/>
          <w:p>
            <w:pPr>
              <w:pStyle w:val="Compact"/>
              <w:jc w:val="left"/>
            </w:pPr>
            <w:r>
              <w:t xml:space="preserve">32.5% (12,210)</w:t>
            </w:r>
          </w:p>
        </w:tc>
        <w:tc>
          <w:tcPr/>
          <w:p>
            <w:pPr>
              <w:pStyle w:val="Compact"/>
              <w:jc w:val="left"/>
            </w:pPr>
            <w:r>
              <w:t xml:space="preserve">37.3% (4,300)</w:t>
            </w:r>
          </w:p>
        </w:tc>
        <w:tc>
          <w:tcPr/>
          <w:p>
            <w:pPr>
              <w:pStyle w:val="Compact"/>
              <w:jc w:val="left"/>
            </w:pPr>
            <w:r>
              <w:t xml:space="preserve">31.8% (59,650)</w:t>
            </w:r>
          </w:p>
        </w:tc>
        <w:tc>
          <w:tcPr/>
          <w:p>
            <w:pPr>
              <w:pStyle w:val="Compact"/>
            </w:pPr>
          </w:p>
        </w:tc>
      </w:tr>
      <w:tr>
        <w:tc>
          <w:tcPr/>
          <w:p>
            <w:pPr>
              <w:pStyle w:val="Compact"/>
              <w:jc w:val="left"/>
            </w:pPr>
            <w:r>
              <w:t xml:space="preserve">Liver disease,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0.257</w:t>
            </w:r>
          </w:p>
        </w:tc>
      </w:tr>
      <w:tr>
        <w:tc>
          <w:tcPr/>
          <w:p>
            <w:pPr>
              <w:pStyle w:val="Compact"/>
              <w:jc w:val="left"/>
            </w:pPr>
            <w:r>
              <w:t xml:space="preserve"> No</w:t>
            </w:r>
          </w:p>
        </w:tc>
        <w:tc>
          <w:tcPr/>
          <w:p>
            <w:pPr>
              <w:pStyle w:val="Compact"/>
              <w:jc w:val="left"/>
            </w:pPr>
            <w:r>
              <w:t xml:space="preserve">91.9% (799,360)</w:t>
            </w:r>
          </w:p>
        </w:tc>
        <w:tc>
          <w:tcPr/>
          <w:p>
            <w:pPr>
              <w:pStyle w:val="Compact"/>
              <w:jc w:val="left"/>
            </w:pPr>
            <w:r>
              <w:t xml:space="preserve">88.4% (188,219)</w:t>
            </w:r>
          </w:p>
        </w:tc>
        <w:tc>
          <w:tcPr/>
          <w:p>
            <w:pPr>
              <w:pStyle w:val="Compact"/>
              <w:jc w:val="left"/>
            </w:pPr>
            <w:r>
              <w:t xml:space="preserve">87.9% (59,259)</w:t>
            </w:r>
          </w:p>
        </w:tc>
        <w:tc>
          <w:tcPr/>
          <w:p>
            <w:pPr>
              <w:pStyle w:val="Compact"/>
              <w:jc w:val="left"/>
            </w:pPr>
            <w:r>
              <w:t xml:space="preserve">95.4% (44,984)</w:t>
            </w:r>
          </w:p>
        </w:tc>
        <w:tc>
          <w:tcPr/>
          <w:p>
            <w:pPr>
              <w:pStyle w:val="Compact"/>
              <w:jc w:val="left"/>
            </w:pPr>
            <w:r>
              <w:t xml:space="preserve">93.9% (214,154)</w:t>
            </w:r>
          </w:p>
        </w:tc>
        <w:tc>
          <w:tcPr/>
          <w:p>
            <w:pPr>
              <w:pStyle w:val="Compact"/>
              <w:jc w:val="left"/>
            </w:pPr>
            <w:r>
              <w:t xml:space="preserve">92.7% (71,991)</w:t>
            </w:r>
          </w:p>
        </w:tc>
        <w:tc>
          <w:tcPr/>
          <w:p>
            <w:pPr>
              <w:pStyle w:val="Compact"/>
              <w:jc w:val="left"/>
            </w:pPr>
            <w:r>
              <w:t xml:space="preserve">91.1% (34,470)</w:t>
            </w:r>
          </w:p>
        </w:tc>
        <w:tc>
          <w:tcPr/>
          <w:p>
            <w:pPr>
              <w:pStyle w:val="Compact"/>
              <w:jc w:val="left"/>
            </w:pPr>
            <w:r>
              <w:t xml:space="preserve">94.0% (10,834)</w:t>
            </w:r>
          </w:p>
        </w:tc>
        <w:tc>
          <w:tcPr/>
          <w:p>
            <w:pPr>
              <w:pStyle w:val="Compact"/>
              <w:jc w:val="left"/>
            </w:pPr>
            <w:r>
              <w:t xml:space="preserve">93.5% (175,449)</w:t>
            </w:r>
          </w:p>
        </w:tc>
        <w:tc>
          <w:tcPr/>
          <w:p>
            <w:pPr>
              <w:pStyle w:val="Compact"/>
            </w:pPr>
          </w:p>
        </w:tc>
      </w:tr>
      <w:tr>
        <w:tc>
          <w:tcPr/>
          <w:p>
            <w:pPr>
              <w:pStyle w:val="Compact"/>
              <w:jc w:val="left"/>
            </w:pPr>
            <w:r>
              <w:t xml:space="preserve"> Yes</w:t>
            </w:r>
          </w:p>
        </w:tc>
        <w:tc>
          <w:tcPr/>
          <w:p>
            <w:pPr>
              <w:pStyle w:val="Compact"/>
              <w:jc w:val="left"/>
            </w:pPr>
            <w:r>
              <w:t xml:space="preserve">8.1% (71,126)</w:t>
            </w:r>
          </w:p>
        </w:tc>
        <w:tc>
          <w:tcPr/>
          <w:p>
            <w:pPr>
              <w:pStyle w:val="Compact"/>
              <w:jc w:val="left"/>
            </w:pPr>
            <w:r>
              <w:t xml:space="preserve">11.6% (24,536)</w:t>
            </w:r>
          </w:p>
        </w:tc>
        <w:tc>
          <w:tcPr/>
          <w:p>
            <w:pPr>
              <w:pStyle w:val="Compact"/>
              <w:jc w:val="left"/>
            </w:pPr>
            <w:r>
              <w:t xml:space="preserve">12.1% (8,223)</w:t>
            </w:r>
          </w:p>
        </w:tc>
        <w:tc>
          <w:tcPr/>
          <w:p>
            <w:pPr>
              <w:pStyle w:val="Compact"/>
              <w:jc w:val="left"/>
            </w:pPr>
            <w:r>
              <w:t xml:space="preserve">4.6% (2,212)</w:t>
            </w:r>
          </w:p>
        </w:tc>
        <w:tc>
          <w:tcPr/>
          <w:p>
            <w:pPr>
              <w:pStyle w:val="Compact"/>
              <w:jc w:val="left"/>
            </w:pPr>
            <w:r>
              <w:t xml:space="preserve">6.1% (14,022)</w:t>
            </w:r>
          </w:p>
        </w:tc>
        <w:tc>
          <w:tcPr/>
          <w:p>
            <w:pPr>
              <w:pStyle w:val="Compact"/>
              <w:jc w:val="left"/>
            </w:pPr>
            <w:r>
              <w:t xml:space="preserve">7.3% (5,727)</w:t>
            </w:r>
          </w:p>
        </w:tc>
        <w:tc>
          <w:tcPr/>
          <w:p>
            <w:pPr>
              <w:pStyle w:val="Compact"/>
              <w:jc w:val="left"/>
            </w:pPr>
            <w:r>
              <w:t xml:space="preserve">8.9% (3,384)</w:t>
            </w:r>
          </w:p>
        </w:tc>
        <w:tc>
          <w:tcPr/>
          <w:p>
            <w:pPr>
              <w:pStyle w:val="Compact"/>
              <w:jc w:val="left"/>
            </w:pPr>
            <w:r>
              <w:t xml:space="preserve">6.0% (686)</w:t>
            </w:r>
          </w:p>
        </w:tc>
        <w:tc>
          <w:tcPr/>
          <w:p>
            <w:pPr>
              <w:pStyle w:val="Compact"/>
              <w:jc w:val="left"/>
            </w:pPr>
            <w:r>
              <w:t xml:space="preserve">6.5% (12,336)</w:t>
            </w:r>
          </w:p>
        </w:tc>
        <w:tc>
          <w:tcPr/>
          <w:p>
            <w:pPr>
              <w:pStyle w:val="Compact"/>
            </w:pPr>
          </w:p>
        </w:tc>
      </w:tr>
      <w:tr>
        <w:tc>
          <w:tcPr/>
          <w:p>
            <w:pPr>
              <w:pStyle w:val="Compact"/>
              <w:jc w:val="left"/>
            </w:pPr>
            <w:r>
              <w:t xml:space="preserve">Obesity,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0.171</w:t>
            </w:r>
          </w:p>
        </w:tc>
      </w:tr>
      <w:tr>
        <w:tc>
          <w:tcPr/>
          <w:p>
            <w:pPr>
              <w:pStyle w:val="Compact"/>
              <w:jc w:val="left"/>
            </w:pPr>
            <w:r>
              <w:t xml:space="preserve"> No</w:t>
            </w:r>
          </w:p>
        </w:tc>
        <w:tc>
          <w:tcPr/>
          <w:p>
            <w:pPr>
              <w:pStyle w:val="Compact"/>
              <w:jc w:val="left"/>
            </w:pPr>
            <w:r>
              <w:t xml:space="preserve">79.9% (699,723)</w:t>
            </w:r>
          </w:p>
        </w:tc>
        <w:tc>
          <w:tcPr/>
          <w:p>
            <w:pPr>
              <w:pStyle w:val="Compact"/>
              <w:jc w:val="left"/>
            </w:pPr>
            <w:r>
              <w:t xml:space="preserve">81.1% (173,658)</w:t>
            </w:r>
          </w:p>
        </w:tc>
        <w:tc>
          <w:tcPr/>
          <w:p>
            <w:pPr>
              <w:pStyle w:val="Compact"/>
              <w:jc w:val="left"/>
            </w:pPr>
            <w:r>
              <w:t xml:space="preserve">83.4% (56,627)</w:t>
            </w:r>
          </w:p>
        </w:tc>
        <w:tc>
          <w:tcPr/>
          <w:p>
            <w:pPr>
              <w:pStyle w:val="Compact"/>
              <w:jc w:val="left"/>
            </w:pPr>
            <w:r>
              <w:t xml:space="preserve">74.0% (35,246)</w:t>
            </w:r>
          </w:p>
        </w:tc>
        <w:tc>
          <w:tcPr/>
          <w:p>
            <w:pPr>
              <w:pStyle w:val="Compact"/>
              <w:jc w:val="left"/>
            </w:pPr>
            <w:r>
              <w:t xml:space="preserve">79.8% (182,969)</w:t>
            </w:r>
          </w:p>
        </w:tc>
        <w:tc>
          <w:tcPr/>
          <w:p>
            <w:pPr>
              <w:pStyle w:val="Compact"/>
              <w:jc w:val="left"/>
            </w:pPr>
            <w:r>
              <w:t xml:space="preserve">76.3% (59,689)</w:t>
            </w:r>
          </w:p>
        </w:tc>
        <w:tc>
          <w:tcPr/>
          <w:p>
            <w:pPr>
              <w:pStyle w:val="Compact"/>
              <w:jc w:val="left"/>
            </w:pPr>
            <w:r>
              <w:t xml:space="preserve">85.8% (32,645)</w:t>
            </w:r>
          </w:p>
        </w:tc>
        <w:tc>
          <w:tcPr/>
          <w:p>
            <w:pPr>
              <w:pStyle w:val="Compact"/>
              <w:jc w:val="left"/>
            </w:pPr>
            <w:r>
              <w:t xml:space="preserve">79.1% (9,158)</w:t>
            </w:r>
          </w:p>
        </w:tc>
        <w:tc>
          <w:tcPr/>
          <w:p>
            <w:pPr>
              <w:pStyle w:val="Compact"/>
              <w:jc w:val="left"/>
            </w:pPr>
            <w:r>
              <w:t xml:space="preserve">79.2% (149,731)</w:t>
            </w:r>
          </w:p>
        </w:tc>
        <w:tc>
          <w:tcPr/>
          <w:p>
            <w:pPr>
              <w:pStyle w:val="Compact"/>
            </w:pPr>
          </w:p>
        </w:tc>
      </w:tr>
      <w:tr>
        <w:tc>
          <w:tcPr/>
          <w:p>
            <w:pPr>
              <w:pStyle w:val="Compact"/>
              <w:jc w:val="left"/>
            </w:pPr>
            <w:r>
              <w:t xml:space="preserve"> Yes</w:t>
            </w:r>
          </w:p>
        </w:tc>
        <w:tc>
          <w:tcPr/>
          <w:p>
            <w:pPr>
              <w:pStyle w:val="Compact"/>
              <w:jc w:val="left"/>
            </w:pPr>
            <w:r>
              <w:t xml:space="preserve">20.1% (170,763)</w:t>
            </w:r>
          </w:p>
        </w:tc>
        <w:tc>
          <w:tcPr/>
          <w:p>
            <w:pPr>
              <w:pStyle w:val="Compact"/>
              <w:jc w:val="left"/>
            </w:pPr>
            <w:r>
              <w:t xml:space="preserve">18.9% (39,097)</w:t>
            </w:r>
          </w:p>
        </w:tc>
        <w:tc>
          <w:tcPr/>
          <w:p>
            <w:pPr>
              <w:pStyle w:val="Compact"/>
              <w:jc w:val="left"/>
            </w:pPr>
            <w:r>
              <w:t xml:space="preserve">16.6% (10,855)</w:t>
            </w:r>
          </w:p>
        </w:tc>
        <w:tc>
          <w:tcPr/>
          <w:p>
            <w:pPr>
              <w:pStyle w:val="Compact"/>
              <w:jc w:val="left"/>
            </w:pPr>
            <w:r>
              <w:t xml:space="preserve">26.0% (11,950)</w:t>
            </w:r>
          </w:p>
        </w:tc>
        <w:tc>
          <w:tcPr/>
          <w:p>
            <w:pPr>
              <w:pStyle w:val="Compact"/>
              <w:jc w:val="left"/>
            </w:pPr>
            <w:r>
              <w:t xml:space="preserve">20.2% (45,207)</w:t>
            </w:r>
          </w:p>
        </w:tc>
        <w:tc>
          <w:tcPr/>
          <w:p>
            <w:pPr>
              <w:pStyle w:val="Compact"/>
              <w:jc w:val="left"/>
            </w:pPr>
            <w:r>
              <w:t xml:space="preserve">23.7% (18,029)</w:t>
            </w:r>
          </w:p>
        </w:tc>
        <w:tc>
          <w:tcPr/>
          <w:p>
            <w:pPr>
              <w:pStyle w:val="Compact"/>
              <w:jc w:val="left"/>
            </w:pPr>
            <w:r>
              <w:t xml:space="preserve">14.2% (5,209)</w:t>
            </w:r>
          </w:p>
        </w:tc>
        <w:tc>
          <w:tcPr/>
          <w:p>
            <w:pPr>
              <w:pStyle w:val="Compact"/>
              <w:jc w:val="left"/>
            </w:pPr>
            <w:r>
              <w:t xml:space="preserve">20.9% (2,362)</w:t>
            </w:r>
          </w:p>
        </w:tc>
        <w:tc>
          <w:tcPr/>
          <w:p>
            <w:pPr>
              <w:pStyle w:val="Compact"/>
              <w:jc w:val="left"/>
            </w:pPr>
            <w:r>
              <w:t xml:space="preserve">20.8% (38,054)</w:t>
            </w:r>
          </w:p>
        </w:tc>
        <w:tc>
          <w:tcPr/>
          <w:p>
            <w:pPr>
              <w:pStyle w:val="Compact"/>
            </w:pPr>
          </w:p>
        </w:tc>
      </w:tr>
      <w:tr>
        <w:tc>
          <w:tcPr/>
          <w:p>
            <w:pPr>
              <w:pStyle w:val="Compact"/>
              <w:jc w:val="left"/>
            </w:pPr>
            <w:r>
              <w:t xml:space="preserve">Weight loss,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0.425</w:t>
            </w:r>
          </w:p>
        </w:tc>
      </w:tr>
      <w:tr>
        <w:tc>
          <w:tcPr/>
          <w:p>
            <w:pPr>
              <w:pStyle w:val="Compact"/>
              <w:jc w:val="left"/>
            </w:pPr>
            <w:r>
              <w:t xml:space="preserve"> No</w:t>
            </w:r>
          </w:p>
        </w:tc>
        <w:tc>
          <w:tcPr/>
          <w:p>
            <w:pPr>
              <w:pStyle w:val="Compact"/>
              <w:jc w:val="left"/>
            </w:pPr>
            <w:r>
              <w:t xml:space="preserve">87.8% (762,371)</w:t>
            </w:r>
          </w:p>
        </w:tc>
        <w:tc>
          <w:tcPr/>
          <w:p>
            <w:pPr>
              <w:pStyle w:val="Compact"/>
              <w:jc w:val="left"/>
            </w:pPr>
            <w:r>
              <w:t xml:space="preserve">80.7% (171,217)</w:t>
            </w:r>
          </w:p>
        </w:tc>
        <w:tc>
          <w:tcPr/>
          <w:p>
            <w:pPr>
              <w:pStyle w:val="Compact"/>
              <w:jc w:val="left"/>
            </w:pPr>
            <w:r>
              <w:t xml:space="preserve">85.4% (57,485)</w:t>
            </w:r>
          </w:p>
        </w:tc>
        <w:tc>
          <w:tcPr/>
          <w:p>
            <w:pPr>
              <w:pStyle w:val="Compact"/>
              <w:jc w:val="left"/>
            </w:pPr>
            <w:r>
              <w:t xml:space="preserve">94.4% (44,514)</w:t>
            </w:r>
          </w:p>
        </w:tc>
        <w:tc>
          <w:tcPr/>
          <w:p>
            <w:pPr>
              <w:pStyle w:val="Compact"/>
              <w:jc w:val="left"/>
            </w:pPr>
            <w:r>
              <w:t xml:space="preserve">90.6% (206,411)</w:t>
            </w:r>
          </w:p>
        </w:tc>
        <w:tc>
          <w:tcPr/>
          <w:p>
            <w:pPr>
              <w:pStyle w:val="Compact"/>
              <w:jc w:val="left"/>
            </w:pPr>
            <w:r>
              <w:t xml:space="preserve">89.8% (69,680)</w:t>
            </w:r>
          </w:p>
        </w:tc>
        <w:tc>
          <w:tcPr/>
          <w:p>
            <w:pPr>
              <w:pStyle w:val="Compact"/>
              <w:jc w:val="left"/>
            </w:pPr>
            <w:r>
              <w:t xml:space="preserve">81.7% (30,823)</w:t>
            </w:r>
          </w:p>
        </w:tc>
        <w:tc>
          <w:tcPr/>
          <w:p>
            <w:pPr>
              <w:pStyle w:val="Compact"/>
              <w:jc w:val="left"/>
            </w:pPr>
            <w:r>
              <w:t xml:space="preserve">89.7% (10,312)</w:t>
            </w:r>
          </w:p>
        </w:tc>
        <w:tc>
          <w:tcPr/>
          <w:p>
            <w:pPr>
              <w:pStyle w:val="Compact"/>
              <w:jc w:val="left"/>
            </w:pPr>
            <w:r>
              <w:t xml:space="preserve">91.7% (171,929)</w:t>
            </w:r>
          </w:p>
        </w:tc>
        <w:tc>
          <w:tcPr/>
          <w:p>
            <w:pPr>
              <w:pStyle w:val="Compact"/>
            </w:pPr>
          </w:p>
        </w:tc>
      </w:tr>
      <w:tr>
        <w:tc>
          <w:tcPr/>
          <w:p>
            <w:pPr>
              <w:pStyle w:val="Compact"/>
              <w:jc w:val="left"/>
            </w:pPr>
            <w:r>
              <w:t xml:space="preserve"> Yes</w:t>
            </w:r>
          </w:p>
        </w:tc>
        <w:tc>
          <w:tcPr/>
          <w:p>
            <w:pPr>
              <w:pStyle w:val="Compact"/>
              <w:jc w:val="left"/>
            </w:pPr>
            <w:r>
              <w:t xml:space="preserve">12.2% (108,115)</w:t>
            </w:r>
          </w:p>
        </w:tc>
        <w:tc>
          <w:tcPr/>
          <w:p>
            <w:pPr>
              <w:pStyle w:val="Compact"/>
              <w:jc w:val="left"/>
            </w:pPr>
            <w:r>
              <w:t xml:space="preserve">19.3% (41,538)</w:t>
            </w:r>
          </w:p>
        </w:tc>
        <w:tc>
          <w:tcPr/>
          <w:p>
            <w:pPr>
              <w:pStyle w:val="Compact"/>
              <w:jc w:val="left"/>
            </w:pPr>
            <w:r>
              <w:t xml:space="preserve">14.6% (9,997)</w:t>
            </w:r>
          </w:p>
        </w:tc>
        <w:tc>
          <w:tcPr/>
          <w:p>
            <w:pPr>
              <w:pStyle w:val="Compact"/>
              <w:jc w:val="left"/>
            </w:pPr>
            <w:r>
              <w:t xml:space="preserve">5.6% (2,682)</w:t>
            </w:r>
          </w:p>
        </w:tc>
        <w:tc>
          <w:tcPr/>
          <w:p>
            <w:pPr>
              <w:pStyle w:val="Compact"/>
              <w:jc w:val="left"/>
            </w:pPr>
            <w:r>
              <w:t xml:space="preserve">9.4% (21,765)</w:t>
            </w:r>
          </w:p>
        </w:tc>
        <w:tc>
          <w:tcPr/>
          <w:p>
            <w:pPr>
              <w:pStyle w:val="Compact"/>
              <w:jc w:val="left"/>
            </w:pPr>
            <w:r>
              <w:t xml:space="preserve">10.2% (8,038)</w:t>
            </w:r>
          </w:p>
        </w:tc>
        <w:tc>
          <w:tcPr/>
          <w:p>
            <w:pPr>
              <w:pStyle w:val="Compact"/>
              <w:jc w:val="left"/>
            </w:pPr>
            <w:r>
              <w:t xml:space="preserve">18.3% (7,031)</w:t>
            </w:r>
          </w:p>
        </w:tc>
        <w:tc>
          <w:tcPr/>
          <w:p>
            <w:pPr>
              <w:pStyle w:val="Compact"/>
              <w:jc w:val="left"/>
            </w:pPr>
            <w:r>
              <w:t xml:space="preserve">10.3% (1,208)</w:t>
            </w:r>
          </w:p>
        </w:tc>
        <w:tc>
          <w:tcPr/>
          <w:p>
            <w:pPr>
              <w:pStyle w:val="Compact"/>
              <w:jc w:val="left"/>
            </w:pPr>
            <w:r>
              <w:t xml:space="preserve">8.3% (15,856)</w:t>
            </w:r>
          </w:p>
        </w:tc>
        <w:tc>
          <w:tcPr/>
          <w:p>
            <w:pPr>
              <w:pStyle w:val="Compact"/>
            </w:pPr>
          </w:p>
        </w:tc>
      </w:tr>
      <w:tr>
        <w:tc>
          <w:tcPr/>
          <w:p>
            <w:pPr>
              <w:pStyle w:val="Compact"/>
              <w:jc w:val="left"/>
            </w:pPr>
            <w:r>
              <w:t xml:space="preserve">Coagulopathy,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0.398</w:t>
            </w:r>
          </w:p>
        </w:tc>
      </w:tr>
      <w:tr>
        <w:tc>
          <w:tcPr/>
          <w:p>
            <w:pPr>
              <w:pStyle w:val="Compact"/>
              <w:jc w:val="left"/>
            </w:pPr>
            <w:r>
              <w:t xml:space="preserve"> No</w:t>
            </w:r>
          </w:p>
        </w:tc>
        <w:tc>
          <w:tcPr/>
          <w:p>
            <w:pPr>
              <w:pStyle w:val="Compact"/>
              <w:jc w:val="left"/>
            </w:pPr>
            <w:r>
              <w:t xml:space="preserve">87.4% (759,242)</w:t>
            </w:r>
          </w:p>
        </w:tc>
        <w:tc>
          <w:tcPr/>
          <w:p>
            <w:pPr>
              <w:pStyle w:val="Compact"/>
              <w:jc w:val="left"/>
            </w:pPr>
            <w:r>
              <w:t xml:space="preserve">80.9% (171,545)</w:t>
            </w:r>
          </w:p>
        </w:tc>
        <w:tc>
          <w:tcPr/>
          <w:p>
            <w:pPr>
              <w:pStyle w:val="Compact"/>
              <w:jc w:val="left"/>
            </w:pPr>
            <w:r>
              <w:t xml:space="preserve">78.8% (53,048)</w:t>
            </w:r>
          </w:p>
        </w:tc>
        <w:tc>
          <w:tcPr/>
          <w:p>
            <w:pPr>
              <w:pStyle w:val="Compact"/>
              <w:jc w:val="left"/>
            </w:pPr>
            <w:r>
              <w:t xml:space="preserve">93.8% (44,226)</w:t>
            </w:r>
          </w:p>
        </w:tc>
        <w:tc>
          <w:tcPr/>
          <w:p>
            <w:pPr>
              <w:pStyle w:val="Compact"/>
              <w:jc w:val="left"/>
            </w:pPr>
            <w:r>
              <w:t xml:space="preserve">89.7% (203,986)</w:t>
            </w:r>
          </w:p>
        </w:tc>
        <w:tc>
          <w:tcPr/>
          <w:p>
            <w:pPr>
              <w:pStyle w:val="Compact"/>
              <w:jc w:val="left"/>
            </w:pPr>
            <w:r>
              <w:t xml:space="preserve">89.7% (69,605)</w:t>
            </w:r>
          </w:p>
        </w:tc>
        <w:tc>
          <w:tcPr/>
          <w:p>
            <w:pPr>
              <w:pStyle w:val="Compact"/>
              <w:jc w:val="left"/>
            </w:pPr>
            <w:r>
              <w:t xml:space="preserve">89.2% (33,693)</w:t>
            </w:r>
          </w:p>
        </w:tc>
        <w:tc>
          <w:tcPr/>
          <w:p>
            <w:pPr>
              <w:pStyle w:val="Compact"/>
              <w:jc w:val="left"/>
            </w:pPr>
            <w:r>
              <w:t xml:space="preserve">90.7% (10,425)</w:t>
            </w:r>
          </w:p>
        </w:tc>
        <w:tc>
          <w:tcPr/>
          <w:p>
            <w:pPr>
              <w:pStyle w:val="Compact"/>
              <w:jc w:val="left"/>
            </w:pPr>
            <w:r>
              <w:t xml:space="preserve">92.1% (172,714)</w:t>
            </w:r>
          </w:p>
        </w:tc>
        <w:tc>
          <w:tcPr/>
          <w:p>
            <w:pPr>
              <w:pStyle w:val="Compact"/>
            </w:pPr>
          </w:p>
        </w:tc>
      </w:tr>
      <w:tr>
        <w:tc>
          <w:tcPr/>
          <w:p>
            <w:pPr>
              <w:pStyle w:val="Compact"/>
              <w:jc w:val="left"/>
            </w:pPr>
            <w:r>
              <w:t xml:space="preserve"> Yes</w:t>
            </w:r>
          </w:p>
        </w:tc>
        <w:tc>
          <w:tcPr/>
          <w:p>
            <w:pPr>
              <w:pStyle w:val="Compact"/>
              <w:jc w:val="left"/>
            </w:pPr>
            <w:r>
              <w:t xml:space="preserve">12.6% (111,244)</w:t>
            </w:r>
          </w:p>
        </w:tc>
        <w:tc>
          <w:tcPr/>
          <w:p>
            <w:pPr>
              <w:pStyle w:val="Compact"/>
              <w:jc w:val="left"/>
            </w:pPr>
            <w:r>
              <w:t xml:space="preserve">19.1% (41,210)</w:t>
            </w:r>
          </w:p>
        </w:tc>
        <w:tc>
          <w:tcPr/>
          <w:p>
            <w:pPr>
              <w:pStyle w:val="Compact"/>
              <w:jc w:val="left"/>
            </w:pPr>
            <w:r>
              <w:t xml:space="preserve">21.2% (14,434)</w:t>
            </w:r>
          </w:p>
        </w:tc>
        <w:tc>
          <w:tcPr/>
          <w:p>
            <w:pPr>
              <w:pStyle w:val="Compact"/>
              <w:jc w:val="left"/>
            </w:pPr>
            <w:r>
              <w:t xml:space="preserve">6.2% (2,970)</w:t>
            </w:r>
          </w:p>
        </w:tc>
        <w:tc>
          <w:tcPr/>
          <w:p>
            <w:pPr>
              <w:pStyle w:val="Compact"/>
              <w:jc w:val="left"/>
            </w:pPr>
            <w:r>
              <w:t xml:space="preserve">10.3% (24,190)</w:t>
            </w:r>
          </w:p>
        </w:tc>
        <w:tc>
          <w:tcPr/>
          <w:p>
            <w:pPr>
              <w:pStyle w:val="Compact"/>
              <w:jc w:val="left"/>
            </w:pPr>
            <w:r>
              <w:t xml:space="preserve">10.3% (8,113)</w:t>
            </w:r>
          </w:p>
        </w:tc>
        <w:tc>
          <w:tcPr/>
          <w:p>
            <w:pPr>
              <w:pStyle w:val="Compact"/>
              <w:jc w:val="left"/>
            </w:pPr>
            <w:r>
              <w:t xml:space="preserve">10.8% (4,161)</w:t>
            </w:r>
          </w:p>
        </w:tc>
        <w:tc>
          <w:tcPr/>
          <w:p>
            <w:pPr>
              <w:pStyle w:val="Compact"/>
              <w:jc w:val="left"/>
            </w:pPr>
            <w:r>
              <w:t xml:space="preserve">9.3% (1,095)</w:t>
            </w:r>
          </w:p>
        </w:tc>
        <w:tc>
          <w:tcPr/>
          <w:p>
            <w:pPr>
              <w:pStyle w:val="Compact"/>
              <w:jc w:val="left"/>
            </w:pPr>
            <w:r>
              <w:t xml:space="preserve">7.9% (15,071)</w:t>
            </w:r>
          </w:p>
        </w:tc>
        <w:tc>
          <w:tcPr/>
          <w:p>
            <w:pPr>
              <w:pStyle w:val="Compact"/>
            </w:pPr>
          </w:p>
        </w:tc>
      </w:tr>
      <w:tr>
        <w:tc>
          <w:tcPr/>
          <w:p>
            <w:pPr>
              <w:pStyle w:val="Compact"/>
              <w:jc w:val="left"/>
            </w:pPr>
            <w:r>
              <w:t xml:space="preserve">Metastatic cancer,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0.196</w:t>
            </w:r>
          </w:p>
        </w:tc>
      </w:tr>
      <w:tr>
        <w:tc>
          <w:tcPr/>
          <w:p>
            <w:pPr>
              <w:pStyle w:val="Compact"/>
              <w:jc w:val="left"/>
            </w:pPr>
            <w:r>
              <w:t xml:space="preserve"> No</w:t>
            </w:r>
          </w:p>
        </w:tc>
        <w:tc>
          <w:tcPr/>
          <w:p>
            <w:pPr>
              <w:pStyle w:val="Compact"/>
              <w:jc w:val="left"/>
            </w:pPr>
            <w:r>
              <w:t xml:space="preserve">97.0% (843,612)</w:t>
            </w:r>
          </w:p>
        </w:tc>
        <w:tc>
          <w:tcPr/>
          <w:p>
            <w:pPr>
              <w:pStyle w:val="Compact"/>
              <w:jc w:val="left"/>
            </w:pPr>
            <w:r>
              <w:t xml:space="preserve">96.3% (204,645)</w:t>
            </w:r>
          </w:p>
        </w:tc>
        <w:tc>
          <w:tcPr/>
          <w:p>
            <w:pPr>
              <w:pStyle w:val="Compact"/>
              <w:jc w:val="left"/>
            </w:pPr>
            <w:r>
              <w:t xml:space="preserve">96.2% (64,846)</w:t>
            </w:r>
          </w:p>
        </w:tc>
        <w:tc>
          <w:tcPr/>
          <w:p>
            <w:pPr>
              <w:pStyle w:val="Compact"/>
              <w:jc w:val="left"/>
            </w:pPr>
            <w:r>
              <w:t xml:space="preserve">99.2% (46,802)</w:t>
            </w:r>
          </w:p>
        </w:tc>
        <w:tc>
          <w:tcPr/>
          <w:p>
            <w:pPr>
              <w:pStyle w:val="Compact"/>
              <w:jc w:val="left"/>
            </w:pPr>
            <w:r>
              <w:t xml:space="preserve">97.6% (222,675)</w:t>
            </w:r>
          </w:p>
        </w:tc>
        <w:tc>
          <w:tcPr/>
          <w:p>
            <w:pPr>
              <w:pStyle w:val="Compact"/>
              <w:jc w:val="left"/>
            </w:pPr>
            <w:r>
              <w:t xml:space="preserve">96.8% (75,190)</w:t>
            </w:r>
          </w:p>
        </w:tc>
        <w:tc>
          <w:tcPr/>
          <w:p>
            <w:pPr>
              <w:pStyle w:val="Compact"/>
              <w:jc w:val="left"/>
            </w:pPr>
            <w:r>
              <w:t xml:space="preserve">95.5% (36,153)</w:t>
            </w:r>
          </w:p>
        </w:tc>
        <w:tc>
          <w:tcPr/>
          <w:p>
            <w:pPr>
              <w:pStyle w:val="Compact"/>
              <w:jc w:val="left"/>
            </w:pPr>
            <w:r>
              <w:t xml:space="preserve">96.2% (11,064)</w:t>
            </w:r>
          </w:p>
        </w:tc>
        <w:tc>
          <w:tcPr/>
          <w:p>
            <w:pPr>
              <w:pStyle w:val="Compact"/>
              <w:jc w:val="left"/>
            </w:pPr>
            <w:r>
              <w:t xml:space="preserve">97.1% (182,237)</w:t>
            </w:r>
          </w:p>
        </w:tc>
        <w:tc>
          <w:tcPr/>
          <w:p>
            <w:pPr>
              <w:pStyle w:val="Compact"/>
            </w:pPr>
          </w:p>
        </w:tc>
      </w:tr>
      <w:tr>
        <w:tc>
          <w:tcPr/>
          <w:p>
            <w:pPr>
              <w:pStyle w:val="Compact"/>
              <w:jc w:val="left"/>
            </w:pPr>
            <w:r>
              <w:t xml:space="preserve"> Yes</w:t>
            </w:r>
          </w:p>
        </w:tc>
        <w:tc>
          <w:tcPr/>
          <w:p>
            <w:pPr>
              <w:pStyle w:val="Compact"/>
              <w:jc w:val="left"/>
            </w:pPr>
            <w:r>
              <w:t xml:space="preserve">3.0% (26,874)</w:t>
            </w:r>
          </w:p>
        </w:tc>
        <w:tc>
          <w:tcPr/>
          <w:p>
            <w:pPr>
              <w:pStyle w:val="Compact"/>
              <w:jc w:val="left"/>
            </w:pPr>
            <w:r>
              <w:t xml:space="preserve">3.7% (8,110)</w:t>
            </w:r>
          </w:p>
        </w:tc>
        <w:tc>
          <w:tcPr/>
          <w:p>
            <w:pPr>
              <w:pStyle w:val="Compact"/>
              <w:jc w:val="left"/>
            </w:pPr>
            <w:r>
              <w:t xml:space="preserve">3.8% (2,636)</w:t>
            </w:r>
          </w:p>
        </w:tc>
        <w:tc>
          <w:tcPr/>
          <w:p>
            <w:pPr>
              <w:pStyle w:val="Compact"/>
              <w:jc w:val="left"/>
            </w:pPr>
            <w:r>
              <w:t xml:space="preserve">0.8% (394)</w:t>
            </w:r>
          </w:p>
        </w:tc>
        <w:tc>
          <w:tcPr/>
          <w:p>
            <w:pPr>
              <w:pStyle w:val="Compact"/>
              <w:jc w:val="left"/>
            </w:pPr>
            <w:r>
              <w:t xml:space="preserve">2.4% (5,501)</w:t>
            </w:r>
          </w:p>
        </w:tc>
        <w:tc>
          <w:tcPr/>
          <w:p>
            <w:pPr>
              <w:pStyle w:val="Compact"/>
              <w:jc w:val="left"/>
            </w:pPr>
            <w:r>
              <w:t xml:space="preserve">3.2% (2,528)</w:t>
            </w:r>
          </w:p>
        </w:tc>
        <w:tc>
          <w:tcPr/>
          <w:p>
            <w:pPr>
              <w:pStyle w:val="Compact"/>
              <w:jc w:val="left"/>
            </w:pPr>
            <w:r>
              <w:t xml:space="preserve">4.5% (1,701)</w:t>
            </w:r>
          </w:p>
        </w:tc>
        <w:tc>
          <w:tcPr/>
          <w:p>
            <w:pPr>
              <w:pStyle w:val="Compact"/>
              <w:jc w:val="left"/>
            </w:pPr>
            <w:r>
              <w:t xml:space="preserve">3.8% (456)</w:t>
            </w:r>
          </w:p>
        </w:tc>
        <w:tc>
          <w:tcPr/>
          <w:p>
            <w:pPr>
              <w:pStyle w:val="Compact"/>
              <w:jc w:val="left"/>
            </w:pPr>
            <w:r>
              <w:t xml:space="preserve">2.9% (5,548)</w:t>
            </w:r>
          </w:p>
        </w:tc>
        <w:tc>
          <w:tcPr/>
          <w:p>
            <w:pPr>
              <w:pStyle w:val="Compact"/>
            </w:pPr>
          </w:p>
        </w:tc>
      </w:tr>
      <w:tr>
        <w:tc>
          <w:tcPr/>
          <w:p>
            <w:pPr>
              <w:pStyle w:val="Compact"/>
              <w:jc w:val="left"/>
            </w:pPr>
            <w:r>
              <w:t xml:space="preserve">Solid tumour without metastasis,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0.237</w:t>
            </w:r>
          </w:p>
        </w:tc>
      </w:tr>
      <w:tr>
        <w:tc>
          <w:tcPr/>
          <w:p>
            <w:pPr>
              <w:pStyle w:val="Compact"/>
              <w:jc w:val="left"/>
            </w:pPr>
            <w:r>
              <w:t xml:space="preserve"> No</w:t>
            </w:r>
          </w:p>
        </w:tc>
        <w:tc>
          <w:tcPr/>
          <w:p>
            <w:pPr>
              <w:pStyle w:val="Compact"/>
              <w:jc w:val="left"/>
            </w:pPr>
            <w:r>
              <w:t xml:space="preserve">94.2% (819,776)</w:t>
            </w:r>
          </w:p>
        </w:tc>
        <w:tc>
          <w:tcPr/>
          <w:p>
            <w:pPr>
              <w:pStyle w:val="Compact"/>
              <w:jc w:val="left"/>
            </w:pPr>
            <w:r>
              <w:t xml:space="preserve">93.2% (198,041)</w:t>
            </w:r>
          </w:p>
        </w:tc>
        <w:tc>
          <w:tcPr/>
          <w:p>
            <w:pPr>
              <w:pStyle w:val="Compact"/>
              <w:jc w:val="left"/>
            </w:pPr>
            <w:r>
              <w:t xml:space="preserve">91.6% (61,732)</w:t>
            </w:r>
          </w:p>
        </w:tc>
        <w:tc>
          <w:tcPr/>
          <w:p>
            <w:pPr>
              <w:pStyle w:val="Compact"/>
              <w:jc w:val="left"/>
            </w:pPr>
            <w:r>
              <w:t xml:space="preserve">98.0% (46,243)</w:t>
            </w:r>
          </w:p>
        </w:tc>
        <w:tc>
          <w:tcPr/>
          <w:p>
            <w:pPr>
              <w:pStyle w:val="Compact"/>
              <w:jc w:val="left"/>
            </w:pPr>
            <w:r>
              <w:t xml:space="preserve">95.0% (216,749)</w:t>
            </w:r>
          </w:p>
        </w:tc>
        <w:tc>
          <w:tcPr/>
          <w:p>
            <w:pPr>
              <w:pStyle w:val="Compact"/>
              <w:jc w:val="left"/>
            </w:pPr>
            <w:r>
              <w:t xml:space="preserve">94.4% (73,327)</w:t>
            </w:r>
          </w:p>
        </w:tc>
        <w:tc>
          <w:tcPr/>
          <w:p>
            <w:pPr>
              <w:pStyle w:val="Compact"/>
              <w:jc w:val="left"/>
            </w:pPr>
            <w:r>
              <w:t xml:space="preserve">92.5% (35,032)</w:t>
            </w:r>
          </w:p>
        </w:tc>
        <w:tc>
          <w:tcPr/>
          <w:p>
            <w:pPr>
              <w:pStyle w:val="Compact"/>
              <w:jc w:val="left"/>
            </w:pPr>
            <w:r>
              <w:t xml:space="preserve">92.4% (10,641)</w:t>
            </w:r>
          </w:p>
        </w:tc>
        <w:tc>
          <w:tcPr/>
          <w:p>
            <w:pPr>
              <w:pStyle w:val="Compact"/>
              <w:jc w:val="left"/>
            </w:pPr>
            <w:r>
              <w:t xml:space="preserve">94.8% (178,011)</w:t>
            </w:r>
          </w:p>
        </w:tc>
        <w:tc>
          <w:tcPr/>
          <w:p>
            <w:pPr>
              <w:pStyle w:val="Compact"/>
            </w:pPr>
          </w:p>
        </w:tc>
      </w:tr>
      <w:tr>
        <w:tc>
          <w:tcPr/>
          <w:p>
            <w:pPr>
              <w:pStyle w:val="Compact"/>
              <w:jc w:val="left"/>
            </w:pPr>
            <w:r>
              <w:t xml:space="preserve"> Yes</w:t>
            </w:r>
          </w:p>
        </w:tc>
        <w:tc>
          <w:tcPr/>
          <w:p>
            <w:pPr>
              <w:pStyle w:val="Compact"/>
              <w:jc w:val="left"/>
            </w:pPr>
            <w:r>
              <w:t xml:space="preserve">5.8% (50,710)</w:t>
            </w:r>
          </w:p>
        </w:tc>
        <w:tc>
          <w:tcPr/>
          <w:p>
            <w:pPr>
              <w:pStyle w:val="Compact"/>
              <w:jc w:val="left"/>
            </w:pPr>
            <w:r>
              <w:t xml:space="preserve">6.8% (14,714)</w:t>
            </w:r>
          </w:p>
        </w:tc>
        <w:tc>
          <w:tcPr/>
          <w:p>
            <w:pPr>
              <w:pStyle w:val="Compact"/>
              <w:jc w:val="left"/>
            </w:pPr>
            <w:r>
              <w:t xml:space="preserve">8.4% (5,750)</w:t>
            </w:r>
          </w:p>
        </w:tc>
        <w:tc>
          <w:tcPr/>
          <w:p>
            <w:pPr>
              <w:pStyle w:val="Compact"/>
              <w:jc w:val="left"/>
            </w:pPr>
            <w:r>
              <w:t xml:space="preserve">2.0% (953)</w:t>
            </w:r>
          </w:p>
        </w:tc>
        <w:tc>
          <w:tcPr/>
          <w:p>
            <w:pPr>
              <w:pStyle w:val="Compact"/>
              <w:jc w:val="left"/>
            </w:pPr>
            <w:r>
              <w:t xml:space="preserve">5.0% (11,427)</w:t>
            </w:r>
          </w:p>
        </w:tc>
        <w:tc>
          <w:tcPr/>
          <w:p>
            <w:pPr>
              <w:pStyle w:val="Compact"/>
              <w:jc w:val="left"/>
            </w:pPr>
            <w:r>
              <w:t xml:space="preserve">5.6% (4,391)</w:t>
            </w:r>
          </w:p>
        </w:tc>
        <w:tc>
          <w:tcPr/>
          <w:p>
            <w:pPr>
              <w:pStyle w:val="Compact"/>
              <w:jc w:val="left"/>
            </w:pPr>
            <w:r>
              <w:t xml:space="preserve">7.5% (2,822)</w:t>
            </w:r>
          </w:p>
        </w:tc>
        <w:tc>
          <w:tcPr/>
          <w:p>
            <w:pPr>
              <w:pStyle w:val="Compact"/>
              <w:jc w:val="left"/>
            </w:pPr>
            <w:r>
              <w:t xml:space="preserve">7.6% (879)</w:t>
            </w:r>
          </w:p>
        </w:tc>
        <w:tc>
          <w:tcPr/>
          <w:p>
            <w:pPr>
              <w:pStyle w:val="Compact"/>
              <w:jc w:val="left"/>
            </w:pPr>
            <w:r>
              <w:t xml:space="preserve">5.2% (9,774)</w:t>
            </w:r>
          </w:p>
        </w:tc>
        <w:tc>
          <w:tcPr/>
          <w:p>
            <w:pPr>
              <w:pStyle w:val="Compact"/>
            </w:pPr>
          </w:p>
        </w:tc>
      </w:tr>
      <w:tr>
        <w:tc>
          <w:tcPr/>
          <w:p>
            <w:pPr>
              <w:pStyle w:val="Compact"/>
              <w:jc w:val="left"/>
            </w:pPr>
            <w:r>
              <w:t xml:space="preserve">Psychoses,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0.086</w:t>
            </w:r>
          </w:p>
        </w:tc>
      </w:tr>
      <w:tr>
        <w:tc>
          <w:tcPr/>
          <w:p>
            <w:pPr>
              <w:pStyle w:val="Compact"/>
              <w:jc w:val="left"/>
            </w:pPr>
            <w:r>
              <w:t xml:space="preserve"> No</w:t>
            </w:r>
          </w:p>
        </w:tc>
        <w:tc>
          <w:tcPr/>
          <w:p>
            <w:pPr>
              <w:pStyle w:val="Compact"/>
              <w:jc w:val="left"/>
            </w:pPr>
            <w:r>
              <w:t xml:space="preserve">98.2% (854,297)</w:t>
            </w:r>
          </w:p>
        </w:tc>
        <w:tc>
          <w:tcPr/>
          <w:p>
            <w:pPr>
              <w:pStyle w:val="Compact"/>
              <w:jc w:val="left"/>
            </w:pPr>
            <w:r>
              <w:t xml:space="preserve">97.9% (208,257)</w:t>
            </w:r>
          </w:p>
        </w:tc>
        <w:tc>
          <w:tcPr/>
          <w:p>
            <w:pPr>
              <w:pStyle w:val="Compact"/>
              <w:jc w:val="left"/>
            </w:pPr>
            <w:r>
              <w:t xml:space="preserve">99.0% (66,781)</w:t>
            </w:r>
          </w:p>
        </w:tc>
        <w:tc>
          <w:tcPr/>
          <w:p>
            <w:pPr>
              <w:pStyle w:val="Compact"/>
              <w:jc w:val="left"/>
            </w:pPr>
            <w:r>
              <w:t xml:space="preserve">97.9% (46,212)</w:t>
            </w:r>
          </w:p>
        </w:tc>
        <w:tc>
          <w:tcPr/>
          <w:p>
            <w:pPr>
              <w:pStyle w:val="Compact"/>
              <w:jc w:val="left"/>
            </w:pPr>
            <w:r>
              <w:t xml:space="preserve">98.8% (225,461)</w:t>
            </w:r>
          </w:p>
        </w:tc>
        <w:tc>
          <w:tcPr/>
          <w:p>
            <w:pPr>
              <w:pStyle w:val="Compact"/>
              <w:jc w:val="left"/>
            </w:pPr>
            <w:r>
              <w:t xml:space="preserve">97.8% (76,010)</w:t>
            </w:r>
          </w:p>
        </w:tc>
        <w:tc>
          <w:tcPr/>
          <w:p>
            <w:pPr>
              <w:pStyle w:val="Compact"/>
              <w:jc w:val="left"/>
            </w:pPr>
            <w:r>
              <w:t xml:space="preserve">97.3% (36,789)</w:t>
            </w:r>
          </w:p>
        </w:tc>
        <w:tc>
          <w:tcPr/>
          <w:p>
            <w:pPr>
              <w:pStyle w:val="Compact"/>
              <w:jc w:val="left"/>
            </w:pPr>
            <w:r>
              <w:t xml:space="preserve">98.7% (11,365)</w:t>
            </w:r>
          </w:p>
        </w:tc>
        <w:tc>
          <w:tcPr/>
          <w:p>
            <w:pPr>
              <w:pStyle w:val="Compact"/>
              <w:jc w:val="left"/>
            </w:pPr>
            <w:r>
              <w:t xml:space="preserve">97.7% (183,422)</w:t>
            </w:r>
          </w:p>
        </w:tc>
        <w:tc>
          <w:tcPr/>
          <w:p>
            <w:pPr>
              <w:pStyle w:val="Compact"/>
            </w:pPr>
          </w:p>
        </w:tc>
      </w:tr>
      <w:tr>
        <w:tc>
          <w:tcPr/>
          <w:p>
            <w:pPr>
              <w:pStyle w:val="Compact"/>
              <w:jc w:val="left"/>
            </w:pPr>
            <w:r>
              <w:t xml:space="preserve"> Yes</w:t>
            </w:r>
          </w:p>
        </w:tc>
        <w:tc>
          <w:tcPr/>
          <w:p>
            <w:pPr>
              <w:pStyle w:val="Compact"/>
              <w:jc w:val="left"/>
            </w:pPr>
            <w:r>
              <w:t xml:space="preserve">1.8% (16,189)</w:t>
            </w:r>
          </w:p>
        </w:tc>
        <w:tc>
          <w:tcPr/>
          <w:p>
            <w:pPr>
              <w:pStyle w:val="Compact"/>
              <w:jc w:val="left"/>
            </w:pPr>
            <w:r>
              <w:t xml:space="preserve">2.1% (4,498)</w:t>
            </w:r>
          </w:p>
        </w:tc>
        <w:tc>
          <w:tcPr/>
          <w:p>
            <w:pPr>
              <w:pStyle w:val="Compact"/>
              <w:jc w:val="left"/>
            </w:pPr>
            <w:r>
              <w:t xml:space="preserve">1.0% (701)</w:t>
            </w:r>
          </w:p>
        </w:tc>
        <w:tc>
          <w:tcPr/>
          <w:p>
            <w:pPr>
              <w:pStyle w:val="Compact"/>
              <w:jc w:val="left"/>
            </w:pPr>
            <w:r>
              <w:t xml:space="preserve">2.1% (984)</w:t>
            </w:r>
          </w:p>
        </w:tc>
        <w:tc>
          <w:tcPr/>
          <w:p>
            <w:pPr>
              <w:pStyle w:val="Compact"/>
              <w:jc w:val="left"/>
            </w:pPr>
            <w:r>
              <w:t xml:space="preserve">1.2% (2,715)</w:t>
            </w:r>
          </w:p>
        </w:tc>
        <w:tc>
          <w:tcPr/>
          <w:p>
            <w:pPr>
              <w:pStyle w:val="Compact"/>
              <w:jc w:val="left"/>
            </w:pPr>
            <w:r>
              <w:t xml:space="preserve">2.2% (1,708)</w:t>
            </w:r>
          </w:p>
        </w:tc>
        <w:tc>
          <w:tcPr/>
          <w:p>
            <w:pPr>
              <w:pStyle w:val="Compact"/>
              <w:jc w:val="left"/>
            </w:pPr>
            <w:r>
              <w:t xml:space="preserve">2.7% (1,065)</w:t>
            </w:r>
          </w:p>
        </w:tc>
        <w:tc>
          <w:tcPr/>
          <w:p>
            <w:pPr>
              <w:pStyle w:val="Compact"/>
              <w:jc w:val="left"/>
            </w:pPr>
            <w:r>
              <w:t xml:space="preserve">1.3% (155)</w:t>
            </w:r>
          </w:p>
        </w:tc>
        <w:tc>
          <w:tcPr/>
          <w:p>
            <w:pPr>
              <w:pStyle w:val="Compact"/>
              <w:jc w:val="left"/>
            </w:pPr>
            <w:r>
              <w:t xml:space="preserve">2.3% (4,363)</w:t>
            </w:r>
          </w:p>
        </w:tc>
        <w:tc>
          <w:tcPr/>
          <w:p>
            <w:pPr>
              <w:pStyle w:val="Compact"/>
            </w:pPr>
          </w:p>
        </w:tc>
      </w:tr>
      <w:tr>
        <w:tc>
          <w:tcPr/>
          <w:p>
            <w:pPr>
              <w:pStyle w:val="Compact"/>
              <w:jc w:val="left"/>
            </w:pPr>
            <w:r>
              <w:t xml:space="preserve">Depression,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0.100</w:t>
            </w:r>
          </w:p>
        </w:tc>
      </w:tr>
      <w:tr>
        <w:tc>
          <w:tcPr/>
          <w:p>
            <w:pPr>
              <w:pStyle w:val="Compact"/>
              <w:jc w:val="left"/>
            </w:pPr>
            <w:r>
              <w:t xml:space="preserve"> No</w:t>
            </w:r>
          </w:p>
        </w:tc>
        <w:tc>
          <w:tcPr/>
          <w:p>
            <w:pPr>
              <w:pStyle w:val="Compact"/>
              <w:jc w:val="left"/>
            </w:pPr>
            <w:r>
              <w:t xml:space="preserve">86.4% (755,363)</w:t>
            </w:r>
          </w:p>
        </w:tc>
        <w:tc>
          <w:tcPr/>
          <w:p>
            <w:pPr>
              <w:pStyle w:val="Compact"/>
              <w:jc w:val="left"/>
            </w:pPr>
            <w:r>
              <w:t xml:space="preserve">86.7% (185,293)</w:t>
            </w:r>
          </w:p>
        </w:tc>
        <w:tc>
          <w:tcPr/>
          <w:p>
            <w:pPr>
              <w:pStyle w:val="Compact"/>
              <w:jc w:val="left"/>
            </w:pPr>
            <w:r>
              <w:t xml:space="preserve">87.2% (59,123)</w:t>
            </w:r>
          </w:p>
        </w:tc>
        <w:tc>
          <w:tcPr/>
          <w:p>
            <w:pPr>
              <w:pStyle w:val="Compact"/>
              <w:jc w:val="left"/>
            </w:pPr>
            <w:r>
              <w:t xml:space="preserve">88.4% (41,855)</w:t>
            </w:r>
          </w:p>
        </w:tc>
        <w:tc>
          <w:tcPr/>
          <w:p>
            <w:pPr>
              <w:pStyle w:val="Compact"/>
              <w:jc w:val="left"/>
            </w:pPr>
            <w:r>
              <w:t xml:space="preserve">87.4% (200,018)</w:t>
            </w:r>
          </w:p>
        </w:tc>
        <w:tc>
          <w:tcPr/>
          <w:p>
            <w:pPr>
              <w:pStyle w:val="Compact"/>
              <w:jc w:val="left"/>
            </w:pPr>
            <w:r>
              <w:t xml:space="preserve">85.5% (66,715)</w:t>
            </w:r>
          </w:p>
        </w:tc>
        <w:tc>
          <w:tcPr/>
          <w:p>
            <w:pPr>
              <w:pStyle w:val="Compact"/>
              <w:jc w:val="left"/>
            </w:pPr>
            <w:r>
              <w:t xml:space="preserve">83.1% (31,587)</w:t>
            </w:r>
          </w:p>
        </w:tc>
        <w:tc>
          <w:tcPr/>
          <w:p>
            <w:pPr>
              <w:pStyle w:val="Compact"/>
              <w:jc w:val="left"/>
            </w:pPr>
            <w:r>
              <w:t xml:space="preserve">86.0% (9,949)</w:t>
            </w:r>
          </w:p>
        </w:tc>
        <w:tc>
          <w:tcPr/>
          <w:p>
            <w:pPr>
              <w:pStyle w:val="Compact"/>
              <w:jc w:val="left"/>
            </w:pPr>
            <w:r>
              <w:t xml:space="preserve">85.3% (160,823)</w:t>
            </w:r>
          </w:p>
        </w:tc>
        <w:tc>
          <w:tcPr/>
          <w:p>
            <w:pPr>
              <w:pStyle w:val="Compact"/>
            </w:pPr>
          </w:p>
        </w:tc>
      </w:tr>
      <w:tr>
        <w:tc>
          <w:tcPr/>
          <w:p>
            <w:pPr>
              <w:pStyle w:val="Compact"/>
              <w:jc w:val="left"/>
            </w:pPr>
            <w:r>
              <w:t xml:space="preserve"> Yes</w:t>
            </w:r>
          </w:p>
        </w:tc>
        <w:tc>
          <w:tcPr/>
          <w:p>
            <w:pPr>
              <w:pStyle w:val="Compact"/>
              <w:jc w:val="left"/>
            </w:pPr>
            <w:r>
              <w:t xml:space="preserve">13.6% (115,123)</w:t>
            </w:r>
          </w:p>
        </w:tc>
        <w:tc>
          <w:tcPr/>
          <w:p>
            <w:pPr>
              <w:pStyle w:val="Compact"/>
              <w:jc w:val="left"/>
            </w:pPr>
            <w:r>
              <w:t xml:space="preserve">13.3% (27,462)</w:t>
            </w:r>
          </w:p>
        </w:tc>
        <w:tc>
          <w:tcPr/>
          <w:p>
            <w:pPr>
              <w:pStyle w:val="Compact"/>
              <w:jc w:val="left"/>
            </w:pPr>
            <w:r>
              <w:t xml:space="preserve">12.8% (8,359)</w:t>
            </w:r>
          </w:p>
        </w:tc>
        <w:tc>
          <w:tcPr/>
          <w:p>
            <w:pPr>
              <w:pStyle w:val="Compact"/>
              <w:jc w:val="left"/>
            </w:pPr>
            <w:r>
              <w:t xml:space="preserve">11.6% (5,341)</w:t>
            </w:r>
          </w:p>
        </w:tc>
        <w:tc>
          <w:tcPr/>
          <w:p>
            <w:pPr>
              <w:pStyle w:val="Compact"/>
              <w:jc w:val="left"/>
            </w:pPr>
            <w:r>
              <w:t xml:space="preserve">12.6% (28,158)</w:t>
            </w:r>
          </w:p>
        </w:tc>
        <w:tc>
          <w:tcPr/>
          <w:p>
            <w:pPr>
              <w:pStyle w:val="Compact"/>
              <w:jc w:val="left"/>
            </w:pPr>
            <w:r>
              <w:t xml:space="preserve">14.5% (11,003)</w:t>
            </w:r>
          </w:p>
        </w:tc>
        <w:tc>
          <w:tcPr/>
          <w:p>
            <w:pPr>
              <w:pStyle w:val="Compact"/>
              <w:jc w:val="left"/>
            </w:pPr>
            <w:r>
              <w:t xml:space="preserve">16.9% (6,267)</w:t>
            </w:r>
          </w:p>
        </w:tc>
        <w:tc>
          <w:tcPr/>
          <w:p>
            <w:pPr>
              <w:pStyle w:val="Compact"/>
              <w:jc w:val="left"/>
            </w:pPr>
            <w:r>
              <w:t xml:space="preserve">14.0% (1,571)</w:t>
            </w:r>
          </w:p>
        </w:tc>
        <w:tc>
          <w:tcPr/>
          <w:p>
            <w:pPr>
              <w:pStyle w:val="Compact"/>
              <w:jc w:val="left"/>
            </w:pPr>
            <w:r>
              <w:t xml:space="preserve">14.7% (26,962)</w:t>
            </w:r>
          </w:p>
        </w:tc>
        <w:tc>
          <w:tcPr/>
          <w:p>
            <w:pPr>
              <w:pStyle w:val="Compact"/>
            </w:pPr>
          </w:p>
        </w:tc>
      </w:tr>
      <w:tr>
        <w:tc>
          <w:tcPr/>
          <w:p>
            <w:pPr>
              <w:pStyle w:val="Compact"/>
              <w:jc w:val="left"/>
            </w:pPr>
            <w:r>
              <w:t xml:space="preserve">Alcohol abuse,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0.146</w:t>
            </w:r>
          </w:p>
        </w:tc>
      </w:tr>
      <w:tr>
        <w:tc>
          <w:tcPr/>
          <w:p>
            <w:pPr>
              <w:pStyle w:val="Compact"/>
              <w:jc w:val="left"/>
            </w:pPr>
            <w:r>
              <w:t xml:space="preserve"> No</w:t>
            </w:r>
          </w:p>
        </w:tc>
        <w:tc>
          <w:tcPr/>
          <w:p>
            <w:pPr>
              <w:pStyle w:val="Compact"/>
              <w:jc w:val="left"/>
            </w:pPr>
            <w:r>
              <w:t xml:space="preserve">94.1% (819,125)</w:t>
            </w:r>
          </w:p>
        </w:tc>
        <w:tc>
          <w:tcPr/>
          <w:p>
            <w:pPr>
              <w:pStyle w:val="Compact"/>
              <w:jc w:val="left"/>
            </w:pPr>
            <w:r>
              <w:t xml:space="preserve">94.7% (201,666)</w:t>
            </w:r>
          </w:p>
        </w:tc>
        <w:tc>
          <w:tcPr/>
          <w:p>
            <w:pPr>
              <w:pStyle w:val="Compact"/>
              <w:jc w:val="left"/>
            </w:pPr>
            <w:r>
              <w:t xml:space="preserve">92.4% (62,391)</w:t>
            </w:r>
          </w:p>
        </w:tc>
        <w:tc>
          <w:tcPr/>
          <w:p>
            <w:pPr>
              <w:pStyle w:val="Compact"/>
              <w:jc w:val="left"/>
            </w:pPr>
            <w:r>
              <w:t xml:space="preserve">94.1% (44,454)</w:t>
            </w:r>
          </w:p>
        </w:tc>
        <w:tc>
          <w:tcPr/>
          <w:p>
            <w:pPr>
              <w:pStyle w:val="Compact"/>
              <w:jc w:val="left"/>
            </w:pPr>
            <w:r>
              <w:t xml:space="preserve">95.0% (216,766)</w:t>
            </w:r>
          </w:p>
        </w:tc>
        <w:tc>
          <w:tcPr/>
          <w:p>
            <w:pPr>
              <w:pStyle w:val="Compact"/>
              <w:jc w:val="left"/>
            </w:pPr>
            <w:r>
              <w:t xml:space="preserve">93.8% (72,943)</w:t>
            </w:r>
          </w:p>
        </w:tc>
        <w:tc>
          <w:tcPr/>
          <w:p>
            <w:pPr>
              <w:pStyle w:val="Compact"/>
              <w:jc w:val="left"/>
            </w:pPr>
            <w:r>
              <w:t xml:space="preserve">90.9% (34,452)</w:t>
            </w:r>
          </w:p>
        </w:tc>
        <w:tc>
          <w:tcPr/>
          <w:p>
            <w:pPr>
              <w:pStyle w:val="Compact"/>
              <w:jc w:val="left"/>
            </w:pPr>
            <w:r>
              <w:t xml:space="preserve">95.5% (11,007)</w:t>
            </w:r>
          </w:p>
        </w:tc>
        <w:tc>
          <w:tcPr/>
          <w:p>
            <w:pPr>
              <w:pStyle w:val="Compact"/>
              <w:jc w:val="left"/>
            </w:pPr>
            <w:r>
              <w:t xml:space="preserve">93.5% (175,446)</w:t>
            </w:r>
          </w:p>
        </w:tc>
        <w:tc>
          <w:tcPr/>
          <w:p>
            <w:pPr>
              <w:pStyle w:val="Compact"/>
            </w:pPr>
          </w:p>
        </w:tc>
      </w:tr>
      <w:tr>
        <w:tc>
          <w:tcPr/>
          <w:p>
            <w:pPr>
              <w:pStyle w:val="Compact"/>
              <w:jc w:val="left"/>
            </w:pPr>
            <w:r>
              <w:t xml:space="preserve"> Yes</w:t>
            </w:r>
          </w:p>
        </w:tc>
        <w:tc>
          <w:tcPr/>
          <w:p>
            <w:pPr>
              <w:pStyle w:val="Compact"/>
              <w:jc w:val="left"/>
            </w:pPr>
            <w:r>
              <w:t xml:space="preserve">5.9% (51,361)</w:t>
            </w:r>
          </w:p>
        </w:tc>
        <w:tc>
          <w:tcPr/>
          <w:p>
            <w:pPr>
              <w:pStyle w:val="Compact"/>
              <w:jc w:val="left"/>
            </w:pPr>
            <w:r>
              <w:t xml:space="preserve">5.3% (11,089)</w:t>
            </w:r>
          </w:p>
        </w:tc>
        <w:tc>
          <w:tcPr/>
          <w:p>
            <w:pPr>
              <w:pStyle w:val="Compact"/>
              <w:jc w:val="left"/>
            </w:pPr>
            <w:r>
              <w:t xml:space="preserve">7.6% (5,091)</w:t>
            </w:r>
          </w:p>
        </w:tc>
        <w:tc>
          <w:tcPr/>
          <w:p>
            <w:pPr>
              <w:pStyle w:val="Compact"/>
              <w:jc w:val="left"/>
            </w:pPr>
            <w:r>
              <w:t xml:space="preserve">5.9% (2,742)</w:t>
            </w:r>
          </w:p>
        </w:tc>
        <w:tc>
          <w:tcPr/>
          <w:p>
            <w:pPr>
              <w:pStyle w:val="Compact"/>
              <w:jc w:val="left"/>
            </w:pPr>
            <w:r>
              <w:t xml:space="preserve">5.0% (11,410)</w:t>
            </w:r>
          </w:p>
        </w:tc>
        <w:tc>
          <w:tcPr/>
          <w:p>
            <w:pPr>
              <w:pStyle w:val="Compact"/>
              <w:jc w:val="left"/>
            </w:pPr>
            <w:r>
              <w:t xml:space="preserve">6.2% (4,775)</w:t>
            </w:r>
          </w:p>
        </w:tc>
        <w:tc>
          <w:tcPr/>
          <w:p>
            <w:pPr>
              <w:pStyle w:val="Compact"/>
              <w:jc w:val="left"/>
            </w:pPr>
            <w:r>
              <w:t xml:space="preserve">9.1% (3,402)</w:t>
            </w:r>
          </w:p>
        </w:tc>
        <w:tc>
          <w:tcPr/>
          <w:p>
            <w:pPr>
              <w:pStyle w:val="Compact"/>
              <w:jc w:val="left"/>
            </w:pPr>
            <w:r>
              <w:t xml:space="preserve">4.5% (513)</w:t>
            </w:r>
          </w:p>
        </w:tc>
        <w:tc>
          <w:tcPr/>
          <w:p>
            <w:pPr>
              <w:pStyle w:val="Compact"/>
              <w:jc w:val="left"/>
            </w:pPr>
            <w:r>
              <w:t xml:space="preserve">6.5% (12,339)</w:t>
            </w:r>
          </w:p>
        </w:tc>
        <w:tc>
          <w:tcPr/>
          <w:p>
            <w:pPr>
              <w:pStyle w:val="Compact"/>
            </w:pPr>
          </w:p>
        </w:tc>
      </w:tr>
      <w:tr>
        <w:tc>
          <w:tcPr/>
          <w:p>
            <w:pPr>
              <w:pStyle w:val="Compact"/>
              <w:jc w:val="left"/>
            </w:pPr>
            <w:r>
              <w:t xml:space="preserve">Drug abuse,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0.238</w:t>
            </w:r>
          </w:p>
        </w:tc>
      </w:tr>
      <w:tr>
        <w:tc>
          <w:tcPr/>
          <w:p>
            <w:pPr>
              <w:pStyle w:val="Compact"/>
              <w:jc w:val="left"/>
            </w:pPr>
            <w:r>
              <w:t xml:space="preserve"> No</w:t>
            </w:r>
          </w:p>
        </w:tc>
        <w:tc>
          <w:tcPr/>
          <w:p>
            <w:pPr>
              <w:pStyle w:val="Compact"/>
              <w:jc w:val="left"/>
            </w:pPr>
            <w:r>
              <w:t xml:space="preserve">92.5% (804,073)</w:t>
            </w:r>
          </w:p>
        </w:tc>
        <w:tc>
          <w:tcPr/>
          <w:p>
            <w:pPr>
              <w:pStyle w:val="Compact"/>
              <w:jc w:val="left"/>
            </w:pPr>
            <w:r>
              <w:t xml:space="preserve">93.6% (198,944)</w:t>
            </w:r>
          </w:p>
        </w:tc>
        <w:tc>
          <w:tcPr/>
          <w:p>
            <w:pPr>
              <w:pStyle w:val="Compact"/>
              <w:jc w:val="left"/>
            </w:pPr>
            <w:r>
              <w:t xml:space="preserve">95.8% (64,607)</w:t>
            </w:r>
          </w:p>
        </w:tc>
        <w:tc>
          <w:tcPr/>
          <w:p>
            <w:pPr>
              <w:pStyle w:val="Compact"/>
              <w:jc w:val="left"/>
            </w:pPr>
            <w:r>
              <w:t xml:space="preserve">86.5% (40,802)</w:t>
            </w:r>
          </w:p>
        </w:tc>
        <w:tc>
          <w:tcPr/>
          <w:p>
            <w:pPr>
              <w:pStyle w:val="Compact"/>
              <w:jc w:val="left"/>
            </w:pPr>
            <w:r>
              <w:t xml:space="preserve">95.1% (216,384)</w:t>
            </w:r>
          </w:p>
        </w:tc>
        <w:tc>
          <w:tcPr/>
          <w:p>
            <w:pPr>
              <w:pStyle w:val="Compact"/>
              <w:jc w:val="left"/>
            </w:pPr>
            <w:r>
              <w:t xml:space="preserve">90.2% (69,971)</w:t>
            </w:r>
          </w:p>
        </w:tc>
        <w:tc>
          <w:tcPr/>
          <w:p>
            <w:pPr>
              <w:pStyle w:val="Compact"/>
              <w:jc w:val="left"/>
            </w:pPr>
            <w:r>
              <w:t xml:space="preserve">90.7% (34,329)</w:t>
            </w:r>
          </w:p>
        </w:tc>
        <w:tc>
          <w:tcPr/>
          <w:p>
            <w:pPr>
              <w:pStyle w:val="Compact"/>
              <w:jc w:val="left"/>
            </w:pPr>
            <w:r>
              <w:t xml:space="preserve">94.3% (10,849)</w:t>
            </w:r>
          </w:p>
        </w:tc>
        <w:tc>
          <w:tcPr/>
          <w:p>
            <w:pPr>
              <w:pStyle w:val="Compact"/>
              <w:jc w:val="left"/>
            </w:pPr>
            <w:r>
              <w:t xml:space="preserve">89.9% (168,187)</w:t>
            </w:r>
          </w:p>
        </w:tc>
        <w:tc>
          <w:tcPr/>
          <w:p>
            <w:pPr>
              <w:pStyle w:val="Compact"/>
            </w:pPr>
          </w:p>
        </w:tc>
      </w:tr>
      <w:tr>
        <w:tc>
          <w:tcPr/>
          <w:p>
            <w:pPr>
              <w:pStyle w:val="Compact"/>
              <w:jc w:val="left"/>
            </w:pPr>
            <w:r>
              <w:t xml:space="preserve"> Yes</w:t>
            </w:r>
          </w:p>
        </w:tc>
        <w:tc>
          <w:tcPr/>
          <w:p>
            <w:pPr>
              <w:pStyle w:val="Compact"/>
              <w:jc w:val="left"/>
            </w:pPr>
            <w:r>
              <w:t xml:space="preserve">7.5% (66,413)</w:t>
            </w:r>
          </w:p>
        </w:tc>
        <w:tc>
          <w:tcPr/>
          <w:p>
            <w:pPr>
              <w:pStyle w:val="Compact"/>
              <w:jc w:val="left"/>
            </w:pPr>
            <w:r>
              <w:t xml:space="preserve">6.4% (13,811)</w:t>
            </w:r>
          </w:p>
        </w:tc>
        <w:tc>
          <w:tcPr/>
          <w:p>
            <w:pPr>
              <w:pStyle w:val="Compact"/>
              <w:jc w:val="left"/>
            </w:pPr>
            <w:r>
              <w:t xml:space="preserve">4.2% (2,875)</w:t>
            </w:r>
          </w:p>
        </w:tc>
        <w:tc>
          <w:tcPr/>
          <w:p>
            <w:pPr>
              <w:pStyle w:val="Compact"/>
              <w:jc w:val="left"/>
            </w:pPr>
            <w:r>
              <w:t xml:space="preserve">13.5% (6,394)</w:t>
            </w:r>
          </w:p>
        </w:tc>
        <w:tc>
          <w:tcPr/>
          <w:p>
            <w:pPr>
              <w:pStyle w:val="Compact"/>
              <w:jc w:val="left"/>
            </w:pPr>
            <w:r>
              <w:t xml:space="preserve">4.9% (11,792)</w:t>
            </w:r>
          </w:p>
        </w:tc>
        <w:tc>
          <w:tcPr/>
          <w:p>
            <w:pPr>
              <w:pStyle w:val="Compact"/>
              <w:jc w:val="left"/>
            </w:pPr>
            <w:r>
              <w:t xml:space="preserve">9.8% (7,747)</w:t>
            </w:r>
          </w:p>
        </w:tc>
        <w:tc>
          <w:tcPr/>
          <w:p>
            <w:pPr>
              <w:pStyle w:val="Compact"/>
              <w:jc w:val="left"/>
            </w:pPr>
            <w:r>
              <w:t xml:space="preserve">9.3% (3,525)</w:t>
            </w:r>
          </w:p>
        </w:tc>
        <w:tc>
          <w:tcPr/>
          <w:p>
            <w:pPr>
              <w:pStyle w:val="Compact"/>
              <w:jc w:val="left"/>
            </w:pPr>
            <w:r>
              <w:t xml:space="preserve">5.7% (671)</w:t>
            </w:r>
          </w:p>
        </w:tc>
        <w:tc>
          <w:tcPr/>
          <w:p>
            <w:pPr>
              <w:pStyle w:val="Compact"/>
              <w:jc w:val="left"/>
            </w:pPr>
            <w:r>
              <w:t xml:space="preserve">10.1% (19,598)</w:t>
            </w:r>
          </w:p>
        </w:tc>
        <w:tc>
          <w:tcPr/>
          <w:p>
            <w:pPr>
              <w:pStyle w:val="Compact"/>
            </w:pPr>
          </w:p>
        </w:tc>
      </w:tr>
      <w:tr>
        <w:tc>
          <w:tcPr/>
          <w:p>
            <w:pPr>
              <w:pStyle w:val="Compact"/>
              <w:jc w:val="left"/>
            </w:pPr>
            <w:r>
              <w:t xml:space="preserve">Cardiac arrhythmias (excluded from the model by pre-specification),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1.560</w:t>
            </w:r>
          </w:p>
        </w:tc>
      </w:tr>
      <w:tr>
        <w:tc>
          <w:tcPr/>
          <w:p>
            <w:pPr>
              <w:pStyle w:val="Compact"/>
              <w:jc w:val="left"/>
            </w:pPr>
            <w:r>
              <w:t xml:space="preserve"> No</w:t>
            </w:r>
          </w:p>
        </w:tc>
        <w:tc>
          <w:tcPr/>
          <w:p>
            <w:pPr>
              <w:pStyle w:val="Compact"/>
              <w:jc w:val="left"/>
            </w:pPr>
            <w:r>
              <w:t xml:space="preserve">52.2% (455,275)</w:t>
            </w:r>
          </w:p>
        </w:tc>
        <w:tc>
          <w:tcPr/>
          <w:p>
            <w:pPr>
              <w:pStyle w:val="Compact"/>
              <w:jc w:val="left"/>
            </w:pPr>
            <w:r>
              <w:t xml:space="preserve">54.9% (117,199)</w:t>
            </w:r>
          </w:p>
        </w:tc>
        <w:tc>
          <w:tcPr/>
          <w:p>
            <w:pPr>
              <w:pStyle w:val="Compact"/>
              <w:jc w:val="left"/>
            </w:pPr>
            <w:r>
              <w:t xml:space="preserve">50.7% (34,395)</w:t>
            </w:r>
          </w:p>
        </w:tc>
        <w:tc>
          <w:tcPr/>
          <w:p>
            <w:pPr>
              <w:pStyle w:val="Compact"/>
              <w:jc w:val="left"/>
            </w:pPr>
            <w:r>
              <w:t xml:space="preserve">72.4% (34,162)</w:t>
            </w:r>
          </w:p>
        </w:tc>
        <w:tc>
          <w:tcPr/>
          <w:p>
            <w:pPr>
              <w:pStyle w:val="Compact"/>
              <w:jc w:val="left"/>
            </w:pPr>
            <w:r>
              <w:t xml:space="preserve">0.0% (0)</w:t>
            </w:r>
          </w:p>
        </w:tc>
        <w:tc>
          <w:tcPr/>
          <w:p>
            <w:pPr>
              <w:pStyle w:val="Compact"/>
              <w:jc w:val="left"/>
            </w:pPr>
            <w:r>
              <w:t xml:space="preserve">82.9% (64,612)</w:t>
            </w:r>
          </w:p>
        </w:tc>
        <w:tc>
          <w:tcPr/>
          <w:p>
            <w:pPr>
              <w:pStyle w:val="Compact"/>
              <w:jc w:val="left"/>
            </w:pPr>
            <w:r>
              <w:t xml:space="preserve">83.5% (31,661)</w:t>
            </w:r>
          </w:p>
        </w:tc>
        <w:tc>
          <w:tcPr/>
          <w:p>
            <w:pPr>
              <w:pStyle w:val="Compact"/>
              <w:jc w:val="left"/>
            </w:pPr>
            <w:r>
              <w:t xml:space="preserve">71.1% (8,215)</w:t>
            </w:r>
          </w:p>
        </w:tc>
        <w:tc>
          <w:tcPr/>
          <w:p>
            <w:pPr>
              <w:pStyle w:val="Compact"/>
              <w:jc w:val="left"/>
            </w:pPr>
            <w:r>
              <w:t xml:space="preserve">87.8% (165,031)</w:t>
            </w:r>
          </w:p>
        </w:tc>
        <w:tc>
          <w:tcPr/>
          <w:p>
            <w:pPr>
              <w:pStyle w:val="Compact"/>
            </w:pPr>
          </w:p>
        </w:tc>
      </w:tr>
      <w:tr>
        <w:tc>
          <w:tcPr/>
          <w:p>
            <w:pPr>
              <w:pStyle w:val="Compact"/>
              <w:jc w:val="left"/>
            </w:pPr>
            <w:r>
              <w:t xml:space="preserve"> Yes</w:t>
            </w:r>
          </w:p>
        </w:tc>
        <w:tc>
          <w:tcPr/>
          <w:p>
            <w:pPr>
              <w:pStyle w:val="Compact"/>
              <w:jc w:val="left"/>
            </w:pPr>
            <w:r>
              <w:t xml:space="preserve">47.8% (415,211)</w:t>
            </w:r>
          </w:p>
        </w:tc>
        <w:tc>
          <w:tcPr/>
          <w:p>
            <w:pPr>
              <w:pStyle w:val="Compact"/>
              <w:jc w:val="left"/>
            </w:pPr>
            <w:r>
              <w:t xml:space="preserve">45.1% (95,556)</w:t>
            </w:r>
          </w:p>
        </w:tc>
        <w:tc>
          <w:tcPr/>
          <w:p>
            <w:pPr>
              <w:pStyle w:val="Compact"/>
              <w:jc w:val="left"/>
            </w:pPr>
            <w:r>
              <w:t xml:space="preserve">49.3% (33,087)</w:t>
            </w:r>
          </w:p>
        </w:tc>
        <w:tc>
          <w:tcPr/>
          <w:p>
            <w:pPr>
              <w:pStyle w:val="Compact"/>
              <w:jc w:val="left"/>
            </w:pPr>
            <w:r>
              <w:t xml:space="preserve">27.6% (13,034)</w:t>
            </w:r>
          </w:p>
        </w:tc>
        <w:tc>
          <w:tcPr/>
          <w:p>
            <w:pPr>
              <w:pStyle w:val="Compact"/>
              <w:jc w:val="left"/>
            </w:pPr>
            <w:r>
              <w:t xml:space="preserve">100.0% (228,176)</w:t>
            </w:r>
          </w:p>
        </w:tc>
        <w:tc>
          <w:tcPr/>
          <w:p>
            <w:pPr>
              <w:pStyle w:val="Compact"/>
              <w:jc w:val="left"/>
            </w:pPr>
            <w:r>
              <w:t xml:space="preserve">17.1% (13,106)</w:t>
            </w:r>
          </w:p>
        </w:tc>
        <w:tc>
          <w:tcPr/>
          <w:p>
            <w:pPr>
              <w:pStyle w:val="Compact"/>
              <w:jc w:val="left"/>
            </w:pPr>
            <w:r>
              <w:t xml:space="preserve">16.5% (6,193)</w:t>
            </w:r>
          </w:p>
        </w:tc>
        <w:tc>
          <w:tcPr/>
          <w:p>
            <w:pPr>
              <w:pStyle w:val="Compact"/>
              <w:jc w:val="left"/>
            </w:pPr>
            <w:r>
              <w:t xml:space="preserve">28.9% (3,305)</w:t>
            </w:r>
          </w:p>
        </w:tc>
        <w:tc>
          <w:tcPr/>
          <w:p>
            <w:pPr>
              <w:pStyle w:val="Compact"/>
              <w:jc w:val="left"/>
            </w:pPr>
            <w:r>
              <w:t xml:space="preserve">12.2% (22,754)</w:t>
            </w:r>
          </w:p>
        </w:tc>
        <w:tc>
          <w:tcPr/>
          <w:p>
            <w:pPr>
              <w:pStyle w:val="Compact"/>
            </w:pPr>
          </w:p>
        </w:tc>
      </w:tr>
      <w:tr>
        <w:tc>
          <w:tcPr/>
          <w:p>
            <w:pPr>
              <w:pStyle w:val="Compact"/>
              <w:jc w:val="left"/>
            </w:pPr>
            <w:r>
              <w:t xml:space="preserve">Fluid and electrolyte disorders (excluded from the model by pre-specification),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0.766</w:t>
            </w:r>
          </w:p>
        </w:tc>
      </w:tr>
      <w:tr>
        <w:tc>
          <w:tcPr/>
          <w:p>
            <w:pPr>
              <w:pStyle w:val="Compact"/>
              <w:jc w:val="left"/>
            </w:pPr>
            <w:r>
              <w:t xml:space="preserve"> No</w:t>
            </w:r>
          </w:p>
        </w:tc>
        <w:tc>
          <w:tcPr/>
          <w:p>
            <w:pPr>
              <w:pStyle w:val="Compact"/>
              <w:jc w:val="left"/>
            </w:pPr>
            <w:r>
              <w:t xml:space="preserve">44.6% (388,030)</w:t>
            </w:r>
          </w:p>
        </w:tc>
        <w:tc>
          <w:tcPr/>
          <w:p>
            <w:pPr>
              <w:pStyle w:val="Compact"/>
              <w:jc w:val="left"/>
            </w:pPr>
            <w:r>
              <w:t xml:space="preserve">26.4% (56,328)</w:t>
            </w:r>
          </w:p>
        </w:tc>
        <w:tc>
          <w:tcPr/>
          <w:p>
            <w:pPr>
              <w:pStyle w:val="Compact"/>
              <w:jc w:val="left"/>
            </w:pPr>
            <w:r>
              <w:t xml:space="preserve">42.6% (28,795)</w:t>
            </w:r>
          </w:p>
        </w:tc>
        <w:tc>
          <w:tcPr/>
          <w:p>
            <w:pPr>
              <w:pStyle w:val="Compact"/>
              <w:jc w:val="left"/>
            </w:pPr>
            <w:r>
              <w:t xml:space="preserve">51.4% (24,111)</w:t>
            </w:r>
          </w:p>
        </w:tc>
        <w:tc>
          <w:tcPr/>
          <w:p>
            <w:pPr>
              <w:pStyle w:val="Compact"/>
              <w:jc w:val="left"/>
            </w:pPr>
            <w:r>
              <w:t xml:space="preserve">53.1% (121,101)</w:t>
            </w:r>
          </w:p>
        </w:tc>
        <w:tc>
          <w:tcPr/>
          <w:p>
            <w:pPr>
              <w:pStyle w:val="Compact"/>
              <w:jc w:val="left"/>
            </w:pPr>
            <w:r>
              <w:t xml:space="preserve">43.7% (34,029)</w:t>
            </w:r>
          </w:p>
        </w:tc>
        <w:tc>
          <w:tcPr/>
          <w:p>
            <w:pPr>
              <w:pStyle w:val="Compact"/>
              <w:jc w:val="left"/>
            </w:pPr>
            <w:r>
              <w:t xml:space="preserve">1.6% (611)</w:t>
            </w:r>
          </w:p>
        </w:tc>
        <w:tc>
          <w:tcPr/>
          <w:p>
            <w:pPr>
              <w:pStyle w:val="Compact"/>
              <w:jc w:val="left"/>
            </w:pPr>
            <w:r>
              <w:t xml:space="preserve">57.4% (6,595)</w:t>
            </w:r>
          </w:p>
        </w:tc>
        <w:tc>
          <w:tcPr/>
          <w:p>
            <w:pPr>
              <w:pStyle w:val="Compact"/>
              <w:jc w:val="left"/>
            </w:pPr>
            <w:r>
              <w:t xml:space="preserve">61.9% (116,460)</w:t>
            </w:r>
          </w:p>
        </w:tc>
        <w:tc>
          <w:tcPr/>
          <w:p>
            <w:pPr>
              <w:pStyle w:val="Compact"/>
            </w:pPr>
          </w:p>
        </w:tc>
      </w:tr>
      <w:tr>
        <w:tc>
          <w:tcPr/>
          <w:p>
            <w:pPr>
              <w:pStyle w:val="Compact"/>
              <w:jc w:val="left"/>
            </w:pPr>
            <w:r>
              <w:t xml:space="preserve"> Yes</w:t>
            </w:r>
          </w:p>
        </w:tc>
        <w:tc>
          <w:tcPr/>
          <w:p>
            <w:pPr>
              <w:pStyle w:val="Compact"/>
              <w:jc w:val="left"/>
            </w:pPr>
            <w:r>
              <w:t xml:space="preserve">55.4% (482,456)</w:t>
            </w:r>
          </w:p>
        </w:tc>
        <w:tc>
          <w:tcPr/>
          <w:p>
            <w:pPr>
              <w:pStyle w:val="Compact"/>
              <w:jc w:val="left"/>
            </w:pPr>
            <w:r>
              <w:t xml:space="preserve">73.6% (156,427)</w:t>
            </w:r>
          </w:p>
        </w:tc>
        <w:tc>
          <w:tcPr/>
          <w:p>
            <w:pPr>
              <w:pStyle w:val="Compact"/>
              <w:jc w:val="left"/>
            </w:pPr>
            <w:r>
              <w:t xml:space="preserve">57.4% (38,687)</w:t>
            </w:r>
          </w:p>
        </w:tc>
        <w:tc>
          <w:tcPr/>
          <w:p>
            <w:pPr>
              <w:pStyle w:val="Compact"/>
              <w:jc w:val="left"/>
            </w:pPr>
            <w:r>
              <w:t xml:space="preserve">48.6% (23,085)</w:t>
            </w:r>
          </w:p>
        </w:tc>
        <w:tc>
          <w:tcPr/>
          <w:p>
            <w:pPr>
              <w:pStyle w:val="Compact"/>
              <w:jc w:val="left"/>
            </w:pPr>
            <w:r>
              <w:t xml:space="preserve">46.9% (107,075)</w:t>
            </w:r>
          </w:p>
        </w:tc>
        <w:tc>
          <w:tcPr/>
          <w:p>
            <w:pPr>
              <w:pStyle w:val="Compact"/>
              <w:jc w:val="left"/>
            </w:pPr>
            <w:r>
              <w:t xml:space="preserve">56.3% (43,689)</w:t>
            </w:r>
          </w:p>
        </w:tc>
        <w:tc>
          <w:tcPr/>
          <w:p>
            <w:pPr>
              <w:pStyle w:val="Compact"/>
              <w:jc w:val="left"/>
            </w:pPr>
            <w:r>
              <w:t xml:space="preserve">98.4% (37,243)</w:t>
            </w:r>
          </w:p>
        </w:tc>
        <w:tc>
          <w:tcPr/>
          <w:p>
            <w:pPr>
              <w:pStyle w:val="Compact"/>
              <w:jc w:val="left"/>
            </w:pPr>
            <w:r>
              <w:t xml:space="preserve">42.6% (4,925)</w:t>
            </w:r>
          </w:p>
        </w:tc>
        <w:tc>
          <w:tcPr/>
          <w:p>
            <w:pPr>
              <w:pStyle w:val="Compact"/>
              <w:jc w:val="left"/>
            </w:pPr>
            <w:r>
              <w:t xml:space="preserve">38.1% (71,325)</w:t>
            </w:r>
          </w:p>
        </w:tc>
        <w:tc>
          <w:tcPr/>
          <w:p>
            <w:pPr>
              <w:pStyle w:val="Compact"/>
            </w:pPr>
          </w:p>
        </w:tc>
      </w:tr>
      <w:tr>
        <w:tc>
          <w:tcPr/>
          <w:p>
            <w:pPr>
              <w:pStyle w:val="Compact"/>
              <w:jc w:val="left"/>
            </w:pPr>
            <w:r>
              <w:t xml:space="preserve">Renal failure (excluded from the model by pre-specification),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0.352</w:t>
            </w:r>
          </w:p>
        </w:tc>
      </w:tr>
      <w:tr>
        <w:tc>
          <w:tcPr/>
          <w:p>
            <w:pPr>
              <w:pStyle w:val="Compact"/>
              <w:jc w:val="left"/>
            </w:pPr>
            <w:r>
              <w:t xml:space="preserve"> No</w:t>
            </w:r>
          </w:p>
        </w:tc>
        <w:tc>
          <w:tcPr/>
          <w:p>
            <w:pPr>
              <w:pStyle w:val="Compact"/>
              <w:jc w:val="left"/>
            </w:pPr>
            <w:r>
              <w:t xml:space="preserve">59.2% (514,972)</w:t>
            </w:r>
          </w:p>
        </w:tc>
        <w:tc>
          <w:tcPr/>
          <w:p>
            <w:pPr>
              <w:pStyle w:val="Compact"/>
              <w:jc w:val="left"/>
            </w:pPr>
            <w:r>
              <w:t xml:space="preserve">62.1% (132,396)</w:t>
            </w:r>
          </w:p>
        </w:tc>
        <w:tc>
          <w:tcPr/>
          <w:p>
            <w:pPr>
              <w:pStyle w:val="Compact"/>
              <w:jc w:val="left"/>
            </w:pPr>
            <w:r>
              <w:t xml:space="preserve">55.0% (37,043)</w:t>
            </w:r>
          </w:p>
        </w:tc>
        <w:tc>
          <w:tcPr/>
          <w:p>
            <w:pPr>
              <w:pStyle w:val="Compact"/>
              <w:jc w:val="left"/>
            </w:pPr>
            <w:r>
              <w:t xml:space="preserve">44.8% (21,110)</w:t>
            </w:r>
          </w:p>
        </w:tc>
        <w:tc>
          <w:tcPr/>
          <w:p>
            <w:pPr>
              <w:pStyle w:val="Compact"/>
              <w:jc w:val="left"/>
            </w:pPr>
            <w:r>
              <w:t xml:space="preserve">56.4% (128,705)</w:t>
            </w:r>
          </w:p>
        </w:tc>
        <w:tc>
          <w:tcPr/>
          <w:p>
            <w:pPr>
              <w:pStyle w:val="Compact"/>
              <w:jc w:val="left"/>
            </w:pPr>
            <w:r>
              <w:t xml:space="preserve">61.6% (47,618)</w:t>
            </w:r>
          </w:p>
        </w:tc>
        <w:tc>
          <w:tcPr/>
          <w:p>
            <w:pPr>
              <w:pStyle w:val="Compact"/>
              <w:jc w:val="left"/>
            </w:pPr>
            <w:r>
              <w:t xml:space="preserve">63.2% (23,956)</w:t>
            </w:r>
          </w:p>
        </w:tc>
        <w:tc>
          <w:tcPr/>
          <w:p>
            <w:pPr>
              <w:pStyle w:val="Compact"/>
              <w:jc w:val="left"/>
            </w:pPr>
            <w:r>
              <w:t xml:space="preserve">61.1% (7,027)</w:t>
            </w:r>
          </w:p>
        </w:tc>
        <w:tc>
          <w:tcPr/>
          <w:p>
            <w:pPr>
              <w:pStyle w:val="Compact"/>
              <w:jc w:val="left"/>
            </w:pPr>
            <w:r>
              <w:t xml:space="preserve">62.6% (117,117)</w:t>
            </w:r>
          </w:p>
        </w:tc>
        <w:tc>
          <w:tcPr/>
          <w:p>
            <w:pPr>
              <w:pStyle w:val="Compact"/>
            </w:pPr>
          </w:p>
        </w:tc>
      </w:tr>
      <w:tr>
        <w:tc>
          <w:tcPr/>
          <w:p>
            <w:pPr>
              <w:pStyle w:val="Compact"/>
              <w:jc w:val="left"/>
            </w:pPr>
            <w:r>
              <w:t xml:space="preserve"> Yes</w:t>
            </w:r>
          </w:p>
        </w:tc>
        <w:tc>
          <w:tcPr/>
          <w:p>
            <w:pPr>
              <w:pStyle w:val="Compact"/>
              <w:jc w:val="left"/>
            </w:pPr>
            <w:r>
              <w:t xml:space="preserve">40.8% (355,514)</w:t>
            </w:r>
          </w:p>
        </w:tc>
        <w:tc>
          <w:tcPr/>
          <w:p>
            <w:pPr>
              <w:pStyle w:val="Compact"/>
              <w:jc w:val="left"/>
            </w:pPr>
            <w:r>
              <w:t xml:space="preserve">37.9% (80,359)</w:t>
            </w:r>
          </w:p>
        </w:tc>
        <w:tc>
          <w:tcPr/>
          <w:p>
            <w:pPr>
              <w:pStyle w:val="Compact"/>
              <w:jc w:val="left"/>
            </w:pPr>
            <w:r>
              <w:t xml:space="preserve">45.0% (30,439)</w:t>
            </w:r>
          </w:p>
        </w:tc>
        <w:tc>
          <w:tcPr/>
          <w:p>
            <w:pPr>
              <w:pStyle w:val="Compact"/>
              <w:jc w:val="left"/>
            </w:pPr>
            <w:r>
              <w:t xml:space="preserve">55.2% (26,086)</w:t>
            </w:r>
          </w:p>
        </w:tc>
        <w:tc>
          <w:tcPr/>
          <w:p>
            <w:pPr>
              <w:pStyle w:val="Compact"/>
              <w:jc w:val="left"/>
            </w:pPr>
            <w:r>
              <w:t xml:space="preserve">43.6% (99,471)</w:t>
            </w:r>
          </w:p>
        </w:tc>
        <w:tc>
          <w:tcPr/>
          <w:p>
            <w:pPr>
              <w:pStyle w:val="Compact"/>
              <w:jc w:val="left"/>
            </w:pPr>
            <w:r>
              <w:t xml:space="preserve">38.4% (30,100)</w:t>
            </w:r>
          </w:p>
        </w:tc>
        <w:tc>
          <w:tcPr/>
          <w:p>
            <w:pPr>
              <w:pStyle w:val="Compact"/>
              <w:jc w:val="left"/>
            </w:pPr>
            <w:r>
              <w:t xml:space="preserve">36.8% (13,898)</w:t>
            </w:r>
          </w:p>
        </w:tc>
        <w:tc>
          <w:tcPr/>
          <w:p>
            <w:pPr>
              <w:pStyle w:val="Compact"/>
              <w:jc w:val="left"/>
            </w:pPr>
            <w:r>
              <w:t xml:space="preserve">38.9% (4,493)</w:t>
            </w:r>
          </w:p>
        </w:tc>
        <w:tc>
          <w:tcPr/>
          <w:p>
            <w:pPr>
              <w:pStyle w:val="Compact"/>
              <w:jc w:val="left"/>
            </w:pPr>
            <w:r>
              <w:t xml:space="preserve">37.4% (70,668)</w:t>
            </w:r>
          </w:p>
        </w:tc>
        <w:tc>
          <w:tcPr/>
          <w:p>
            <w:pPr>
              <w:pStyle w:val="Compact"/>
            </w:pPr>
          </w:p>
        </w:tc>
      </w:tr>
      <w:tr>
        <w:tc>
          <w:tcPr/>
          <w:p>
            <w:pPr>
              <w:pStyle w:val="Compact"/>
              <w:jc w:val="left"/>
            </w:pPr>
            <w:r>
              <w:t xml:space="preserve">Blood loss anaemia (excluded from the model by pre-specification),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0.183</w:t>
            </w:r>
          </w:p>
        </w:tc>
      </w:tr>
      <w:tr>
        <w:tc>
          <w:tcPr/>
          <w:p>
            <w:pPr>
              <w:pStyle w:val="Compact"/>
              <w:jc w:val="left"/>
            </w:pPr>
            <w:r>
              <w:t xml:space="preserve"> No</w:t>
            </w:r>
          </w:p>
        </w:tc>
        <w:tc>
          <w:tcPr/>
          <w:p>
            <w:pPr>
              <w:pStyle w:val="Compact"/>
              <w:jc w:val="left"/>
            </w:pPr>
            <w:r>
              <w:t xml:space="preserve">98.8% (859,957)</w:t>
            </w:r>
          </w:p>
        </w:tc>
        <w:tc>
          <w:tcPr/>
          <w:p>
            <w:pPr>
              <w:pStyle w:val="Compact"/>
              <w:jc w:val="left"/>
            </w:pPr>
            <w:r>
              <w:t xml:space="preserve">99.1% (210,776)</w:t>
            </w:r>
          </w:p>
        </w:tc>
        <w:tc>
          <w:tcPr/>
          <w:p>
            <w:pPr>
              <w:pStyle w:val="Compact"/>
              <w:jc w:val="left"/>
            </w:pPr>
            <w:r>
              <w:t xml:space="preserve">96.3% (65,025)</w:t>
            </w:r>
          </w:p>
        </w:tc>
        <w:tc>
          <w:tcPr/>
          <w:p>
            <w:pPr>
              <w:pStyle w:val="Compact"/>
              <w:jc w:val="left"/>
            </w:pPr>
            <w:r>
              <w:t xml:space="preserve">99.6% (46,990)</w:t>
            </w:r>
          </w:p>
        </w:tc>
        <w:tc>
          <w:tcPr/>
          <w:p>
            <w:pPr>
              <w:pStyle w:val="Compact"/>
              <w:jc w:val="left"/>
            </w:pPr>
            <w:r>
              <w:t xml:space="preserve">98.9% (225,680)</w:t>
            </w:r>
          </w:p>
        </w:tc>
        <w:tc>
          <w:tcPr/>
          <w:p>
            <w:pPr>
              <w:pStyle w:val="Compact"/>
              <w:jc w:val="left"/>
            </w:pPr>
            <w:r>
              <w:t xml:space="preserve">99.2% (77,110)</w:t>
            </w:r>
          </w:p>
        </w:tc>
        <w:tc>
          <w:tcPr/>
          <w:p>
            <w:pPr>
              <w:pStyle w:val="Compact"/>
              <w:jc w:val="left"/>
            </w:pPr>
            <w:r>
              <w:t xml:space="preserve">98.9% (37,436)</w:t>
            </w:r>
          </w:p>
        </w:tc>
        <w:tc>
          <w:tcPr/>
          <w:p>
            <w:pPr>
              <w:pStyle w:val="Compact"/>
              <w:jc w:val="left"/>
            </w:pPr>
            <w:r>
              <w:t xml:space="preserve">98.3% (11,334)</w:t>
            </w:r>
          </w:p>
        </w:tc>
        <w:tc>
          <w:tcPr/>
          <w:p>
            <w:pPr>
              <w:pStyle w:val="Compact"/>
              <w:jc w:val="left"/>
            </w:pPr>
            <w:r>
              <w:t xml:space="preserve">98.9% (185,606)</w:t>
            </w:r>
          </w:p>
        </w:tc>
        <w:tc>
          <w:tcPr/>
          <w:p>
            <w:pPr>
              <w:pStyle w:val="Compact"/>
            </w:pPr>
          </w:p>
        </w:tc>
      </w:tr>
      <w:tr>
        <w:tc>
          <w:tcPr/>
          <w:p>
            <w:pPr>
              <w:pStyle w:val="Compact"/>
              <w:jc w:val="left"/>
            </w:pPr>
            <w:r>
              <w:t xml:space="preserve"> Yes</w:t>
            </w:r>
          </w:p>
        </w:tc>
        <w:tc>
          <w:tcPr/>
          <w:p>
            <w:pPr>
              <w:pStyle w:val="Compact"/>
              <w:jc w:val="left"/>
            </w:pPr>
            <w:r>
              <w:t xml:space="preserve">1.2% (10,529)</w:t>
            </w:r>
          </w:p>
        </w:tc>
        <w:tc>
          <w:tcPr/>
          <w:p>
            <w:pPr>
              <w:pStyle w:val="Compact"/>
              <w:jc w:val="left"/>
            </w:pPr>
            <w:r>
              <w:t xml:space="preserve">0.9% (1,979)</w:t>
            </w:r>
          </w:p>
        </w:tc>
        <w:tc>
          <w:tcPr/>
          <w:p>
            <w:pPr>
              <w:pStyle w:val="Compact"/>
              <w:jc w:val="left"/>
            </w:pPr>
            <w:r>
              <w:t xml:space="preserve">3.7% (2,457)</w:t>
            </w:r>
          </w:p>
        </w:tc>
        <w:tc>
          <w:tcPr/>
          <w:p>
            <w:pPr>
              <w:pStyle w:val="Compact"/>
              <w:jc w:val="left"/>
            </w:pPr>
            <w:r>
              <w:t xml:space="preserve">0.4% (206)</w:t>
            </w:r>
          </w:p>
        </w:tc>
        <w:tc>
          <w:tcPr/>
          <w:p>
            <w:pPr>
              <w:pStyle w:val="Compact"/>
              <w:jc w:val="left"/>
            </w:pPr>
            <w:r>
              <w:t xml:space="preserve">1.1% (2,496)</w:t>
            </w:r>
          </w:p>
        </w:tc>
        <w:tc>
          <w:tcPr/>
          <w:p>
            <w:pPr>
              <w:pStyle w:val="Compact"/>
              <w:jc w:val="left"/>
            </w:pPr>
            <w:r>
              <w:t xml:space="preserve">0.8% (608)</w:t>
            </w:r>
          </w:p>
        </w:tc>
        <w:tc>
          <w:tcPr/>
          <w:p>
            <w:pPr>
              <w:pStyle w:val="Compact"/>
              <w:jc w:val="left"/>
            </w:pPr>
            <w:r>
              <w:t xml:space="preserve">1.1% (418)</w:t>
            </w:r>
          </w:p>
        </w:tc>
        <w:tc>
          <w:tcPr/>
          <w:p>
            <w:pPr>
              <w:pStyle w:val="Compact"/>
              <w:jc w:val="left"/>
            </w:pPr>
            <w:r>
              <w:t xml:space="preserve">1.7% (186)</w:t>
            </w:r>
          </w:p>
        </w:tc>
        <w:tc>
          <w:tcPr/>
          <w:p>
            <w:pPr>
              <w:pStyle w:val="Compact"/>
              <w:jc w:val="left"/>
            </w:pPr>
            <w:r>
              <w:t xml:space="preserve">1.1% (2,179)</w:t>
            </w:r>
          </w:p>
        </w:tc>
        <w:tc>
          <w:tcPr/>
          <w:p>
            <w:pPr>
              <w:pStyle w:val="Compact"/>
            </w:pPr>
          </w:p>
        </w:tc>
      </w:tr>
      <w:tr>
        <w:tc>
          <w:tcPr/>
          <w:p>
            <w:pPr>
              <w:pStyle w:val="Compact"/>
              <w:jc w:val="left"/>
            </w:pPr>
            <w:r>
              <w:t xml:space="preserve">Deficiency anaemia (excluded from the model by pre-specification), % (unweighted 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0.096</w:t>
            </w:r>
          </w:p>
        </w:tc>
      </w:tr>
      <w:tr>
        <w:tc>
          <w:tcPr/>
          <w:p>
            <w:pPr>
              <w:pStyle w:val="Compact"/>
              <w:jc w:val="left"/>
            </w:pPr>
            <w:r>
              <w:t xml:space="preserve"> No</w:t>
            </w:r>
          </w:p>
        </w:tc>
        <w:tc>
          <w:tcPr/>
          <w:p>
            <w:pPr>
              <w:pStyle w:val="Compact"/>
              <w:jc w:val="left"/>
            </w:pPr>
            <w:r>
              <w:t xml:space="preserve">91.8% (799,669)</w:t>
            </w:r>
          </w:p>
        </w:tc>
        <w:tc>
          <w:tcPr/>
          <w:p>
            <w:pPr>
              <w:pStyle w:val="Compact"/>
              <w:jc w:val="left"/>
            </w:pPr>
            <w:r>
              <w:t xml:space="preserve">91.8% (195,653)</w:t>
            </w:r>
          </w:p>
        </w:tc>
        <w:tc>
          <w:tcPr/>
          <w:p>
            <w:pPr>
              <w:pStyle w:val="Compact"/>
              <w:jc w:val="left"/>
            </w:pPr>
            <w:r>
              <w:t xml:space="preserve">89.0% (60,196)</w:t>
            </w:r>
          </w:p>
        </w:tc>
        <w:tc>
          <w:tcPr/>
          <w:p>
            <w:pPr>
              <w:pStyle w:val="Compact"/>
              <w:jc w:val="left"/>
            </w:pPr>
            <w:r>
              <w:t xml:space="preserve">92.2% (43,553)</w:t>
            </w:r>
          </w:p>
        </w:tc>
        <w:tc>
          <w:tcPr/>
          <w:p>
            <w:pPr>
              <w:pStyle w:val="Compact"/>
              <w:jc w:val="left"/>
            </w:pPr>
            <w:r>
              <w:t xml:space="preserve">92.0% (209,921)</w:t>
            </w:r>
          </w:p>
        </w:tc>
        <w:tc>
          <w:tcPr/>
          <w:p>
            <w:pPr>
              <w:pStyle w:val="Compact"/>
              <w:jc w:val="left"/>
            </w:pPr>
            <w:r>
              <w:t xml:space="preserve">92.1% (71,574)</w:t>
            </w:r>
          </w:p>
        </w:tc>
        <w:tc>
          <w:tcPr/>
          <w:p>
            <w:pPr>
              <w:pStyle w:val="Compact"/>
              <w:jc w:val="left"/>
            </w:pPr>
            <w:r>
              <w:t xml:space="preserve">91.7% (34,715)</w:t>
            </w:r>
          </w:p>
        </w:tc>
        <w:tc>
          <w:tcPr/>
          <w:p>
            <w:pPr>
              <w:pStyle w:val="Compact"/>
              <w:jc w:val="left"/>
            </w:pPr>
            <w:r>
              <w:t xml:space="preserve">92.7% (10,666)</w:t>
            </w:r>
          </w:p>
        </w:tc>
        <w:tc>
          <w:tcPr/>
          <w:p>
            <w:pPr>
              <w:pStyle w:val="Compact"/>
              <w:jc w:val="left"/>
            </w:pPr>
            <w:r>
              <w:t xml:space="preserve">92.3% (173,391)</w:t>
            </w:r>
          </w:p>
        </w:tc>
        <w:tc>
          <w:tcPr/>
          <w:p>
            <w:pPr>
              <w:pStyle w:val="Compact"/>
            </w:pPr>
          </w:p>
        </w:tc>
      </w:tr>
      <w:tr>
        <w:tc>
          <w:tcPr/>
          <w:p>
            <w:pPr>
              <w:pStyle w:val="Compact"/>
              <w:jc w:val="left"/>
            </w:pPr>
            <w:r>
              <w:t xml:space="preserve"> Yes</w:t>
            </w:r>
          </w:p>
        </w:tc>
        <w:tc>
          <w:tcPr/>
          <w:p>
            <w:pPr>
              <w:pStyle w:val="Compact"/>
              <w:jc w:val="left"/>
            </w:pPr>
            <w:r>
              <w:t xml:space="preserve">8.2% (70,817)</w:t>
            </w:r>
          </w:p>
        </w:tc>
        <w:tc>
          <w:tcPr/>
          <w:p>
            <w:pPr>
              <w:pStyle w:val="Compact"/>
              <w:jc w:val="left"/>
            </w:pPr>
            <w:r>
              <w:t xml:space="preserve">8.2% (17,102)</w:t>
            </w:r>
          </w:p>
        </w:tc>
        <w:tc>
          <w:tcPr/>
          <w:p>
            <w:pPr>
              <w:pStyle w:val="Compact"/>
              <w:jc w:val="left"/>
            </w:pPr>
            <w:r>
              <w:t xml:space="preserve">11.0% (7,286)</w:t>
            </w:r>
          </w:p>
        </w:tc>
        <w:tc>
          <w:tcPr/>
          <w:p>
            <w:pPr>
              <w:pStyle w:val="Compact"/>
              <w:jc w:val="left"/>
            </w:pPr>
            <w:r>
              <w:t xml:space="preserve">7.8% (3,643)</w:t>
            </w:r>
          </w:p>
        </w:tc>
        <w:tc>
          <w:tcPr/>
          <w:p>
            <w:pPr>
              <w:pStyle w:val="Compact"/>
              <w:jc w:val="left"/>
            </w:pPr>
            <w:r>
              <w:t xml:space="preserve">8.0% (18,255)</w:t>
            </w:r>
          </w:p>
        </w:tc>
        <w:tc>
          <w:tcPr/>
          <w:p>
            <w:pPr>
              <w:pStyle w:val="Compact"/>
              <w:jc w:val="left"/>
            </w:pPr>
            <w:r>
              <w:t xml:space="preserve">7.9% (6,144)</w:t>
            </w:r>
          </w:p>
        </w:tc>
        <w:tc>
          <w:tcPr/>
          <w:p>
            <w:pPr>
              <w:pStyle w:val="Compact"/>
              <w:jc w:val="left"/>
            </w:pPr>
            <w:r>
              <w:t xml:space="preserve">8.3% (3,139)</w:t>
            </w:r>
          </w:p>
        </w:tc>
        <w:tc>
          <w:tcPr/>
          <w:p>
            <w:pPr>
              <w:pStyle w:val="Compact"/>
              <w:jc w:val="left"/>
            </w:pPr>
            <w:r>
              <w:t xml:space="preserve">7.3% (854)</w:t>
            </w:r>
          </w:p>
        </w:tc>
        <w:tc>
          <w:tcPr/>
          <w:p>
            <w:pPr>
              <w:pStyle w:val="Compact"/>
              <w:jc w:val="left"/>
            </w:pPr>
            <w:r>
              <w:t xml:space="preserve">7.7% (14,394)</w:t>
            </w:r>
          </w:p>
        </w:tc>
        <w:tc>
          <w:tcPr/>
          <w:p>
            <w:pPr>
              <w:pStyle w:val="Compact"/>
            </w:pP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Weighted percentages are design-based national estimates using the HCUP discharge weight; unweighted n is the actual NRD sample size. Continuous variables are reported as design-weighted mean (SD). Standardized mean differences are reported in place of p-values because with 870,486 observations every p-value would be &lt;0.001 and would convey nothing about the magnitude of an imbalance. Because the exposure has eight levels there is no single standardized mean difference; the figure shown is the MAXIMUM absolute standardized mean difference across the seven pairwise comparisons against the reference class (sepsis or severe infection), and for a categorical variable it is the maximum across that variable’s levels as well. 42 of 46 characteristics show |SMD| &gt;= 0.10: Age, years, mean (SD); Age group, % (unweighted n); Sex, % (unweighted n); Median household income quartile (patient ZIP code), % (unweighted n); Patient residence (NCHS urban-rural classification), % (unweighted n); Admission day, % (unweighted n); Admission type, % (unweighted n); Hospital bed size, % (unweighted n); Hospital location and teaching status, % (unweighted n); Hospital ownership, % (unweighted n); Type 2 MI coded as the principal diagnosis, % (unweighted n); Cardiogenic shock at index, % (unweighted n); Invasive mechanical ventilation at index, % (unweighted n); Chronic kidney disease stage, % (unweighted n); Dialysis dependence at index, % (unweighted n); Known coronary artery disease (I25.1x/I25.7x), % (unweighted n); Prior revascularization (Z95.1/Z95.5), % (unweighted n); Atrial fibrillation or flutter (I48), % (unweighted n); COVID-19 at index (U07.1), % (unweighted n); Elixhauser comorbidity count, mean (SD); Congestive heart failure, % (unweighted n); Valvular disease, % (unweighted n); Pulmonary circulation disorders, % (unweighted n); Peripheral vascular disorders, % (unweighted n); Hypertension, uncomplicated, % (unweighted n); Hypertension, complicated, % (unweighted n); Other neurological disorders, % (unweighted n); Chronic pulmonary disease, % (unweighted n); Diabetes, uncomplicated, % (unweighted n); Liver disease, % (unweighted n); Obesity, % (unweighted n); Weight loss, % (unweighted n); Coagulopathy, % (unweighted n); Metastatic cancer, % (unweighted n); Solid tumour without metastasis, % (unweighted n); Depression, % (unweighted n); Alcohol abuse, % (unweighted n); Drug abuse, % (unweighted n); Cardiac arrhythmias (excluded from the model by pre-specification), % (unweighted n); Fluid and electrolyte disorders (excluded from the model by pre-specification), % (unweighted n); Renal failure (excluded from the model by pre-specification), % (unweighted n); Blood loss anaemia (excluded from the model by pre-specification), % (unweighted n). The eight precipitant classes are mutually exclusive and exhaustive by construction and sum to the analytic cohort. The Elixhauser cardiac-arrhythmia, fluid-and-electrolyte, renal-failure and anaemia flags are shown here but were removed from every model by pre-specification, because each overlaps a precipitant class by construction; showing them lets the reader verify that argument rather than take it on trust. Any cell representing fewer than 11 unweighted discharges is suppressed in accordance with the HCUP Data Use Agreement.</w:t>
            </w:r>
          </w:p>
        </w:tc>
      </w:tr>
    </w:tbl>
    <w:bookmarkStart w:id="21" w:name="sec-cooccur"/>
    <w:p>
      <w:pPr>
        <w:pStyle w:val="Heading2"/>
      </w:pPr>
      <w:r>
        <w:t xml:space="preserve">4.1 Raw co-occurrence of the precipitant classes</w:t>
      </w:r>
    </w:p>
    <w:p>
      <w:pPr>
        <w:pStyle w:val="TableCaption"/>
      </w:pPr>
      <w:r>
        <w:t xml:space="preserve">Table S1b. Any-listed co-occurrence of the seven precipitant classes, BEFORE the hierarchy was applied.</w:t>
      </w:r>
    </w:p>
    <w:tbl>
      <w:tblPr>
        <w:tblStyle w:val="Table"/>
        <w:tblW w:type="pct" w:w="5000"/>
        <w:tblLayout w:type="fixed"/>
        <w:tblLook w:firstRow="1" w:lastRow="0" w:firstColumn="0" w:lastColumn="0" w:noHBand="0" w:noVBand="0" w:val="0020"/>
        <w:tblCaption w:val="Table S1b. Any-listed co-occurrence of the seven precipitant classes, BEFORE the hierarchy was applied."/>
      </w:tblPr>
      <w:tblGrid>
        <w:gridCol w:w="1254"/>
        <w:gridCol w:w="264"/>
        <w:gridCol w:w="396"/>
        <w:gridCol w:w="891"/>
        <w:gridCol w:w="1221"/>
        <w:gridCol w:w="759"/>
        <w:gridCol w:w="528"/>
        <w:gridCol w:w="858"/>
        <w:gridCol w:w="1254"/>
        <w:gridCol w:w="495"/>
      </w:tblGrid>
      <w:tr>
        <w:trPr>
          <w:tblHeader w:val="on"/>
        </w:trPr>
        <w:tc>
          <w:tcPr/>
          <w:p>
            <w:pPr>
              <w:pStyle w:val="Compact"/>
              <w:jc w:val="left"/>
            </w:pPr>
            <w:r>
              <w:t xml:space="preserve">Class (any-listed)</w:t>
            </w:r>
          </w:p>
        </w:tc>
        <w:tc>
          <w:tcPr/>
          <w:p>
            <w:pPr>
              <w:pStyle w:val="Compact"/>
              <w:jc w:val="left"/>
            </w:pPr>
            <w:r>
              <w:t xml:space="preserve">n</w:t>
            </w:r>
          </w:p>
        </w:tc>
        <w:tc>
          <w:tcPr/>
          <w:p>
            <w:pPr>
              <w:pStyle w:val="Compact"/>
              <w:jc w:val="left"/>
            </w:pPr>
            <w:r>
              <w:t xml:space="preserve">% of cohort</w:t>
            </w:r>
          </w:p>
        </w:tc>
        <w:tc>
          <w:tcPr/>
          <w:p>
            <w:pPr>
              <w:pStyle w:val="Compact"/>
              <w:jc w:val="left"/>
            </w:pPr>
            <w:r>
              <w:t xml:space="preserve">Sepsis or severe infection</w:t>
            </w:r>
          </w:p>
        </w:tc>
        <w:tc>
          <w:tcPr/>
          <w:p>
            <w:pPr>
              <w:pStyle w:val="Compact"/>
              <w:jc w:val="left"/>
            </w:pPr>
            <w:r>
              <w:t xml:space="preserve">Acute GI bleed or blood-loss anaemia</w:t>
            </w:r>
          </w:p>
        </w:tc>
        <w:tc>
          <w:tcPr/>
          <w:p>
            <w:pPr>
              <w:pStyle w:val="Compact"/>
              <w:jc w:val="left"/>
            </w:pPr>
            <w:r>
              <w:t xml:space="preserve">Hypertensive emergency</w:t>
            </w:r>
          </w:p>
        </w:tc>
        <w:tc>
          <w:tcPr/>
          <w:p>
            <w:pPr>
              <w:pStyle w:val="Compact"/>
              <w:jc w:val="left"/>
            </w:pPr>
            <w:r>
              <w:t xml:space="preserve">Tachyarrhythmia</w:t>
            </w:r>
          </w:p>
        </w:tc>
        <w:tc>
          <w:tcPr/>
          <w:p>
            <w:pPr>
              <w:pStyle w:val="Compact"/>
              <w:jc w:val="left"/>
            </w:pPr>
            <w:r>
              <w:t xml:space="preserve">Acute respiratory failure</w:t>
            </w:r>
          </w:p>
        </w:tc>
        <w:tc>
          <w:tcPr/>
          <w:p>
            <w:pPr>
              <w:pStyle w:val="Compact"/>
              <w:jc w:val="left"/>
            </w:pPr>
            <w:r>
              <w:t xml:space="preserve">Hypovolaemia or non-cardiogenic shock</w:t>
            </w:r>
          </w:p>
        </w:tc>
        <w:tc>
          <w:tcPr/>
          <w:p>
            <w:pPr>
              <w:pStyle w:val="Compact"/>
              <w:jc w:val="left"/>
            </w:pPr>
            <w:r>
              <w:t xml:space="preserve">Perioperative</w:t>
            </w:r>
          </w:p>
        </w:tc>
      </w:tr>
      <w:tr>
        <w:tc>
          <w:tcPr/>
          <w:p>
            <w:pPr>
              <w:pStyle w:val="Compact"/>
              <w:jc w:val="left"/>
            </w:pPr>
            <w:r>
              <w:t xml:space="preserve">Sepsis or severe infection</w:t>
            </w:r>
          </w:p>
        </w:tc>
        <w:tc>
          <w:tcPr/>
          <w:p>
            <w:pPr>
              <w:pStyle w:val="Compact"/>
              <w:jc w:val="left"/>
            </w:pPr>
            <w:r>
              <w:t xml:space="preserve">215,055</w:t>
            </w:r>
          </w:p>
        </w:tc>
        <w:tc>
          <w:tcPr/>
          <w:p>
            <w:pPr>
              <w:pStyle w:val="Compact"/>
              <w:jc w:val="left"/>
            </w:pPr>
            <w:r>
              <w:t xml:space="preserve">24.7%</w:t>
            </w:r>
          </w:p>
        </w:tc>
        <w:tc>
          <w:tcPr/>
          <w:p>
            <w:pPr>
              <w:pStyle w:val="Compact"/>
              <w:jc w:val="left"/>
            </w:pPr>
            <w:r>
              <w:t xml:space="preserve">—</w:t>
            </w:r>
          </w:p>
        </w:tc>
        <w:tc>
          <w:tcPr/>
          <w:p>
            <w:pPr>
              <w:pStyle w:val="Compact"/>
              <w:jc w:val="left"/>
            </w:pPr>
            <w:r>
              <w:t xml:space="preserve">25,147 (11.7%)</w:t>
            </w:r>
          </w:p>
        </w:tc>
        <w:tc>
          <w:tcPr/>
          <w:p>
            <w:pPr>
              <w:pStyle w:val="Compact"/>
              <w:jc w:val="left"/>
            </w:pPr>
            <w:r>
              <w:t xml:space="preserve">4,818 (2.2%)</w:t>
            </w:r>
          </w:p>
        </w:tc>
        <w:tc>
          <w:tcPr/>
          <w:p>
            <w:pPr>
              <w:pStyle w:val="Compact"/>
              <w:jc w:val="left"/>
            </w:pPr>
            <w:r>
              <w:t xml:space="preserve">85,543 (39.8%)</w:t>
            </w:r>
          </w:p>
        </w:tc>
        <w:tc>
          <w:tcPr/>
          <w:p>
            <w:pPr>
              <w:pStyle w:val="Compact"/>
              <w:jc w:val="left"/>
            </w:pPr>
            <w:r>
              <w:t xml:space="preserve">91,466 (42.5%)</w:t>
            </w:r>
          </w:p>
        </w:tc>
        <w:tc>
          <w:tcPr/>
          <w:p>
            <w:pPr>
              <w:pStyle w:val="Compact"/>
              <w:jc w:val="left"/>
            </w:pPr>
            <w:r>
              <w:t xml:space="preserve">49,158 (22.9%)</w:t>
            </w:r>
          </w:p>
        </w:tc>
        <w:tc>
          <w:tcPr/>
          <w:p>
            <w:pPr>
              <w:pStyle w:val="Compact"/>
              <w:jc w:val="left"/>
            </w:pPr>
            <w:r>
              <w:t xml:space="preserve">25,220 (11.7%)</w:t>
            </w:r>
          </w:p>
        </w:tc>
      </w:tr>
      <w:tr>
        <w:tc>
          <w:tcPr/>
          <w:p>
            <w:pPr>
              <w:pStyle w:val="Compact"/>
              <w:jc w:val="left"/>
            </w:pPr>
            <w:r>
              <w:t xml:space="preserve">Acute GI bleed or blood-loss anaemia</w:t>
            </w:r>
          </w:p>
        </w:tc>
        <w:tc>
          <w:tcPr/>
          <w:p>
            <w:pPr>
              <w:pStyle w:val="Compact"/>
              <w:jc w:val="left"/>
            </w:pPr>
            <w:r>
              <w:t xml:space="preserve">94,872</w:t>
            </w:r>
          </w:p>
        </w:tc>
        <w:tc>
          <w:tcPr/>
          <w:p>
            <w:pPr>
              <w:pStyle w:val="Compact"/>
              <w:jc w:val="left"/>
            </w:pPr>
            <w:r>
              <w:t xml:space="preserve">10.9%</w:t>
            </w:r>
          </w:p>
        </w:tc>
        <w:tc>
          <w:tcPr/>
          <w:p>
            <w:pPr>
              <w:pStyle w:val="Compact"/>
              <w:jc w:val="left"/>
            </w:pPr>
            <w:r>
              <w:t xml:space="preserve">25,147 (26.5%)</w:t>
            </w:r>
          </w:p>
        </w:tc>
        <w:tc>
          <w:tcPr/>
          <w:p>
            <w:pPr>
              <w:pStyle w:val="Compact"/>
              <w:jc w:val="left"/>
            </w:pPr>
            <w:r>
              <w:t xml:space="preserve">—</w:t>
            </w:r>
          </w:p>
        </w:tc>
        <w:tc>
          <w:tcPr/>
          <w:p>
            <w:pPr>
              <w:pStyle w:val="Compact"/>
              <w:jc w:val="left"/>
            </w:pPr>
            <w:r>
              <w:t xml:space="preserve">2,374 (2.5%)</w:t>
            </w:r>
          </w:p>
        </w:tc>
        <w:tc>
          <w:tcPr/>
          <w:p>
            <w:pPr>
              <w:pStyle w:val="Compact"/>
              <w:jc w:val="left"/>
            </w:pPr>
            <w:r>
              <w:t xml:space="preserve">41,055 (43.3%)</w:t>
            </w:r>
          </w:p>
        </w:tc>
        <w:tc>
          <w:tcPr/>
          <w:p>
            <w:pPr>
              <w:pStyle w:val="Compact"/>
              <w:jc w:val="left"/>
            </w:pPr>
            <w:r>
              <w:t xml:space="preserve">26,993 (28.5%)</w:t>
            </w:r>
          </w:p>
        </w:tc>
        <w:tc>
          <w:tcPr/>
          <w:p>
            <w:pPr>
              <w:pStyle w:val="Compact"/>
              <w:jc w:val="left"/>
            </w:pPr>
            <w:r>
              <w:t xml:space="preserve">23,784 (25.1%)</w:t>
            </w:r>
          </w:p>
        </w:tc>
        <w:tc>
          <w:tcPr/>
          <w:p>
            <w:pPr>
              <w:pStyle w:val="Compact"/>
              <w:jc w:val="left"/>
            </w:pPr>
            <w:r>
              <w:t xml:space="preserve">22,190 (23.4%)</w:t>
            </w:r>
          </w:p>
        </w:tc>
      </w:tr>
      <w:tr>
        <w:tc>
          <w:tcPr/>
          <w:p>
            <w:pPr>
              <w:pStyle w:val="Compact"/>
              <w:jc w:val="left"/>
            </w:pPr>
            <w:r>
              <w:t xml:space="preserve">Hypertensive emergency</w:t>
            </w:r>
          </w:p>
        </w:tc>
        <w:tc>
          <w:tcPr/>
          <w:p>
            <w:pPr>
              <w:pStyle w:val="Compact"/>
              <w:jc w:val="left"/>
            </w:pPr>
            <w:r>
              <w:t xml:space="preserve">55,312</w:t>
            </w:r>
          </w:p>
        </w:tc>
        <w:tc>
          <w:tcPr/>
          <w:p>
            <w:pPr>
              <w:pStyle w:val="Compact"/>
              <w:jc w:val="left"/>
            </w:pPr>
            <w:r>
              <w:t xml:space="preserve">6.4%</w:t>
            </w:r>
          </w:p>
        </w:tc>
        <w:tc>
          <w:tcPr/>
          <w:p>
            <w:pPr>
              <w:pStyle w:val="Compact"/>
              <w:jc w:val="left"/>
            </w:pPr>
            <w:r>
              <w:t xml:space="preserve">4,818 (8.7%)</w:t>
            </w:r>
          </w:p>
        </w:tc>
        <w:tc>
          <w:tcPr/>
          <w:p>
            <w:pPr>
              <w:pStyle w:val="Compact"/>
              <w:jc w:val="left"/>
            </w:pPr>
            <w:r>
              <w:t xml:space="preserve">2,374 (4.3%)</w:t>
            </w:r>
          </w:p>
        </w:tc>
        <w:tc>
          <w:tcPr/>
          <w:p>
            <w:pPr>
              <w:pStyle w:val="Compact"/>
              <w:jc w:val="left"/>
            </w:pPr>
            <w:r>
              <w:t xml:space="preserve">—</w:t>
            </w:r>
          </w:p>
        </w:tc>
        <w:tc>
          <w:tcPr/>
          <w:p>
            <w:pPr>
              <w:pStyle w:val="Compact"/>
              <w:jc w:val="left"/>
            </w:pPr>
            <w:r>
              <w:t xml:space="preserve">12,008 (21.7%)</w:t>
            </w:r>
          </w:p>
        </w:tc>
        <w:tc>
          <w:tcPr/>
          <w:p>
            <w:pPr>
              <w:pStyle w:val="Compact"/>
              <w:jc w:val="left"/>
            </w:pPr>
            <w:r>
              <w:t xml:space="preserve">16,252 (29.4%)</w:t>
            </w:r>
          </w:p>
        </w:tc>
        <w:tc>
          <w:tcPr/>
          <w:p>
            <w:pPr>
              <w:pStyle w:val="Compact"/>
              <w:jc w:val="left"/>
            </w:pPr>
            <w:r>
              <w:t xml:space="preserve">3,911 (7.1%)</w:t>
            </w:r>
          </w:p>
        </w:tc>
        <w:tc>
          <w:tcPr/>
          <w:p>
            <w:pPr>
              <w:pStyle w:val="Compact"/>
              <w:jc w:val="left"/>
            </w:pPr>
            <w:r>
              <w:t xml:space="preserve">2,932 (5.3%)</w:t>
            </w:r>
          </w:p>
        </w:tc>
      </w:tr>
      <w:tr>
        <w:tc>
          <w:tcPr/>
          <w:p>
            <w:pPr>
              <w:pStyle w:val="Compact"/>
              <w:jc w:val="left"/>
            </w:pPr>
            <w:r>
              <w:t xml:space="preserve">Tachyarrhythmia</w:t>
            </w:r>
          </w:p>
        </w:tc>
        <w:tc>
          <w:tcPr/>
          <w:p>
            <w:pPr>
              <w:pStyle w:val="Compact"/>
              <w:jc w:val="left"/>
            </w:pPr>
            <w:r>
              <w:t xml:space="preserve">355,329</w:t>
            </w:r>
          </w:p>
        </w:tc>
        <w:tc>
          <w:tcPr/>
          <w:p>
            <w:pPr>
              <w:pStyle w:val="Compact"/>
              <w:jc w:val="left"/>
            </w:pPr>
            <w:r>
              <w:t xml:space="preserve">40.8%</w:t>
            </w:r>
          </w:p>
        </w:tc>
        <w:tc>
          <w:tcPr/>
          <w:p>
            <w:pPr>
              <w:pStyle w:val="Compact"/>
              <w:jc w:val="left"/>
            </w:pPr>
            <w:r>
              <w:t xml:space="preserve">85,543 (24.1%)</w:t>
            </w:r>
          </w:p>
        </w:tc>
        <w:tc>
          <w:tcPr/>
          <w:p>
            <w:pPr>
              <w:pStyle w:val="Compact"/>
              <w:jc w:val="left"/>
            </w:pPr>
            <w:r>
              <w:t xml:space="preserve">41,055 (11.6%)</w:t>
            </w:r>
          </w:p>
        </w:tc>
        <w:tc>
          <w:tcPr/>
          <w:p>
            <w:pPr>
              <w:pStyle w:val="Compact"/>
              <w:jc w:val="left"/>
            </w:pPr>
            <w:r>
              <w:t xml:space="preserve">12,008 (3.4%)</w:t>
            </w:r>
          </w:p>
        </w:tc>
        <w:tc>
          <w:tcPr/>
          <w:p>
            <w:pPr>
              <w:pStyle w:val="Compact"/>
              <w:jc w:val="left"/>
            </w:pPr>
            <w:r>
              <w:t xml:space="preserve">—</w:t>
            </w:r>
          </w:p>
        </w:tc>
        <w:tc>
          <w:tcPr/>
          <w:p>
            <w:pPr>
              <w:pStyle w:val="Compact"/>
              <w:jc w:val="left"/>
            </w:pPr>
            <w:r>
              <w:t xml:space="preserve">93,013 (26.2%)</w:t>
            </w:r>
          </w:p>
        </w:tc>
        <w:tc>
          <w:tcPr/>
          <w:p>
            <w:pPr>
              <w:pStyle w:val="Compact"/>
              <w:jc w:val="left"/>
            </w:pPr>
            <w:r>
              <w:t xml:space="preserve">56,409 (15.9%)</w:t>
            </w:r>
          </w:p>
        </w:tc>
        <w:tc>
          <w:tcPr/>
          <w:p>
            <w:pPr>
              <w:pStyle w:val="Compact"/>
              <w:jc w:val="left"/>
            </w:pPr>
            <w:r>
              <w:t xml:space="preserve">34,836 (9.8%)</w:t>
            </w:r>
          </w:p>
        </w:tc>
      </w:tr>
      <w:tr>
        <w:tc>
          <w:tcPr/>
          <w:p>
            <w:pPr>
              <w:pStyle w:val="Compact"/>
              <w:jc w:val="left"/>
            </w:pPr>
            <w:r>
              <w:t xml:space="preserve">Acute respiratory failure</w:t>
            </w:r>
          </w:p>
        </w:tc>
        <w:tc>
          <w:tcPr/>
          <w:p>
            <w:pPr>
              <w:pStyle w:val="Compact"/>
              <w:jc w:val="left"/>
            </w:pPr>
            <w:r>
              <w:t xml:space="preserve">237,161</w:t>
            </w:r>
          </w:p>
        </w:tc>
        <w:tc>
          <w:tcPr/>
          <w:p>
            <w:pPr>
              <w:pStyle w:val="Compact"/>
              <w:jc w:val="left"/>
            </w:pPr>
            <w:r>
              <w:t xml:space="preserve">27.2%</w:t>
            </w:r>
          </w:p>
        </w:tc>
        <w:tc>
          <w:tcPr/>
          <w:p>
            <w:pPr>
              <w:pStyle w:val="Compact"/>
              <w:jc w:val="left"/>
            </w:pPr>
            <w:r>
              <w:t xml:space="preserve">91,466 (38.6%)</w:t>
            </w:r>
          </w:p>
        </w:tc>
        <w:tc>
          <w:tcPr/>
          <w:p>
            <w:pPr>
              <w:pStyle w:val="Compact"/>
              <w:jc w:val="left"/>
            </w:pPr>
            <w:r>
              <w:t xml:space="preserve">26,993 (11.4%)</w:t>
            </w:r>
          </w:p>
        </w:tc>
        <w:tc>
          <w:tcPr/>
          <w:p>
            <w:pPr>
              <w:pStyle w:val="Compact"/>
              <w:jc w:val="left"/>
            </w:pPr>
            <w:r>
              <w:t xml:space="preserve">16,252 (6.9%)</w:t>
            </w:r>
          </w:p>
        </w:tc>
        <w:tc>
          <w:tcPr/>
          <w:p>
            <w:pPr>
              <w:pStyle w:val="Compact"/>
              <w:jc w:val="left"/>
            </w:pPr>
            <w:r>
              <w:t xml:space="preserve">93,013 (39.2%)</w:t>
            </w:r>
          </w:p>
        </w:tc>
        <w:tc>
          <w:tcPr/>
          <w:p>
            <w:pPr>
              <w:pStyle w:val="Compact"/>
              <w:jc w:val="left"/>
            </w:pPr>
            <w:r>
              <w:t xml:space="preserve">—</w:t>
            </w:r>
          </w:p>
        </w:tc>
        <w:tc>
          <w:tcPr/>
          <w:p>
            <w:pPr>
              <w:pStyle w:val="Compact"/>
              <w:jc w:val="left"/>
            </w:pPr>
            <w:r>
              <w:t xml:space="preserve">37,091 (15.6%)</w:t>
            </w:r>
          </w:p>
        </w:tc>
        <w:tc>
          <w:tcPr/>
          <w:p>
            <w:pPr>
              <w:pStyle w:val="Compact"/>
              <w:jc w:val="left"/>
            </w:pPr>
            <w:r>
              <w:t xml:space="preserve">23,969 (10.1%)</w:t>
            </w:r>
          </w:p>
        </w:tc>
      </w:tr>
      <w:tr>
        <w:tc>
          <w:tcPr/>
          <w:p>
            <w:pPr>
              <w:pStyle w:val="Compact"/>
              <w:jc w:val="left"/>
            </w:pPr>
            <w:r>
              <w:t xml:space="preserve">Hypovolaemia or non-cardiogenic shock</w:t>
            </w:r>
          </w:p>
        </w:tc>
        <w:tc>
          <w:tcPr/>
          <w:p>
            <w:pPr>
              <w:pStyle w:val="Compact"/>
              <w:jc w:val="left"/>
            </w:pPr>
            <w:r>
              <w:t xml:space="preserve">142,169</w:t>
            </w:r>
          </w:p>
        </w:tc>
        <w:tc>
          <w:tcPr/>
          <w:p>
            <w:pPr>
              <w:pStyle w:val="Compact"/>
              <w:jc w:val="left"/>
            </w:pPr>
            <w:r>
              <w:t xml:space="preserve">16.3%</w:t>
            </w:r>
          </w:p>
        </w:tc>
        <w:tc>
          <w:tcPr/>
          <w:p>
            <w:pPr>
              <w:pStyle w:val="Compact"/>
              <w:jc w:val="left"/>
            </w:pPr>
            <w:r>
              <w:t xml:space="preserve">49,158 (34.6%)</w:t>
            </w:r>
          </w:p>
        </w:tc>
        <w:tc>
          <w:tcPr/>
          <w:p>
            <w:pPr>
              <w:pStyle w:val="Compact"/>
              <w:jc w:val="left"/>
            </w:pPr>
            <w:r>
              <w:t xml:space="preserve">23,784 (16.7%)</w:t>
            </w:r>
          </w:p>
        </w:tc>
        <w:tc>
          <w:tcPr/>
          <w:p>
            <w:pPr>
              <w:pStyle w:val="Compact"/>
              <w:jc w:val="left"/>
            </w:pPr>
            <w:r>
              <w:t xml:space="preserve">3,911 (2.8%)</w:t>
            </w:r>
          </w:p>
        </w:tc>
        <w:tc>
          <w:tcPr/>
          <w:p>
            <w:pPr>
              <w:pStyle w:val="Compact"/>
              <w:jc w:val="left"/>
            </w:pPr>
            <w:r>
              <w:t xml:space="preserve">56,409 (39.7%)</w:t>
            </w:r>
          </w:p>
        </w:tc>
        <w:tc>
          <w:tcPr/>
          <w:p>
            <w:pPr>
              <w:pStyle w:val="Compact"/>
              <w:jc w:val="left"/>
            </w:pPr>
            <w:r>
              <w:t xml:space="preserve">37,091 (26.1%)</w:t>
            </w:r>
          </w:p>
        </w:tc>
        <w:tc>
          <w:tcPr/>
          <w:p>
            <w:pPr>
              <w:pStyle w:val="Compact"/>
              <w:jc w:val="left"/>
            </w:pPr>
            <w:r>
              <w:t xml:space="preserve">—</w:t>
            </w:r>
          </w:p>
        </w:tc>
        <w:tc>
          <w:tcPr/>
          <w:p>
            <w:pPr>
              <w:pStyle w:val="Compact"/>
              <w:jc w:val="left"/>
            </w:pPr>
            <w:r>
              <w:t xml:space="preserve">13,794 (9.7%)</w:t>
            </w:r>
          </w:p>
        </w:tc>
      </w:tr>
      <w:tr>
        <w:tc>
          <w:tcPr/>
          <w:p>
            <w:pPr>
              <w:pStyle w:val="Compact"/>
              <w:jc w:val="left"/>
            </w:pPr>
            <w:r>
              <w:t xml:space="preserve">Perioperative</w:t>
            </w:r>
          </w:p>
        </w:tc>
        <w:tc>
          <w:tcPr/>
          <w:p>
            <w:pPr>
              <w:pStyle w:val="Compact"/>
              <w:jc w:val="left"/>
            </w:pPr>
            <w:r>
              <w:t xml:space="preserve">75,825</w:t>
            </w:r>
          </w:p>
        </w:tc>
        <w:tc>
          <w:tcPr/>
          <w:p>
            <w:pPr>
              <w:pStyle w:val="Compact"/>
              <w:jc w:val="left"/>
            </w:pPr>
            <w:r>
              <w:t xml:space="preserve">8.7%</w:t>
            </w:r>
          </w:p>
        </w:tc>
        <w:tc>
          <w:tcPr/>
          <w:p>
            <w:pPr>
              <w:pStyle w:val="Compact"/>
              <w:jc w:val="left"/>
            </w:pPr>
            <w:r>
              <w:t xml:space="preserve">25,220 (33.3%)</w:t>
            </w:r>
          </w:p>
        </w:tc>
        <w:tc>
          <w:tcPr/>
          <w:p>
            <w:pPr>
              <w:pStyle w:val="Compact"/>
              <w:jc w:val="left"/>
            </w:pPr>
            <w:r>
              <w:t xml:space="preserve">22,190 (29.3%)</w:t>
            </w:r>
          </w:p>
        </w:tc>
        <w:tc>
          <w:tcPr/>
          <w:p>
            <w:pPr>
              <w:pStyle w:val="Compact"/>
              <w:jc w:val="left"/>
            </w:pPr>
            <w:r>
              <w:t xml:space="preserve">2,932 (3.9%)</w:t>
            </w:r>
          </w:p>
        </w:tc>
        <w:tc>
          <w:tcPr/>
          <w:p>
            <w:pPr>
              <w:pStyle w:val="Compact"/>
              <w:jc w:val="left"/>
            </w:pPr>
            <w:r>
              <w:t xml:space="preserve">34,836 (45.9%)</w:t>
            </w:r>
          </w:p>
        </w:tc>
        <w:tc>
          <w:tcPr/>
          <w:p>
            <w:pPr>
              <w:pStyle w:val="Compact"/>
              <w:jc w:val="left"/>
            </w:pPr>
            <w:r>
              <w:t xml:space="preserve">23,969 (31.6%)</w:t>
            </w:r>
          </w:p>
        </w:tc>
        <w:tc>
          <w:tcPr/>
          <w:p>
            <w:pPr>
              <w:pStyle w:val="Compact"/>
              <w:jc w:val="left"/>
            </w:pPr>
            <w:r>
              <w:t xml:space="preserve">13,794 (18.2%)</w:t>
            </w:r>
          </w:p>
        </w:tc>
        <w:tc>
          <w:tcPr/>
          <w:p>
            <w:pPr>
              <w:pStyle w:val="Compact"/>
              <w:jc w:val="left"/>
            </w:pPr>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Raw any-listed frequencies of the seven precipitant classes among index type 2 myocardial infarction admissions, computed BEFORE the pre-specified hierarchy was applied, so the rows are NOT mutually exclusive and the percentages do not sum to 100. Each off-diagonal cell is the number of admissions carrying both the row class and the column class, with the percentage taken over the row class. This table is published because it is the direct evidence for why a hierarchy is necessary at all: these conditions co-occur constantly, and any assignment rule must resolve that overlap. The hierarchy used is stated in full in the Methods and was frozen before any result was seen. Cells below 11 unweighted discharges are suppressed.</w:t>
            </w:r>
          </w:p>
        </w:tc>
      </w:tr>
    </w:tbl>
    <w:bookmarkEnd w:id="21"/>
    <w:bookmarkEnd w:id="22"/>
    <w:bookmarkStart w:id="23" w:name="table-2.-unadjusted-outcomes"/>
    <w:p>
      <w:pPr>
        <w:pStyle w:val="Heading1"/>
      </w:pPr>
      <w:r>
        <w:t xml:space="preserve">5. Table 2. Unadjusted outcomes</w:t>
      </w:r>
    </w:p>
    <w:p>
      <w:pPr>
        <w:pStyle w:val="TableCaption"/>
      </w:pPr>
      <w:r>
        <w:t xml:space="preserve">Table 2. Unadjusted outcomes of the index hospitalization, by precipitating illness class.</w:t>
      </w:r>
    </w:p>
    <w:tbl>
      <w:tblPr>
        <w:tblStyle w:val="Table"/>
        <w:tblW w:type="pct" w:w="5000"/>
        <w:tblLayout w:type="fixed"/>
        <w:tblLook w:firstRow="1" w:lastRow="0" w:firstColumn="0" w:lastColumn="0" w:noHBand="0" w:noVBand="0" w:val="0020"/>
        <w:tblCaption w:val="Table 2. Unadjusted outcomes of the index hospitalization, by precipitating illness class."/>
      </w:tblPr>
      <w:tblGrid>
        <w:gridCol w:w="1168"/>
        <w:gridCol w:w="715"/>
        <w:gridCol w:w="715"/>
        <w:gridCol w:w="882"/>
        <w:gridCol w:w="691"/>
        <w:gridCol w:w="691"/>
        <w:gridCol w:w="715"/>
        <w:gridCol w:w="906"/>
        <w:gridCol w:w="739"/>
        <w:gridCol w:w="691"/>
      </w:tblGrid>
      <w:tr>
        <w:trPr>
          <w:tblHeader w:val="on"/>
        </w:trPr>
        <w:tc>
          <w:tcPr/>
          <w:p>
            <w:pPr>
              <w:pStyle w:val="Compact"/>
              <w:jc w:val="left"/>
            </w:pPr>
            <w:r>
              <w:t xml:space="preserve">Outcome</w:t>
            </w:r>
          </w:p>
        </w:tc>
        <w:tc>
          <w:tcPr/>
          <w:p>
            <w:pPr>
              <w:pStyle w:val="Compact"/>
              <w:jc w:val="left"/>
            </w:pPr>
            <w:r>
              <w:t xml:space="preserve">Overall</w:t>
            </w:r>
          </w:p>
        </w:tc>
        <w:tc>
          <w:tcPr/>
          <w:p>
            <w:pPr>
              <w:pStyle w:val="Compact"/>
              <w:jc w:val="left"/>
            </w:pPr>
            <w:r>
              <w:t xml:space="preserve">Sepsis or severe infection</w:t>
            </w:r>
          </w:p>
        </w:tc>
        <w:tc>
          <w:tcPr/>
          <w:p>
            <w:pPr>
              <w:pStyle w:val="Compact"/>
              <w:jc w:val="left"/>
            </w:pPr>
            <w:r>
              <w:t xml:space="preserve">Acute GI bleed or blood-loss anaemia</w:t>
            </w:r>
          </w:p>
        </w:tc>
        <w:tc>
          <w:tcPr/>
          <w:p>
            <w:pPr>
              <w:pStyle w:val="Compact"/>
              <w:jc w:val="left"/>
            </w:pPr>
            <w:r>
              <w:t xml:space="preserve">Hypertensive emergency</w:t>
            </w:r>
          </w:p>
        </w:tc>
        <w:tc>
          <w:tcPr/>
          <w:p>
            <w:pPr>
              <w:pStyle w:val="Compact"/>
              <w:jc w:val="left"/>
            </w:pPr>
            <w:r>
              <w:t xml:space="preserve">Tachyarrhythmia</w:t>
            </w:r>
          </w:p>
        </w:tc>
        <w:tc>
          <w:tcPr/>
          <w:p>
            <w:pPr>
              <w:pStyle w:val="Compact"/>
              <w:jc w:val="left"/>
            </w:pPr>
            <w:r>
              <w:t xml:space="preserve">Acute respiratory failure</w:t>
            </w:r>
          </w:p>
        </w:tc>
        <w:tc>
          <w:tcPr/>
          <w:p>
            <w:pPr>
              <w:pStyle w:val="Compact"/>
              <w:jc w:val="left"/>
            </w:pPr>
            <w:r>
              <w:t xml:space="preserve">Hypovolaemia or non-cardiogenic shock</w:t>
            </w:r>
          </w:p>
        </w:tc>
        <w:tc>
          <w:tcPr/>
          <w:p>
            <w:pPr>
              <w:pStyle w:val="Compact"/>
              <w:jc w:val="left"/>
            </w:pPr>
            <w:r>
              <w:t xml:space="preserve">Perioperative</w:t>
            </w:r>
          </w:p>
        </w:tc>
        <w:tc>
          <w:tcPr/>
          <w:p>
            <w:pPr>
              <w:pStyle w:val="Compact"/>
              <w:jc w:val="left"/>
            </w:pPr>
            <w:r>
              <w:t xml:space="preserve">None of the above</w:t>
            </w:r>
          </w:p>
        </w:tc>
      </w:tr>
      <w:tr>
        <w:tc>
          <w:tcPr/>
          <w:p>
            <w:pPr>
              <w:pStyle w:val="Compact"/>
              <w:jc w:val="left"/>
            </w:pPr>
            <w:r>
              <w:t xml:space="preserve">30-day all-cause readmission, % (95% CI) [n]</w:t>
            </w:r>
          </w:p>
        </w:tc>
        <w:tc>
          <w:tcPr/>
          <w:p>
            <w:pPr>
              <w:pStyle w:val="Compact"/>
              <w:jc w:val="left"/>
            </w:pPr>
            <w:r>
              <w:t xml:space="preserve">20.0% (19.9–20.2) [175,312]</w:t>
            </w:r>
          </w:p>
        </w:tc>
        <w:tc>
          <w:tcPr/>
          <w:p>
            <w:pPr>
              <w:pStyle w:val="Compact"/>
              <w:jc w:val="left"/>
            </w:pPr>
            <w:r>
              <w:t xml:space="preserve">20.4% (20.2–20.6) [43,508]</w:t>
            </w:r>
          </w:p>
        </w:tc>
        <w:tc>
          <w:tcPr/>
          <w:p>
            <w:pPr>
              <w:pStyle w:val="Compact"/>
              <w:jc w:val="left"/>
            </w:pPr>
            <w:r>
              <w:t xml:space="preserve">22.8% (22.4–23.1) [15,486]</w:t>
            </w:r>
          </w:p>
        </w:tc>
        <w:tc>
          <w:tcPr/>
          <w:p>
            <w:pPr>
              <w:pStyle w:val="Compact"/>
              <w:jc w:val="left"/>
            </w:pPr>
            <w:r>
              <w:t xml:space="preserve">18.1% (17.7–18.5) [8,616]</w:t>
            </w:r>
          </w:p>
        </w:tc>
        <w:tc>
          <w:tcPr/>
          <w:p>
            <w:pPr>
              <w:pStyle w:val="Compact"/>
              <w:jc w:val="left"/>
            </w:pPr>
            <w:r>
              <w:t xml:space="preserve">21.0% (20.7–21.2) [48,103]</w:t>
            </w:r>
          </w:p>
        </w:tc>
        <w:tc>
          <w:tcPr/>
          <w:p>
            <w:pPr>
              <w:pStyle w:val="Compact"/>
              <w:jc w:val="left"/>
            </w:pPr>
            <w:r>
              <w:t xml:space="preserve">18.7% (18.4–19.0) [14,686]</w:t>
            </w:r>
          </w:p>
        </w:tc>
        <w:tc>
          <w:tcPr/>
          <w:p>
            <w:pPr>
              <w:pStyle w:val="Compact"/>
              <w:jc w:val="left"/>
            </w:pPr>
            <w:r>
              <w:t xml:space="preserve">17.8% (17.4–18.2) [6,750]</w:t>
            </w:r>
          </w:p>
        </w:tc>
        <w:tc>
          <w:tcPr/>
          <w:p>
            <w:pPr>
              <w:pStyle w:val="Compact"/>
              <w:jc w:val="left"/>
            </w:pPr>
            <w:r>
              <w:t xml:space="preserve">18.9% (18.1–19.7) [2,156]</w:t>
            </w:r>
          </w:p>
        </w:tc>
        <w:tc>
          <w:tcPr/>
          <w:p>
            <w:pPr>
              <w:pStyle w:val="Compact"/>
              <w:jc w:val="left"/>
            </w:pPr>
            <w:r>
              <w:t xml:space="preserve">19.1% (18.8–19.3) [36,007]</w:t>
            </w:r>
          </w:p>
        </w:tc>
      </w:tr>
      <w:tr>
        <w:tc>
          <w:tcPr/>
          <w:p>
            <w:pPr>
              <w:pStyle w:val="Compact"/>
              <w:jc w:val="left"/>
            </w:pPr>
            <w:r>
              <w:t xml:space="preserve">Non-home discharge, % (95% CI) [n]</w:t>
            </w:r>
          </w:p>
        </w:tc>
        <w:tc>
          <w:tcPr/>
          <w:p>
            <w:pPr>
              <w:pStyle w:val="Compact"/>
              <w:jc w:val="left"/>
            </w:pPr>
            <w:r>
              <w:t xml:space="preserve">29.5% (29.2–29.8) [256,101]</w:t>
            </w:r>
          </w:p>
        </w:tc>
        <w:tc>
          <w:tcPr/>
          <w:p>
            <w:pPr>
              <w:pStyle w:val="Compact"/>
              <w:jc w:val="left"/>
            </w:pPr>
            <w:r>
              <w:t xml:space="preserve">43.7% (43.3–44.1) [92,554]</w:t>
            </w:r>
          </w:p>
        </w:tc>
        <w:tc>
          <w:tcPr/>
          <w:p>
            <w:pPr>
              <w:pStyle w:val="Compact"/>
              <w:jc w:val="left"/>
            </w:pPr>
            <w:r>
              <w:t xml:space="preserve">33.3% (32.8–33.7) [22,358]</w:t>
            </w:r>
          </w:p>
        </w:tc>
        <w:tc>
          <w:tcPr/>
          <w:p>
            <w:pPr>
              <w:pStyle w:val="Compact"/>
              <w:jc w:val="left"/>
            </w:pPr>
            <w:r>
              <w:t xml:space="preserve">16.6% (16.2–17.0) [7,881]</w:t>
            </w:r>
          </w:p>
        </w:tc>
        <w:tc>
          <w:tcPr/>
          <w:p>
            <w:pPr>
              <w:pStyle w:val="Compact"/>
              <w:jc w:val="left"/>
            </w:pPr>
            <w:r>
              <w:t xml:space="preserve">26.3% (26.0–26.7) [59,500]</w:t>
            </w:r>
          </w:p>
        </w:tc>
        <w:tc>
          <w:tcPr/>
          <w:p>
            <w:pPr>
              <w:pStyle w:val="Compact"/>
              <w:jc w:val="left"/>
            </w:pPr>
            <w:r>
              <w:t xml:space="preserve">25.8% (25.5–26.2) [20,010]</w:t>
            </w:r>
          </w:p>
        </w:tc>
        <w:tc>
          <w:tcPr/>
          <w:p>
            <w:pPr>
              <w:pStyle w:val="Compact"/>
              <w:jc w:val="left"/>
            </w:pPr>
            <w:r>
              <w:t xml:space="preserve">30.8% (30.2–31.4) [11,640]</w:t>
            </w:r>
          </w:p>
        </w:tc>
        <w:tc>
          <w:tcPr/>
          <w:p>
            <w:pPr>
              <w:pStyle w:val="Compact"/>
              <w:jc w:val="left"/>
            </w:pPr>
            <w:r>
              <w:t xml:space="preserve">31.8% (30.9–32.8) [3,675]</w:t>
            </w:r>
          </w:p>
        </w:tc>
        <w:tc>
          <w:tcPr/>
          <w:p>
            <w:pPr>
              <w:pStyle w:val="Compact"/>
              <w:jc w:val="left"/>
            </w:pPr>
            <w:r>
              <w:t xml:space="preserve">20.5% (20.2–20.8) [38,483]</w:t>
            </w:r>
          </w:p>
        </w:tc>
      </w:tr>
      <w:tr>
        <w:tc>
          <w:tcPr/>
          <w:p>
            <w:pPr>
              <w:pStyle w:val="Compact"/>
              <w:jc w:val="left"/>
            </w:pPr>
            <w:r>
              <w:t xml:space="preserve">Discharge against medical advice, % (95% CI) [n]</w:t>
            </w:r>
          </w:p>
        </w:tc>
        <w:tc>
          <w:tcPr/>
          <w:p>
            <w:pPr>
              <w:pStyle w:val="Compact"/>
              <w:jc w:val="left"/>
            </w:pPr>
            <w:r>
              <w:t xml:space="preserve">2.1% (2.0–2.2) [18,652]</w:t>
            </w:r>
          </w:p>
        </w:tc>
        <w:tc>
          <w:tcPr/>
          <w:p>
            <w:pPr>
              <w:pStyle w:val="Compact"/>
              <w:jc w:val="left"/>
            </w:pPr>
            <w:r>
              <w:t xml:space="preserve">1.6% (1.6–1.7) [3,541]</w:t>
            </w:r>
          </w:p>
        </w:tc>
        <w:tc>
          <w:tcPr/>
          <w:p>
            <w:pPr>
              <w:pStyle w:val="Compact"/>
              <w:jc w:val="left"/>
            </w:pPr>
            <w:r>
              <w:t xml:space="preserve">1.4% (1.3–1.5) [956]</w:t>
            </w:r>
          </w:p>
        </w:tc>
        <w:tc>
          <w:tcPr/>
          <w:p>
            <w:pPr>
              <w:pStyle w:val="Compact"/>
              <w:jc w:val="left"/>
            </w:pPr>
            <w:r>
              <w:t xml:space="preserve">4.5% (4.3–4.8) [2,148]</w:t>
            </w:r>
          </w:p>
        </w:tc>
        <w:tc>
          <w:tcPr/>
          <w:p>
            <w:pPr>
              <w:pStyle w:val="Compact"/>
              <w:jc w:val="left"/>
            </w:pPr>
            <w:r>
              <w:t xml:space="preserve">1.5% (1.4–1.5) [3,456]</w:t>
            </w:r>
          </w:p>
        </w:tc>
        <w:tc>
          <w:tcPr/>
          <w:p>
            <w:pPr>
              <w:pStyle w:val="Compact"/>
              <w:jc w:val="left"/>
            </w:pPr>
            <w:r>
              <w:t xml:space="preserve">2.6% (2.5–2.8) [2,052]</w:t>
            </w:r>
          </w:p>
        </w:tc>
        <w:tc>
          <w:tcPr/>
          <w:p>
            <w:pPr>
              <w:pStyle w:val="Compact"/>
              <w:jc w:val="left"/>
            </w:pPr>
            <w:r>
              <w:t xml:space="preserve">2.2% (2.0–2.4) [855]</w:t>
            </w:r>
          </w:p>
        </w:tc>
        <w:tc>
          <w:tcPr/>
          <w:p>
            <w:pPr>
              <w:pStyle w:val="Compact"/>
              <w:jc w:val="left"/>
            </w:pPr>
            <w:r>
              <w:t xml:space="preserve">0.9% (0.7–1.1) [106]</w:t>
            </w:r>
          </w:p>
        </w:tc>
        <w:tc>
          <w:tcPr/>
          <w:p>
            <w:pPr>
              <w:pStyle w:val="Compact"/>
              <w:jc w:val="left"/>
            </w:pPr>
            <w:r>
              <w:t xml:space="preserve">2.9% (2.7–3.0) [5,538]</w:t>
            </w:r>
          </w:p>
        </w:tc>
      </w:tr>
      <w:tr>
        <w:tc>
          <w:tcPr/>
          <w:p>
            <w:pPr>
              <w:pStyle w:val="Compact"/>
              <w:jc w:val="left"/>
            </w:pPr>
            <w:r>
              <w:t xml:space="preserve">Length of stay, days, median (IQR)</w:t>
            </w:r>
          </w:p>
        </w:tc>
        <w:tc>
          <w:tcPr/>
          <w:p>
            <w:pPr>
              <w:pStyle w:val="Compact"/>
              <w:jc w:val="left"/>
            </w:pPr>
            <w:r>
              <w:t xml:space="preserve">5 (3–9)</w:t>
            </w:r>
          </w:p>
        </w:tc>
        <w:tc>
          <w:tcPr/>
          <w:p>
            <w:pPr>
              <w:pStyle w:val="Compact"/>
              <w:jc w:val="left"/>
            </w:pPr>
            <w:r>
              <w:t xml:space="preserve">8 (5–14)</w:t>
            </w:r>
          </w:p>
        </w:tc>
        <w:tc>
          <w:tcPr/>
          <w:p>
            <w:pPr>
              <w:pStyle w:val="Compact"/>
              <w:jc w:val="left"/>
            </w:pPr>
            <w:r>
              <w:t xml:space="preserve">7 (4–12)</w:t>
            </w:r>
          </w:p>
        </w:tc>
        <w:tc>
          <w:tcPr/>
          <w:p>
            <w:pPr>
              <w:pStyle w:val="Compact"/>
              <w:jc w:val="left"/>
            </w:pPr>
            <w:r>
              <w:t xml:space="preserve">4 (2–6)</w:t>
            </w:r>
          </w:p>
        </w:tc>
        <w:tc>
          <w:tcPr/>
          <w:p>
            <w:pPr>
              <w:pStyle w:val="Compact"/>
              <w:jc w:val="left"/>
            </w:pPr>
            <w:r>
              <w:t xml:space="preserve">5 (3–8)</w:t>
            </w:r>
          </w:p>
        </w:tc>
        <w:tc>
          <w:tcPr/>
          <w:p>
            <w:pPr>
              <w:pStyle w:val="Compact"/>
              <w:jc w:val="left"/>
            </w:pPr>
            <w:r>
              <w:t xml:space="preserve">5 (3–9)</w:t>
            </w:r>
          </w:p>
        </w:tc>
        <w:tc>
          <w:tcPr/>
          <w:p>
            <w:pPr>
              <w:pStyle w:val="Compact"/>
              <w:jc w:val="left"/>
            </w:pPr>
            <w:r>
              <w:t xml:space="preserve">4 (3–7)</w:t>
            </w:r>
          </w:p>
        </w:tc>
        <w:tc>
          <w:tcPr/>
          <w:p>
            <w:pPr>
              <w:pStyle w:val="Compact"/>
              <w:jc w:val="left"/>
            </w:pPr>
            <w:r>
              <w:t xml:space="preserve">7 (4–12)</w:t>
            </w:r>
          </w:p>
        </w:tc>
        <w:tc>
          <w:tcPr/>
          <w:p>
            <w:pPr>
              <w:pStyle w:val="Compact"/>
              <w:jc w:val="left"/>
            </w:pPr>
            <w:r>
              <w:t xml:space="preserve">4 (2–6)</w:t>
            </w:r>
          </w:p>
        </w:tc>
      </w:tr>
      <w:tr>
        <w:tc>
          <w:tcPr/>
          <w:p>
            <w:pPr>
              <w:pStyle w:val="Compact"/>
              <w:jc w:val="left"/>
            </w:pPr>
            <w:r>
              <w:t xml:space="preserve">Total cost, median (IQR), 2022 USD</w:t>
            </w:r>
          </w:p>
        </w:tc>
        <w:tc>
          <w:tcPr/>
          <w:p>
            <w:pPr>
              <w:pStyle w:val="Compact"/>
              <w:jc w:val="left"/>
            </w:pPr>
            <w:r>
              <w:t xml:space="preserve">$15,304 ($9,135–$27,961)</w:t>
            </w:r>
          </w:p>
        </w:tc>
        <w:tc>
          <w:tcPr/>
          <w:p>
            <w:pPr>
              <w:pStyle w:val="Compact"/>
              <w:jc w:val="left"/>
            </w:pPr>
            <w:r>
              <w:t xml:space="preserve">$23,111 ($13,720–$42,815)</w:t>
            </w:r>
          </w:p>
        </w:tc>
        <w:tc>
          <w:tcPr/>
          <w:p>
            <w:pPr>
              <w:pStyle w:val="Compact"/>
              <w:jc w:val="left"/>
            </w:pPr>
            <w:r>
              <w:t xml:space="preserve">$21,713 ($12,620–$42,112)</w:t>
            </w:r>
          </w:p>
        </w:tc>
        <w:tc>
          <w:tcPr/>
          <w:p>
            <w:pPr>
              <w:pStyle w:val="Compact"/>
              <w:jc w:val="left"/>
            </w:pPr>
            <w:r>
              <w:t xml:space="preserve">$12,447 ($7,856–$20,935)</w:t>
            </w:r>
          </w:p>
        </w:tc>
        <w:tc>
          <w:tcPr/>
          <w:p>
            <w:pPr>
              <w:pStyle w:val="Compact"/>
              <w:jc w:val="left"/>
            </w:pPr>
            <w:r>
              <w:t xml:space="preserve">$13,227 ($8,026–$23,575)</w:t>
            </w:r>
          </w:p>
        </w:tc>
        <w:tc>
          <w:tcPr/>
          <w:p>
            <w:pPr>
              <w:pStyle w:val="Compact"/>
              <w:jc w:val="left"/>
            </w:pPr>
            <w:r>
              <w:t xml:space="preserve">$16,482 ($9,997–$28,663)</w:t>
            </w:r>
          </w:p>
        </w:tc>
        <w:tc>
          <w:tcPr/>
          <w:p>
            <w:pPr>
              <w:pStyle w:val="Compact"/>
              <w:jc w:val="left"/>
            </w:pPr>
            <w:r>
              <w:t xml:space="preserve">$12,420 ($7,946–$20,458)</w:t>
            </w:r>
          </w:p>
        </w:tc>
        <w:tc>
          <w:tcPr/>
          <w:p>
            <w:pPr>
              <w:pStyle w:val="Compact"/>
              <w:jc w:val="left"/>
            </w:pPr>
            <w:r>
              <w:t xml:space="preserve">$30,238 ($20,433–$48,505)</w:t>
            </w:r>
          </w:p>
        </w:tc>
        <w:tc>
          <w:tcPr/>
          <w:p>
            <w:pPr>
              <w:pStyle w:val="Compact"/>
              <w:jc w:val="left"/>
            </w:pPr>
            <w:r>
              <w:t xml:space="preserve">$11,099 ($7,213–$17,626)</w:t>
            </w:r>
          </w:p>
        </w:tc>
      </w:tr>
      <w:tr>
        <w:tc>
          <w:tcPr/>
          <w:p>
            <w:pPr>
              <w:pStyle w:val="Compact"/>
              <w:jc w:val="left"/>
            </w:pPr>
            <w:r>
              <w:t xml:space="preserve">Total charges, median (IQR), 2022 USD</w:t>
            </w:r>
          </w:p>
        </w:tc>
        <w:tc>
          <w:tcPr/>
          <w:p>
            <w:pPr>
              <w:pStyle w:val="Compact"/>
              <w:jc w:val="left"/>
            </w:pPr>
            <w:r>
              <w:t xml:space="preserve">$61,294 ($33,700–$119,135)</w:t>
            </w:r>
          </w:p>
        </w:tc>
        <w:tc>
          <w:tcPr/>
          <w:p>
            <w:pPr>
              <w:pStyle w:val="Compact"/>
              <w:jc w:val="left"/>
            </w:pPr>
            <w:r>
              <w:t xml:space="preserve">$94,143 ($51,097–$184,890)</w:t>
            </w:r>
          </w:p>
        </w:tc>
        <w:tc>
          <w:tcPr/>
          <w:p>
            <w:pPr>
              <w:pStyle w:val="Compact"/>
              <w:jc w:val="left"/>
            </w:pPr>
            <w:r>
              <w:t xml:space="preserve">$87,512 ($46,840–$177,649)</w:t>
            </w:r>
          </w:p>
        </w:tc>
        <w:tc>
          <w:tcPr/>
          <w:p>
            <w:pPr>
              <w:pStyle w:val="Compact"/>
              <w:jc w:val="left"/>
            </w:pPr>
            <w:r>
              <w:t xml:space="preserve">$51,400 ($29,618–$93,206)</w:t>
            </w:r>
          </w:p>
        </w:tc>
        <w:tc>
          <w:tcPr/>
          <w:p>
            <w:pPr>
              <w:pStyle w:val="Compact"/>
              <w:jc w:val="left"/>
            </w:pPr>
            <w:r>
              <w:t xml:space="preserve">$52,145 ($29,112–$99,678)</w:t>
            </w:r>
          </w:p>
        </w:tc>
        <w:tc>
          <w:tcPr/>
          <w:p>
            <w:pPr>
              <w:pStyle w:val="Compact"/>
              <w:jc w:val="left"/>
            </w:pPr>
            <w:r>
              <w:t xml:space="preserve">$65,097 ($36,382–$121,002)</w:t>
            </w:r>
          </w:p>
        </w:tc>
        <w:tc>
          <w:tcPr/>
          <w:p>
            <w:pPr>
              <w:pStyle w:val="Compact"/>
              <w:jc w:val="left"/>
            </w:pPr>
            <w:r>
              <w:t xml:space="preserve">$49,764 ($28,659–$87,391)</w:t>
            </w:r>
          </w:p>
        </w:tc>
        <w:tc>
          <w:tcPr/>
          <w:p>
            <w:pPr>
              <w:pStyle w:val="Compact"/>
              <w:jc w:val="left"/>
            </w:pPr>
            <w:r>
              <w:t xml:space="preserve">$123,281 ($74,774–$211,795)</w:t>
            </w:r>
          </w:p>
        </w:tc>
        <w:tc>
          <w:tcPr/>
          <w:p>
            <w:pPr>
              <w:pStyle w:val="Compact"/>
              <w:jc w:val="left"/>
            </w:pPr>
            <w:r>
              <w:t xml:space="preserve">$44,353 ($26,415–$76,037)</w:t>
            </w:r>
          </w:p>
        </w:tc>
      </w:tr>
    </w:tbl>
    <w:p>
      <w:pPr>
        <w:pStyle w:val="BodyText"/>
      </w:pPr>
      <w:r>
        <w:t xml:space="preserve"> </w:t>
      </w:r>
    </w:p>
    <w:p>
      <w:pPr>
        <w:pStyle w:val="TableCaption"/>
      </w:pPr>
      <w:r>
        <w:t xml:space="preserve">Table 2b. In-hospital mortality at the index admission, on the denominator that RETAINS in-hospital deaths (descriptive).</w:t>
      </w:r>
    </w:p>
    <w:tbl>
      <w:tblPr>
        <w:tblStyle w:val="Table"/>
        <w:tblW w:type="pct" w:w="5000"/>
        <w:tblLayout w:type="fixed"/>
        <w:tblLook w:firstRow="1" w:lastRow="0" w:firstColumn="0" w:lastColumn="0" w:noHBand="0" w:noVBand="0" w:val="0020"/>
        <w:tblCaption w:val="Table 2b. In-hospital mortality at the index admission, on the denominator that RETAINS in-hospital deaths (descriptive)."/>
      </w:tblPr>
      <w:tblGrid>
        <w:gridCol w:w="2594"/>
        <w:gridCol w:w="887"/>
        <w:gridCol w:w="751"/>
        <w:gridCol w:w="2321"/>
        <w:gridCol w:w="1365"/>
      </w:tblGrid>
      <w:tr>
        <w:trPr>
          <w:tblHeader w:val="on"/>
        </w:trPr>
        <w:tc>
          <w:tcPr/>
          <w:p>
            <w:pPr>
              <w:pStyle w:val="Compact"/>
              <w:jc w:val="left"/>
            </w:pPr>
            <w:r>
              <w:t xml:space="preserve">Precipitant class</w:t>
            </w:r>
          </w:p>
        </w:tc>
        <w:tc>
          <w:tcPr/>
          <w:p>
            <w:pPr>
              <w:pStyle w:val="Compact"/>
              <w:jc w:val="left"/>
            </w:pPr>
            <w:r>
              <w:t xml:space="preserve">Unweighted n</w:t>
            </w:r>
          </w:p>
        </w:tc>
        <w:tc>
          <w:tcPr/>
          <w:p>
            <w:pPr>
              <w:pStyle w:val="Compact"/>
              <w:jc w:val="left"/>
            </w:pPr>
            <w:r>
              <w:t xml:space="preserve">Weighted N</w:t>
            </w:r>
          </w:p>
        </w:tc>
        <w:tc>
          <w:tcPr/>
          <w:p>
            <w:pPr>
              <w:pStyle w:val="Compact"/>
              <w:jc w:val="left"/>
            </w:pPr>
            <w:r>
              <w:t xml:space="preserve">In-hospital mortality, % (95% CI)</w:t>
            </w:r>
          </w:p>
        </w:tc>
        <w:tc>
          <w:tcPr/>
          <w:p>
            <w:pPr>
              <w:pStyle w:val="Compact"/>
              <w:jc w:val="left"/>
            </w:pPr>
            <w:r>
              <w:t xml:space="preserve">Deaths (unweighted)</w:t>
            </w:r>
          </w:p>
        </w:tc>
      </w:tr>
      <w:tr>
        <w:tc>
          <w:tcPr/>
          <w:p>
            <w:pPr>
              <w:pStyle w:val="Compact"/>
              <w:jc w:val="left"/>
            </w:pPr>
            <w:r>
              <w:t xml:space="preserve">Overall</w:t>
            </w:r>
          </w:p>
        </w:tc>
        <w:tc>
          <w:tcPr/>
          <w:p>
            <w:pPr>
              <w:pStyle w:val="Compact"/>
              <w:jc w:val="left"/>
            </w:pPr>
            <w:r>
              <w:t xml:space="preserve">976,130</w:t>
            </w:r>
          </w:p>
        </w:tc>
        <w:tc>
          <w:tcPr/>
          <w:p>
            <w:pPr>
              <w:pStyle w:val="Compact"/>
              <w:jc w:val="left"/>
            </w:pPr>
            <w:r>
              <w:t xml:space="preserve">1,710,446</w:t>
            </w:r>
          </w:p>
        </w:tc>
        <w:tc>
          <w:tcPr/>
          <w:p>
            <w:pPr>
              <w:pStyle w:val="Compact"/>
              <w:jc w:val="left"/>
            </w:pPr>
            <w:r>
              <w:t xml:space="preserve">10.6% (10.4–10.7)</w:t>
            </w:r>
          </w:p>
        </w:tc>
        <w:tc>
          <w:tcPr/>
          <w:p>
            <w:pPr>
              <w:pStyle w:val="Compact"/>
              <w:jc w:val="left"/>
            </w:pPr>
            <w:r>
              <w:t xml:space="preserve">104,609</w:t>
            </w:r>
          </w:p>
        </w:tc>
      </w:tr>
      <w:tr>
        <w:tc>
          <w:tcPr/>
          <w:p>
            <w:pPr>
              <w:pStyle w:val="Compact"/>
              <w:jc w:val="left"/>
            </w:pPr>
            <w:r>
              <w:t xml:space="preserve">Sepsis or severe infection</w:t>
            </w:r>
          </w:p>
        </w:tc>
        <w:tc>
          <w:tcPr/>
          <w:p>
            <w:pPr>
              <w:pStyle w:val="Compact"/>
              <w:jc w:val="left"/>
            </w:pPr>
            <w:r>
              <w:t xml:space="preserve">277,040</w:t>
            </w:r>
          </w:p>
        </w:tc>
        <w:tc>
          <w:tcPr/>
          <w:p>
            <w:pPr>
              <w:pStyle w:val="Compact"/>
              <w:jc w:val="left"/>
            </w:pPr>
            <w:r>
              <w:t xml:space="preserve">480,966</w:t>
            </w:r>
          </w:p>
        </w:tc>
        <w:tc>
          <w:tcPr/>
          <w:p>
            <w:pPr>
              <w:pStyle w:val="Compact"/>
              <w:jc w:val="left"/>
            </w:pPr>
            <w:r>
              <w:t xml:space="preserve">22.8% (22.5–23.1)</w:t>
            </w:r>
          </w:p>
        </w:tc>
        <w:tc>
          <w:tcPr/>
          <w:p>
            <w:pPr>
              <w:pStyle w:val="Compact"/>
              <w:jc w:val="left"/>
            </w:pPr>
            <w:r>
              <w:t xml:space="preserve">64,013</w:t>
            </w:r>
          </w:p>
        </w:tc>
      </w:tr>
      <w:tr>
        <w:tc>
          <w:tcPr/>
          <w:p>
            <w:pPr>
              <w:pStyle w:val="Compact"/>
              <w:jc w:val="left"/>
            </w:pPr>
            <w:r>
              <w:t xml:space="preserve">Acute GI bleed or blood-loss anaemia</w:t>
            </w:r>
          </w:p>
        </w:tc>
        <w:tc>
          <w:tcPr/>
          <w:p>
            <w:pPr>
              <w:pStyle w:val="Compact"/>
              <w:jc w:val="left"/>
            </w:pPr>
            <w:r>
              <w:t xml:space="preserve">73,710</w:t>
            </w:r>
          </w:p>
        </w:tc>
        <w:tc>
          <w:tcPr/>
          <w:p>
            <w:pPr>
              <w:pStyle w:val="Compact"/>
              <w:jc w:val="left"/>
            </w:pPr>
            <w:r>
              <w:t xml:space="preserve">130,138</w:t>
            </w:r>
          </w:p>
        </w:tc>
        <w:tc>
          <w:tcPr/>
          <w:p>
            <w:pPr>
              <w:pStyle w:val="Compact"/>
              <w:jc w:val="left"/>
            </w:pPr>
            <w:r>
              <w:t xml:space="preserve">8.3% (8.1–8.6)</w:t>
            </w:r>
          </w:p>
        </w:tc>
        <w:tc>
          <w:tcPr/>
          <w:p>
            <w:pPr>
              <w:pStyle w:val="Compact"/>
              <w:jc w:val="left"/>
            </w:pPr>
            <w:r>
              <w:t xml:space="preserve">6,152</w:t>
            </w:r>
          </w:p>
        </w:tc>
      </w:tr>
      <w:tr>
        <w:tc>
          <w:tcPr/>
          <w:p>
            <w:pPr>
              <w:pStyle w:val="Compact"/>
              <w:jc w:val="left"/>
            </w:pPr>
            <w:r>
              <w:t xml:space="preserve">Hypertensive emergency</w:t>
            </w:r>
          </w:p>
        </w:tc>
        <w:tc>
          <w:tcPr/>
          <w:p>
            <w:pPr>
              <w:pStyle w:val="Compact"/>
              <w:jc w:val="left"/>
            </w:pPr>
            <w:r>
              <w:t xml:space="preserve">48,196</w:t>
            </w:r>
          </w:p>
        </w:tc>
        <w:tc>
          <w:tcPr/>
          <w:p>
            <w:pPr>
              <w:pStyle w:val="Compact"/>
              <w:jc w:val="left"/>
            </w:pPr>
            <w:r>
              <w:t xml:space="preserve">86,726</w:t>
            </w:r>
          </w:p>
        </w:tc>
        <w:tc>
          <w:tcPr/>
          <w:p>
            <w:pPr>
              <w:pStyle w:val="Compact"/>
              <w:jc w:val="left"/>
            </w:pPr>
            <w:r>
              <w:t xml:space="preserve">1.9% (1.8–2.1)</w:t>
            </w:r>
          </w:p>
        </w:tc>
        <w:tc>
          <w:tcPr/>
          <w:p>
            <w:pPr>
              <w:pStyle w:val="Compact"/>
              <w:jc w:val="left"/>
            </w:pPr>
            <w:r>
              <w:t xml:space="preserve">955</w:t>
            </w:r>
          </w:p>
        </w:tc>
      </w:tr>
      <w:tr>
        <w:tc>
          <w:tcPr/>
          <w:p>
            <w:pPr>
              <w:pStyle w:val="Compact"/>
              <w:jc w:val="left"/>
            </w:pPr>
            <w:r>
              <w:t xml:space="preserve">Tachyarrhythmia</w:t>
            </w:r>
          </w:p>
        </w:tc>
        <w:tc>
          <w:tcPr/>
          <w:p>
            <w:pPr>
              <w:pStyle w:val="Compact"/>
              <w:jc w:val="left"/>
            </w:pPr>
            <w:r>
              <w:t xml:space="preserve">244,585</w:t>
            </w:r>
          </w:p>
        </w:tc>
        <w:tc>
          <w:tcPr/>
          <w:p>
            <w:pPr>
              <w:pStyle w:val="Compact"/>
              <w:jc w:val="left"/>
            </w:pPr>
            <w:r>
              <w:t xml:space="preserve">428,632</w:t>
            </w:r>
          </w:p>
        </w:tc>
        <w:tc>
          <w:tcPr/>
          <w:p>
            <w:pPr>
              <w:pStyle w:val="Compact"/>
              <w:jc w:val="left"/>
            </w:pPr>
            <w:r>
              <w:t xml:space="preserve">6.6% (6.4–6.7)</w:t>
            </w:r>
          </w:p>
        </w:tc>
        <w:tc>
          <w:tcPr/>
          <w:p>
            <w:pPr>
              <w:pStyle w:val="Compact"/>
              <w:jc w:val="left"/>
            </w:pPr>
            <w:r>
              <w:t xml:space="preserve">16,152</w:t>
            </w:r>
          </w:p>
        </w:tc>
      </w:tr>
      <w:tr>
        <w:tc>
          <w:tcPr/>
          <w:p>
            <w:pPr>
              <w:pStyle w:val="Compact"/>
              <w:jc w:val="left"/>
            </w:pPr>
            <w:r>
              <w:t xml:space="preserve">Acute respiratory failure</w:t>
            </w:r>
          </w:p>
        </w:tc>
        <w:tc>
          <w:tcPr/>
          <w:p>
            <w:pPr>
              <w:pStyle w:val="Compact"/>
              <w:jc w:val="left"/>
            </w:pPr>
            <w:r>
              <w:t xml:space="preserve">89,016</w:t>
            </w:r>
          </w:p>
        </w:tc>
        <w:tc>
          <w:tcPr/>
          <w:p>
            <w:pPr>
              <w:pStyle w:val="Compact"/>
              <w:jc w:val="left"/>
            </w:pPr>
            <w:r>
              <w:t xml:space="preserve">158,224</w:t>
            </w:r>
          </w:p>
        </w:tc>
        <w:tc>
          <w:tcPr/>
          <w:p>
            <w:pPr>
              <w:pStyle w:val="Compact"/>
              <w:jc w:val="left"/>
            </w:pPr>
            <w:r>
              <w:t xml:space="preserve">12.5% (12.2–12.8)</w:t>
            </w:r>
          </w:p>
        </w:tc>
        <w:tc>
          <w:tcPr/>
          <w:p>
            <w:pPr>
              <w:pStyle w:val="Compact"/>
              <w:jc w:val="left"/>
            </w:pPr>
            <w:r>
              <w:t xml:space="preserve">11,180</w:t>
            </w:r>
          </w:p>
        </w:tc>
      </w:tr>
      <w:tr>
        <w:tc>
          <w:tcPr/>
          <w:p>
            <w:pPr>
              <w:pStyle w:val="Compact"/>
              <w:jc w:val="left"/>
            </w:pPr>
            <w:r>
              <w:t xml:space="preserve">Hypovolaemia or non-cardiogenic shock</w:t>
            </w:r>
          </w:p>
        </w:tc>
        <w:tc>
          <w:tcPr/>
          <w:p>
            <w:pPr>
              <w:pStyle w:val="Compact"/>
              <w:jc w:val="left"/>
            </w:pPr>
            <w:r>
              <w:t xml:space="preserve">39,424</w:t>
            </w:r>
          </w:p>
        </w:tc>
        <w:tc>
          <w:tcPr/>
          <w:p>
            <w:pPr>
              <w:pStyle w:val="Compact"/>
              <w:jc w:val="left"/>
            </w:pPr>
            <w:r>
              <w:t xml:space="preserve">68,339</w:t>
            </w:r>
          </w:p>
        </w:tc>
        <w:tc>
          <w:tcPr/>
          <w:p>
            <w:pPr>
              <w:pStyle w:val="Compact"/>
              <w:jc w:val="left"/>
            </w:pPr>
            <w:r>
              <w:t xml:space="preserve">3.8% (3.6–4.0)</w:t>
            </w:r>
          </w:p>
        </w:tc>
        <w:tc>
          <w:tcPr/>
          <w:p>
            <w:pPr>
              <w:pStyle w:val="Compact"/>
              <w:jc w:val="left"/>
            </w:pPr>
            <w:r>
              <w:t xml:space="preserve">1,519</w:t>
            </w:r>
          </w:p>
        </w:tc>
      </w:tr>
      <w:tr>
        <w:tc>
          <w:tcPr/>
          <w:p>
            <w:pPr>
              <w:pStyle w:val="Compact"/>
              <w:jc w:val="left"/>
            </w:pPr>
            <w:r>
              <w:t xml:space="preserve">Perioperative</w:t>
            </w:r>
          </w:p>
        </w:tc>
        <w:tc>
          <w:tcPr/>
          <w:p>
            <w:pPr>
              <w:pStyle w:val="Compact"/>
              <w:jc w:val="left"/>
            </w:pPr>
            <w:r>
              <w:t xml:space="preserve">11,804</w:t>
            </w:r>
          </w:p>
        </w:tc>
        <w:tc>
          <w:tcPr/>
          <w:p>
            <w:pPr>
              <w:pStyle w:val="Compact"/>
              <w:jc w:val="left"/>
            </w:pPr>
            <w:r>
              <w:t xml:space="preserve">20,488</w:t>
            </w:r>
          </w:p>
        </w:tc>
        <w:tc>
          <w:tcPr/>
          <w:p>
            <w:pPr>
              <w:pStyle w:val="Compact"/>
              <w:jc w:val="left"/>
            </w:pPr>
            <w:r>
              <w:t xml:space="preserve">2.3% (2.0–2.6)</w:t>
            </w:r>
          </w:p>
        </w:tc>
        <w:tc>
          <w:tcPr/>
          <w:p>
            <w:pPr>
              <w:pStyle w:val="Compact"/>
              <w:jc w:val="left"/>
            </w:pPr>
            <w:r>
              <w:t xml:space="preserve">271</w:t>
            </w:r>
          </w:p>
        </w:tc>
      </w:tr>
      <w:tr>
        <w:tc>
          <w:tcPr/>
          <w:p>
            <w:pPr>
              <w:pStyle w:val="Compact"/>
              <w:jc w:val="left"/>
            </w:pPr>
            <w:r>
              <w:t xml:space="preserve">None of the above</w:t>
            </w:r>
          </w:p>
        </w:tc>
        <w:tc>
          <w:tcPr/>
          <w:p>
            <w:pPr>
              <w:pStyle w:val="Compact"/>
              <w:jc w:val="left"/>
            </w:pPr>
            <w:r>
              <w:t xml:space="preserve">192,355</w:t>
            </w:r>
          </w:p>
        </w:tc>
        <w:tc>
          <w:tcPr/>
          <w:p>
            <w:pPr>
              <w:pStyle w:val="Compact"/>
              <w:jc w:val="left"/>
            </w:pPr>
            <w:r>
              <w:t xml:space="preserve">336,933</w:t>
            </w:r>
          </w:p>
        </w:tc>
        <w:tc>
          <w:tcPr/>
          <w:p>
            <w:pPr>
              <w:pStyle w:val="Compact"/>
              <w:jc w:val="left"/>
            </w:pPr>
            <w:r>
              <w:t xml:space="preserve">2.3% (2.2–2.4)</w:t>
            </w:r>
          </w:p>
        </w:tc>
        <w:tc>
          <w:tcPr/>
          <w:p>
            <w:pPr>
              <w:pStyle w:val="Compact"/>
              <w:jc w:val="left"/>
            </w:pPr>
            <w:r>
              <w:t xml:space="preserve">4,367</w:t>
            </w:r>
          </w:p>
        </w:tc>
      </w:tr>
    </w:tbl>
    <w:p>
      <w:pPr>
        <w:pStyle w:val="BodyText"/>
      </w:pPr>
      <w:r>
        <w:t xml:space="preserve"> </w:t>
      </w:r>
    </w:p>
    <w:p>
      <w:pPr>
        <w:pStyle w:val="TableCaption"/>
      </w:pPr>
      <w:r>
        <w:t xml:space="preserve">Table 2c. Process measures at the index admission (descriptive; not outcomes).</w:t>
      </w:r>
    </w:p>
    <w:tbl>
      <w:tblPr>
        <w:tblStyle w:val="Table"/>
        <w:tblW w:type="pct" w:w="5000"/>
        <w:tblLayout w:type="fixed"/>
        <w:tblLook w:firstRow="1" w:lastRow="0" w:firstColumn="0" w:lastColumn="0" w:noHBand="0" w:noVBand="0" w:val="0020"/>
        <w:tblCaption w:val="Table 2c. Process measures at the index admission (descriptive; not outcomes)."/>
      </w:tblPr>
      <w:tblGrid>
        <w:gridCol w:w="1653"/>
        <w:gridCol w:w="493"/>
        <w:gridCol w:w="783"/>
        <w:gridCol w:w="1073"/>
        <w:gridCol w:w="667"/>
        <w:gridCol w:w="464"/>
        <w:gridCol w:w="754"/>
        <w:gridCol w:w="1102"/>
        <w:gridCol w:w="406"/>
        <w:gridCol w:w="522"/>
      </w:tblGrid>
      <w:tr>
        <w:trPr>
          <w:tblHeader w:val="on"/>
        </w:trPr>
        <w:tc>
          <w:tcPr/>
          <w:p>
            <w:pPr>
              <w:pStyle w:val="Compact"/>
              <w:jc w:val="left"/>
            </w:pPr>
            <w:r>
              <w:t xml:space="preserve">Process measure at index</w:t>
            </w:r>
          </w:p>
        </w:tc>
        <w:tc>
          <w:tcPr/>
          <w:p>
            <w:pPr>
              <w:pStyle w:val="Compact"/>
              <w:jc w:val="left"/>
            </w:pPr>
            <w:r>
              <w:t xml:space="preserve">Overall</w:t>
            </w:r>
          </w:p>
        </w:tc>
        <w:tc>
          <w:tcPr/>
          <w:p>
            <w:pPr>
              <w:pStyle w:val="Compact"/>
              <w:jc w:val="left"/>
            </w:pPr>
            <w:r>
              <w:t xml:space="preserve">Sepsis or severe infection</w:t>
            </w:r>
          </w:p>
        </w:tc>
        <w:tc>
          <w:tcPr/>
          <w:p>
            <w:pPr>
              <w:pStyle w:val="Compact"/>
              <w:jc w:val="left"/>
            </w:pPr>
            <w:r>
              <w:t xml:space="preserve">Acute GI bleed or blood-loss anaemia</w:t>
            </w:r>
          </w:p>
        </w:tc>
        <w:tc>
          <w:tcPr/>
          <w:p>
            <w:pPr>
              <w:pStyle w:val="Compact"/>
              <w:jc w:val="left"/>
            </w:pPr>
            <w:r>
              <w:t xml:space="preserve">Hypertensive emergency</w:t>
            </w:r>
          </w:p>
        </w:tc>
        <w:tc>
          <w:tcPr/>
          <w:p>
            <w:pPr>
              <w:pStyle w:val="Compact"/>
              <w:jc w:val="left"/>
            </w:pPr>
            <w:r>
              <w:t xml:space="preserve">Tachyarrhythmia</w:t>
            </w:r>
          </w:p>
        </w:tc>
        <w:tc>
          <w:tcPr/>
          <w:p>
            <w:pPr>
              <w:pStyle w:val="Compact"/>
              <w:jc w:val="left"/>
            </w:pPr>
            <w:r>
              <w:t xml:space="preserve">Acute respiratory failure</w:t>
            </w:r>
          </w:p>
        </w:tc>
        <w:tc>
          <w:tcPr/>
          <w:p>
            <w:pPr>
              <w:pStyle w:val="Compact"/>
              <w:jc w:val="left"/>
            </w:pPr>
            <w:r>
              <w:t xml:space="preserve">Hypovolaemia or non-cardiogenic shock</w:t>
            </w:r>
          </w:p>
        </w:tc>
        <w:tc>
          <w:tcPr/>
          <w:p>
            <w:pPr>
              <w:pStyle w:val="Compact"/>
              <w:jc w:val="left"/>
            </w:pPr>
            <w:r>
              <w:t xml:space="preserve">Perioperative</w:t>
            </w:r>
          </w:p>
        </w:tc>
        <w:tc>
          <w:tcPr/>
          <w:p>
            <w:pPr>
              <w:pStyle w:val="Compact"/>
              <w:jc w:val="left"/>
            </w:pPr>
            <w:r>
              <w:t xml:space="preserve">None of the above</w:t>
            </w:r>
          </w:p>
        </w:tc>
      </w:tr>
      <w:tr>
        <w:tc>
          <w:tcPr/>
          <w:p>
            <w:pPr>
              <w:pStyle w:val="Compact"/>
              <w:jc w:val="left"/>
            </w:pPr>
            <w:r>
              <w:t xml:space="preserve">Coronary angiography or cardiac catheterization at index</w:t>
            </w:r>
          </w:p>
        </w:tc>
        <w:tc>
          <w:tcPr/>
          <w:p>
            <w:pPr>
              <w:pStyle w:val="Compact"/>
              <w:jc w:val="left"/>
            </w:pPr>
            <w:r>
              <w:t xml:space="preserve">12.2% (103,424)</w:t>
            </w:r>
          </w:p>
        </w:tc>
        <w:tc>
          <w:tcPr/>
          <w:p>
            <w:pPr>
              <w:pStyle w:val="Compact"/>
              <w:jc w:val="left"/>
            </w:pPr>
            <w:r>
              <w:t xml:space="preserve">6.1% (12,620)</w:t>
            </w:r>
          </w:p>
        </w:tc>
        <w:tc>
          <w:tcPr/>
          <w:p>
            <w:pPr>
              <w:pStyle w:val="Compact"/>
              <w:jc w:val="left"/>
            </w:pPr>
            <w:r>
              <w:t xml:space="preserve">9.6% (6,316)</w:t>
            </w:r>
          </w:p>
        </w:tc>
        <w:tc>
          <w:tcPr/>
          <w:p>
            <w:pPr>
              <w:pStyle w:val="Compact"/>
              <w:jc w:val="left"/>
            </w:pPr>
            <w:r>
              <w:t xml:space="preserve">16.4% (7,602)</w:t>
            </w:r>
          </w:p>
        </w:tc>
        <w:tc>
          <w:tcPr/>
          <w:p>
            <w:pPr>
              <w:pStyle w:val="Compact"/>
              <w:jc w:val="left"/>
            </w:pPr>
            <w:r>
              <w:t xml:space="preserve">15.2% (33,923)</w:t>
            </w:r>
          </w:p>
        </w:tc>
        <w:tc>
          <w:tcPr/>
          <w:p>
            <w:pPr>
              <w:pStyle w:val="Compact"/>
              <w:jc w:val="left"/>
            </w:pPr>
            <w:r>
              <w:t xml:space="preserve">11.9% (8,995)</w:t>
            </w:r>
          </w:p>
        </w:tc>
        <w:tc>
          <w:tcPr/>
          <w:p>
            <w:pPr>
              <w:pStyle w:val="Compact"/>
              <w:jc w:val="left"/>
            </w:pPr>
            <w:r>
              <w:t xml:space="preserve">7.6% (2,800)</w:t>
            </w:r>
          </w:p>
        </w:tc>
        <w:tc>
          <w:tcPr/>
          <w:p>
            <w:pPr>
              <w:pStyle w:val="Compact"/>
              <w:jc w:val="left"/>
            </w:pPr>
            <w:r>
              <w:t xml:space="preserve">17.3% (1,937)</w:t>
            </w:r>
          </w:p>
        </w:tc>
        <w:tc>
          <w:tcPr/>
          <w:p>
            <w:pPr>
              <w:pStyle w:val="Compact"/>
              <w:jc w:val="left"/>
            </w:pPr>
            <w:r>
              <w:t xml:space="preserve">16.1% (29,231)</w:t>
            </w:r>
          </w:p>
        </w:tc>
      </w:tr>
      <w:tr>
        <w:tc>
          <w:tcPr/>
          <w:p>
            <w:pPr>
              <w:pStyle w:val="Compact"/>
              <w:jc w:val="left"/>
            </w:pPr>
            <w:r>
              <w:t xml:space="preserve">Percutaneous coronary intervention at index</w:t>
            </w:r>
          </w:p>
        </w:tc>
        <w:tc>
          <w:tcPr/>
          <w:p>
            <w:pPr>
              <w:pStyle w:val="Compact"/>
              <w:jc w:val="left"/>
            </w:pPr>
            <w:r>
              <w:t xml:space="preserve">1.6% (13,784)</w:t>
            </w:r>
          </w:p>
        </w:tc>
        <w:tc>
          <w:tcPr/>
          <w:p>
            <w:pPr>
              <w:pStyle w:val="Compact"/>
              <w:jc w:val="left"/>
            </w:pPr>
            <w:r>
              <w:t xml:space="preserve">1.0% (1,978)</w:t>
            </w:r>
          </w:p>
        </w:tc>
        <w:tc>
          <w:tcPr/>
          <w:p>
            <w:pPr>
              <w:pStyle w:val="Compact"/>
              <w:jc w:val="left"/>
            </w:pPr>
            <w:r>
              <w:t xml:space="preserve">1.6% (1,069)</w:t>
            </w:r>
          </w:p>
        </w:tc>
        <w:tc>
          <w:tcPr/>
          <w:p>
            <w:pPr>
              <w:pStyle w:val="Compact"/>
              <w:jc w:val="left"/>
            </w:pPr>
            <w:r>
              <w:t xml:space="preserve">2.3% (1,088)</w:t>
            </w:r>
          </w:p>
        </w:tc>
        <w:tc>
          <w:tcPr/>
          <w:p>
            <w:pPr>
              <w:pStyle w:val="Compact"/>
              <w:jc w:val="left"/>
            </w:pPr>
            <w:r>
              <w:t xml:space="preserve">1.9% (4,280)</w:t>
            </w:r>
          </w:p>
        </w:tc>
        <w:tc>
          <w:tcPr/>
          <w:p>
            <w:pPr>
              <w:pStyle w:val="Compact"/>
              <w:jc w:val="left"/>
            </w:pPr>
            <w:r>
              <w:t xml:space="preserve">1.6% (1,254)</w:t>
            </w:r>
          </w:p>
        </w:tc>
        <w:tc>
          <w:tcPr/>
          <w:p>
            <w:pPr>
              <w:pStyle w:val="Compact"/>
              <w:jc w:val="left"/>
            </w:pPr>
            <w:r>
              <w:t xml:space="preserve">0.8% (307)</w:t>
            </w:r>
          </w:p>
        </w:tc>
        <w:tc>
          <w:tcPr/>
          <w:p>
            <w:pPr>
              <w:pStyle w:val="Compact"/>
              <w:jc w:val="left"/>
            </w:pPr>
            <w:r>
              <w:t xml:space="preserve">1.9% (209)</w:t>
            </w:r>
          </w:p>
        </w:tc>
        <w:tc>
          <w:tcPr/>
          <w:p>
            <w:pPr>
              <w:pStyle w:val="Compact"/>
              <w:jc w:val="left"/>
            </w:pPr>
            <w:r>
              <w:t xml:space="preserve">2.0% (3,599)</w:t>
            </w:r>
          </w:p>
        </w:tc>
      </w:tr>
      <w:tr>
        <w:tc>
          <w:tcPr/>
          <w:p>
            <w:pPr>
              <w:pStyle w:val="Compact"/>
              <w:jc w:val="left"/>
            </w:pPr>
            <w:r>
              <w:t xml:space="preserve">Coronary artery bypass grafting at index</w:t>
            </w:r>
          </w:p>
        </w:tc>
        <w:tc>
          <w:tcPr/>
          <w:p>
            <w:pPr>
              <w:pStyle w:val="Compact"/>
              <w:jc w:val="left"/>
            </w:pPr>
            <w:r>
              <w:t xml:space="preserve">&lt;11 (suppressed)</w:t>
            </w:r>
          </w:p>
        </w:tc>
        <w:tc>
          <w:tcPr/>
          <w:p>
            <w:pPr>
              <w:pStyle w:val="Compact"/>
              <w:jc w:val="left"/>
            </w:pPr>
            <w:r>
              <w:t xml:space="preserve">0.2% (382)</w:t>
            </w:r>
          </w:p>
        </w:tc>
        <w:tc>
          <w:tcPr/>
          <w:p>
            <w:pPr>
              <w:pStyle w:val="Compact"/>
              <w:jc w:val="left"/>
            </w:pPr>
            <w:r>
              <w:t xml:space="preserve">2.0% (1,355)</w:t>
            </w:r>
          </w:p>
        </w:tc>
        <w:tc>
          <w:tcPr/>
          <w:p>
            <w:pPr>
              <w:pStyle w:val="Compact"/>
              <w:jc w:val="left"/>
            </w:pPr>
            <w:r>
              <w:t xml:space="preserve">0.3% (126)</w:t>
            </w:r>
          </w:p>
        </w:tc>
        <w:tc>
          <w:tcPr/>
          <w:p>
            <w:pPr>
              <w:pStyle w:val="Compact"/>
              <w:jc w:val="left"/>
            </w:pPr>
            <w:r>
              <w:t xml:space="preserve">0.3% (567)</w:t>
            </w:r>
          </w:p>
        </w:tc>
        <w:tc>
          <w:tcPr/>
          <w:p>
            <w:pPr>
              <w:pStyle w:val="Compact"/>
              <w:jc w:val="left"/>
            </w:pPr>
            <w:r>
              <w:t xml:space="preserve">0.2% (120)</w:t>
            </w:r>
          </w:p>
        </w:tc>
        <w:tc>
          <w:tcPr/>
          <w:p>
            <w:pPr>
              <w:pStyle w:val="Compact"/>
              <w:jc w:val="left"/>
            </w:pPr>
            <w:r>
              <w:t xml:space="preserve">0.1% (29)</w:t>
            </w:r>
          </w:p>
        </w:tc>
        <w:tc>
          <w:tcPr/>
          <w:p>
            <w:pPr>
              <w:pStyle w:val="Compact"/>
              <w:jc w:val="left"/>
            </w:pPr>
            <w:r>
              <w:t xml:space="preserve">2.7% (303)</w:t>
            </w:r>
          </w:p>
        </w:tc>
        <w:tc>
          <w:tcPr/>
          <w:p>
            <w:pPr>
              <w:pStyle w:val="Compact"/>
              <w:jc w:val="left"/>
            </w:pPr>
            <w:r>
              <w:t xml:space="preserve">&lt;11 (suppressed)</w:t>
            </w:r>
          </w:p>
        </w:tc>
      </w:tr>
    </w:tbl>
    <w:p>
      <w:pPr>
        <w:pStyle w:val="BodyText"/>
      </w:pPr>
      <w:r>
        <w:t xml:space="preserve"> </w:t>
      </w:r>
    </w:p>
    <w:p>
      <w:pPr>
        <w:pStyle w:val="TableCaption"/>
      </w:pPr>
      <w:r>
        <w:t xml:space="preserve">Table 2d. Characteristics of the readmission hospitalization, among those readmitted.</w:t>
      </w:r>
    </w:p>
    <w:tbl>
      <w:tblPr>
        <w:tblStyle w:val="Table"/>
        <w:tblW w:type="pct" w:w="5000"/>
        <w:tblLayout w:type="fixed"/>
        <w:tblLook w:firstRow="1" w:lastRow="0" w:firstColumn="0" w:lastColumn="0" w:noHBand="0" w:noVBand="0" w:val="0020"/>
        <w:tblCaption w:val="Table 2d. Characteristics of the readmission hospitalization, among those readmitted."/>
      </w:tblPr>
      <w:tblGrid>
        <w:gridCol w:w="1493"/>
        <w:gridCol w:w="663"/>
        <w:gridCol w:w="663"/>
        <w:gridCol w:w="877"/>
        <w:gridCol w:w="663"/>
        <w:gridCol w:w="663"/>
        <w:gridCol w:w="663"/>
        <w:gridCol w:w="901"/>
        <w:gridCol w:w="663"/>
        <w:gridCol w:w="663"/>
      </w:tblGrid>
      <w:tr>
        <w:trPr>
          <w:tblHeader w:val="on"/>
        </w:trPr>
        <w:tc>
          <w:tcPr/>
          <w:p>
            <w:pPr>
              <w:pStyle w:val="Compact"/>
              <w:jc w:val="left"/>
            </w:pPr>
            <w:r>
              <w:t xml:space="preserve">Outcome</w:t>
            </w:r>
          </w:p>
        </w:tc>
        <w:tc>
          <w:tcPr/>
          <w:p>
            <w:pPr>
              <w:pStyle w:val="Compact"/>
              <w:jc w:val="left"/>
            </w:pPr>
            <w:r>
              <w:t xml:space="preserve">Overall</w:t>
            </w:r>
          </w:p>
        </w:tc>
        <w:tc>
          <w:tcPr/>
          <w:p>
            <w:pPr>
              <w:pStyle w:val="Compact"/>
              <w:jc w:val="left"/>
            </w:pPr>
            <w:r>
              <w:t xml:space="preserve">Sepsis or severe infection</w:t>
            </w:r>
          </w:p>
        </w:tc>
        <w:tc>
          <w:tcPr/>
          <w:p>
            <w:pPr>
              <w:pStyle w:val="Compact"/>
              <w:jc w:val="left"/>
            </w:pPr>
            <w:r>
              <w:t xml:space="preserve">Acute GI bleed or blood-loss anaemia</w:t>
            </w:r>
          </w:p>
        </w:tc>
        <w:tc>
          <w:tcPr/>
          <w:p>
            <w:pPr>
              <w:pStyle w:val="Compact"/>
              <w:jc w:val="left"/>
            </w:pPr>
            <w:r>
              <w:t xml:space="preserve">Hypertensive emergency</w:t>
            </w:r>
          </w:p>
        </w:tc>
        <w:tc>
          <w:tcPr/>
          <w:p>
            <w:pPr>
              <w:pStyle w:val="Compact"/>
              <w:jc w:val="left"/>
            </w:pPr>
            <w:r>
              <w:t xml:space="preserve">Tachyarrhythmia</w:t>
            </w:r>
          </w:p>
        </w:tc>
        <w:tc>
          <w:tcPr/>
          <w:p>
            <w:pPr>
              <w:pStyle w:val="Compact"/>
              <w:jc w:val="left"/>
            </w:pPr>
            <w:r>
              <w:t xml:space="preserve">Acute respiratory failure</w:t>
            </w:r>
          </w:p>
        </w:tc>
        <w:tc>
          <w:tcPr/>
          <w:p>
            <w:pPr>
              <w:pStyle w:val="Compact"/>
              <w:jc w:val="left"/>
            </w:pPr>
            <w:r>
              <w:t xml:space="preserve">Hypovolaemia or non-cardiogenic shock</w:t>
            </w:r>
          </w:p>
        </w:tc>
        <w:tc>
          <w:tcPr/>
          <w:p>
            <w:pPr>
              <w:pStyle w:val="Compact"/>
              <w:jc w:val="left"/>
            </w:pPr>
            <w:r>
              <w:t xml:space="preserve">Perioperative</w:t>
            </w:r>
          </w:p>
        </w:tc>
        <w:tc>
          <w:tcPr/>
          <w:p>
            <w:pPr>
              <w:pStyle w:val="Compact"/>
              <w:jc w:val="left"/>
            </w:pPr>
            <w:r>
              <w:t xml:space="preserve">None of the above</w:t>
            </w:r>
          </w:p>
        </w:tc>
      </w:tr>
      <w:tr>
        <w:tc>
          <w:tcPr/>
          <w:p>
            <w:pPr>
              <w:pStyle w:val="Compact"/>
              <w:jc w:val="left"/>
            </w:pPr>
            <w:r>
              <w:t xml:space="preserve">Time from index discharge to readmission, days, median (IQR)</w:t>
            </w:r>
          </w:p>
        </w:tc>
        <w:tc>
          <w:tcPr/>
          <w:p>
            <w:pPr>
              <w:pStyle w:val="Compact"/>
              <w:jc w:val="left"/>
            </w:pPr>
            <w:r>
              <w:t xml:space="preserve">11 (5–19)</w:t>
            </w:r>
          </w:p>
        </w:tc>
        <w:tc>
          <w:tcPr/>
          <w:p>
            <w:pPr>
              <w:pStyle w:val="Compact"/>
              <w:jc w:val="left"/>
            </w:pPr>
            <w:r>
              <w:t xml:space="preserve">11 (5–19)</w:t>
            </w:r>
          </w:p>
        </w:tc>
        <w:tc>
          <w:tcPr/>
          <w:p>
            <w:pPr>
              <w:pStyle w:val="Compact"/>
              <w:jc w:val="left"/>
            </w:pPr>
            <w:r>
              <w:t xml:space="preserve">11 (5–19)</w:t>
            </w:r>
          </w:p>
        </w:tc>
        <w:tc>
          <w:tcPr/>
          <w:p>
            <w:pPr>
              <w:pStyle w:val="Compact"/>
              <w:jc w:val="left"/>
            </w:pPr>
            <w:r>
              <w:t xml:space="preserve">12 (5–20)</w:t>
            </w:r>
          </w:p>
        </w:tc>
        <w:tc>
          <w:tcPr/>
          <w:p>
            <w:pPr>
              <w:pStyle w:val="Compact"/>
              <w:jc w:val="left"/>
            </w:pPr>
            <w:r>
              <w:t xml:space="preserve">11 (5–19)</w:t>
            </w:r>
          </w:p>
        </w:tc>
        <w:tc>
          <w:tcPr/>
          <w:p>
            <w:pPr>
              <w:pStyle w:val="Compact"/>
              <w:jc w:val="left"/>
            </w:pPr>
            <w:r>
              <w:t xml:space="preserve">11 (5–19)</w:t>
            </w:r>
          </w:p>
        </w:tc>
        <w:tc>
          <w:tcPr/>
          <w:p>
            <w:pPr>
              <w:pStyle w:val="Compact"/>
              <w:jc w:val="left"/>
            </w:pPr>
            <w:r>
              <w:t xml:space="preserve">11 (5–19)</w:t>
            </w:r>
          </w:p>
        </w:tc>
        <w:tc>
          <w:tcPr/>
          <w:p>
            <w:pPr>
              <w:pStyle w:val="Compact"/>
              <w:jc w:val="left"/>
            </w:pPr>
            <w:r>
              <w:t xml:space="preserve">11 (5–18)</w:t>
            </w:r>
          </w:p>
        </w:tc>
        <w:tc>
          <w:tcPr/>
          <w:p>
            <w:pPr>
              <w:pStyle w:val="Compact"/>
              <w:jc w:val="left"/>
            </w:pPr>
            <w:r>
              <w:t xml:space="preserve">11 (5–20)</w:t>
            </w:r>
          </w:p>
        </w:tc>
      </w:tr>
      <w:tr>
        <w:tc>
          <w:tcPr/>
          <w:p>
            <w:pPr>
              <w:pStyle w:val="Compact"/>
              <w:jc w:val="left"/>
            </w:pPr>
            <w:r>
              <w:t xml:space="preserve">Readmission length of stay, days, median (IQR)</w:t>
            </w:r>
          </w:p>
        </w:tc>
        <w:tc>
          <w:tcPr/>
          <w:p>
            <w:pPr>
              <w:pStyle w:val="Compact"/>
              <w:jc w:val="left"/>
            </w:pPr>
            <w:r>
              <w:t xml:space="preserve">5 (3–8)</w:t>
            </w:r>
          </w:p>
        </w:tc>
        <w:tc>
          <w:tcPr/>
          <w:p>
            <w:pPr>
              <w:pStyle w:val="Compact"/>
              <w:jc w:val="left"/>
            </w:pPr>
            <w:r>
              <w:t xml:space="preserve">5 (3–10)</w:t>
            </w:r>
          </w:p>
        </w:tc>
        <w:tc>
          <w:tcPr/>
          <w:p>
            <w:pPr>
              <w:pStyle w:val="Compact"/>
              <w:jc w:val="left"/>
            </w:pPr>
            <w:r>
              <w:t xml:space="preserve">5 (3–9)</w:t>
            </w:r>
          </w:p>
        </w:tc>
        <w:tc>
          <w:tcPr/>
          <w:p>
            <w:pPr>
              <w:pStyle w:val="Compact"/>
              <w:jc w:val="left"/>
            </w:pPr>
            <w:r>
              <w:t xml:space="preserve">4 (2–7)</w:t>
            </w:r>
          </w:p>
        </w:tc>
        <w:tc>
          <w:tcPr/>
          <w:p>
            <w:pPr>
              <w:pStyle w:val="Compact"/>
              <w:jc w:val="left"/>
            </w:pPr>
            <w:r>
              <w:t xml:space="preserve">5 (3–8)</w:t>
            </w:r>
          </w:p>
        </w:tc>
        <w:tc>
          <w:tcPr/>
          <w:p>
            <w:pPr>
              <w:pStyle w:val="Compact"/>
              <w:jc w:val="left"/>
            </w:pPr>
            <w:r>
              <w:t xml:space="preserve">4 (3–8)</w:t>
            </w:r>
          </w:p>
        </w:tc>
        <w:tc>
          <w:tcPr/>
          <w:p>
            <w:pPr>
              <w:pStyle w:val="Compact"/>
              <w:jc w:val="left"/>
            </w:pPr>
            <w:r>
              <w:t xml:space="preserve">5 (3–8)</w:t>
            </w:r>
          </w:p>
        </w:tc>
        <w:tc>
          <w:tcPr/>
          <w:p>
            <w:pPr>
              <w:pStyle w:val="Compact"/>
              <w:jc w:val="left"/>
            </w:pPr>
            <w:r>
              <w:t xml:space="preserve">5 (3–9)</w:t>
            </w:r>
          </w:p>
        </w:tc>
        <w:tc>
          <w:tcPr/>
          <w:p>
            <w:pPr>
              <w:pStyle w:val="Compact"/>
              <w:jc w:val="left"/>
            </w:pPr>
            <w:r>
              <w:t xml:space="preserve">4 (2–8)</w:t>
            </w:r>
          </w:p>
        </w:tc>
      </w:tr>
      <w:tr>
        <w:tc>
          <w:tcPr/>
          <w:p>
            <w:pPr>
              <w:pStyle w:val="Compact"/>
              <w:jc w:val="left"/>
            </w:pPr>
            <w:r>
              <w:t xml:space="preserve">Unplanned (non-elective) readmission, % (95% CI) [n]</w:t>
            </w:r>
          </w:p>
        </w:tc>
        <w:tc>
          <w:tcPr/>
          <w:p>
            <w:pPr>
              <w:pStyle w:val="Compact"/>
              <w:jc w:val="left"/>
            </w:pPr>
            <w:r>
              <w:t xml:space="preserve">95.4% (95.2–95.5) [167,646]</w:t>
            </w:r>
          </w:p>
        </w:tc>
        <w:tc>
          <w:tcPr/>
          <w:p>
            <w:pPr>
              <w:pStyle w:val="Compact"/>
              <w:jc w:val="left"/>
            </w:pPr>
            <w:r>
              <w:t xml:space="preserve">96.1% (95.9–96.3) [41,929]</w:t>
            </w:r>
          </w:p>
        </w:tc>
        <w:tc>
          <w:tcPr/>
          <w:p>
            <w:pPr>
              <w:pStyle w:val="Compact"/>
              <w:jc w:val="left"/>
            </w:pPr>
            <w:r>
              <w:t xml:space="preserve">94.5% (94.1–94.9) [14,690]</w:t>
            </w:r>
          </w:p>
        </w:tc>
        <w:tc>
          <w:tcPr/>
          <w:p>
            <w:pPr>
              <w:pStyle w:val="Compact"/>
              <w:jc w:val="left"/>
            </w:pPr>
            <w:r>
              <w:t xml:space="preserve">96.3% (95.9–96.8) [8,321]</w:t>
            </w:r>
          </w:p>
        </w:tc>
        <w:tc>
          <w:tcPr/>
          <w:p>
            <w:pPr>
              <w:pStyle w:val="Compact"/>
              <w:jc w:val="left"/>
            </w:pPr>
            <w:r>
              <w:t xml:space="preserve">95.1% (94.9–95.4) [45,868]</w:t>
            </w:r>
          </w:p>
        </w:tc>
        <w:tc>
          <w:tcPr/>
          <w:p>
            <w:pPr>
              <w:pStyle w:val="Compact"/>
              <w:jc w:val="left"/>
            </w:pPr>
            <w:r>
              <w:t xml:space="preserve">95.0% (94.6–95.4) [13,992]</w:t>
            </w:r>
          </w:p>
        </w:tc>
        <w:tc>
          <w:tcPr/>
          <w:p>
            <w:pPr>
              <w:pStyle w:val="Compact"/>
              <w:jc w:val="left"/>
            </w:pPr>
            <w:r>
              <w:t xml:space="preserve">96.0% (95.5–96.5) [6,494]</w:t>
            </w:r>
          </w:p>
        </w:tc>
        <w:tc>
          <w:tcPr/>
          <w:p>
            <w:pPr>
              <w:pStyle w:val="Compact"/>
              <w:jc w:val="left"/>
            </w:pPr>
            <w:r>
              <w:t xml:space="preserve">93.4% (92.4–94.5) [2,019]</w:t>
            </w:r>
          </w:p>
        </w:tc>
        <w:tc>
          <w:tcPr/>
          <w:p>
            <w:pPr>
              <w:pStyle w:val="Compact"/>
              <w:jc w:val="left"/>
            </w:pPr>
            <w:r>
              <w:t xml:space="preserve">95.1% (94.8–95.3) [34,333]</w:t>
            </w:r>
          </w:p>
        </w:tc>
      </w:tr>
      <w:tr>
        <w:tc>
          <w:tcPr/>
          <w:p>
            <w:pPr>
              <w:pStyle w:val="Compact"/>
              <w:jc w:val="left"/>
            </w:pPr>
            <w:r>
              <w:t xml:space="preserve">In-hospital death at readmission, % (95% CI) [n]</w:t>
            </w:r>
          </w:p>
        </w:tc>
        <w:tc>
          <w:tcPr/>
          <w:p>
            <w:pPr>
              <w:pStyle w:val="Compact"/>
              <w:jc w:val="left"/>
            </w:pPr>
            <w:r>
              <w:t xml:space="preserve">8.6% (8.4–8.7) [15,303]</w:t>
            </w:r>
          </w:p>
        </w:tc>
        <w:tc>
          <w:tcPr/>
          <w:p>
            <w:pPr>
              <w:pStyle w:val="Compact"/>
              <w:jc w:val="left"/>
            </w:pPr>
            <w:r>
              <w:t xml:space="preserve">10.2% (9.9–10.5) [4,574]</w:t>
            </w:r>
          </w:p>
        </w:tc>
        <w:tc>
          <w:tcPr/>
          <w:p>
            <w:pPr>
              <w:pStyle w:val="Compact"/>
              <w:jc w:val="left"/>
            </w:pPr>
            <w:r>
              <w:t xml:space="preserve">8.6% (8.2–9.1) [1,363]</w:t>
            </w:r>
          </w:p>
        </w:tc>
        <w:tc>
          <w:tcPr/>
          <w:p>
            <w:pPr>
              <w:pStyle w:val="Compact"/>
              <w:jc w:val="left"/>
            </w:pPr>
            <w:r>
              <w:t xml:space="preserve">3.6% (3.2–4.0) [315]</w:t>
            </w:r>
          </w:p>
        </w:tc>
        <w:tc>
          <w:tcPr/>
          <w:p>
            <w:pPr>
              <w:pStyle w:val="Compact"/>
              <w:jc w:val="left"/>
            </w:pPr>
            <w:r>
              <w:t xml:space="preserve">9.2% (8.9–9.5) [4,469]</w:t>
            </w:r>
          </w:p>
        </w:tc>
        <w:tc>
          <w:tcPr/>
          <w:p>
            <w:pPr>
              <w:pStyle w:val="Compact"/>
              <w:jc w:val="left"/>
            </w:pPr>
            <w:r>
              <w:t xml:space="preserve">8.6% (8.2–9.1) [1,301]</w:t>
            </w:r>
          </w:p>
        </w:tc>
        <w:tc>
          <w:tcPr/>
          <w:p>
            <w:pPr>
              <w:pStyle w:val="Compact"/>
              <w:jc w:val="left"/>
            </w:pPr>
            <w:r>
              <w:t xml:space="preserve">8.0% (7.3–8.7) [549]</w:t>
            </w:r>
          </w:p>
        </w:tc>
        <w:tc>
          <w:tcPr/>
          <w:p>
            <w:pPr>
              <w:pStyle w:val="Compact"/>
              <w:jc w:val="left"/>
            </w:pPr>
            <w:r>
              <w:t xml:space="preserve">7.6% (6.4–8.7) [171]</w:t>
            </w:r>
          </w:p>
        </w:tc>
        <w:tc>
          <w:tcPr/>
          <w:p>
            <w:pPr>
              <w:pStyle w:val="Compact"/>
              <w:jc w:val="left"/>
            </w:pPr>
            <w:r>
              <w:t xml:space="preserve">7.0% (6.7–7.3) [2,561]</w:t>
            </w:r>
          </w:p>
        </w:tc>
      </w:tr>
      <w:tr>
        <w:tc>
          <w:tcPr/>
          <w:p>
            <w:pPr>
              <w:pStyle w:val="Compact"/>
              <w:jc w:val="left"/>
            </w:pPr>
            <w:r>
              <w:t xml:space="preserve">Readmission with a cardiac principal diagnosis, % (95% CI) [n]</w:t>
            </w:r>
          </w:p>
        </w:tc>
        <w:tc>
          <w:tcPr/>
          <w:p>
            <w:pPr>
              <w:pStyle w:val="Compact"/>
              <w:jc w:val="left"/>
            </w:pPr>
            <w:r>
              <w:t xml:space="preserve">23.5% (23.2–23.8) [41,035]</w:t>
            </w:r>
          </w:p>
        </w:tc>
        <w:tc>
          <w:tcPr/>
          <w:p>
            <w:pPr>
              <w:pStyle w:val="Compact"/>
              <w:jc w:val="left"/>
            </w:pPr>
            <w:r>
              <w:t xml:space="preserve">12.7% (12.4–13.1) [5,483]</w:t>
            </w:r>
          </w:p>
        </w:tc>
        <w:tc>
          <w:tcPr/>
          <w:p>
            <w:pPr>
              <w:pStyle w:val="Compact"/>
              <w:jc w:val="left"/>
            </w:pPr>
            <w:r>
              <w:t xml:space="preserve">18.7% (18.0–19.3) [2,876]</w:t>
            </w:r>
          </w:p>
        </w:tc>
        <w:tc>
          <w:tcPr/>
          <w:p>
            <w:pPr>
              <w:pStyle w:val="Compact"/>
              <w:jc w:val="left"/>
            </w:pPr>
            <w:r>
              <w:t xml:space="preserve">23.8% (22.8–24.8) [2,036]</w:t>
            </w:r>
          </w:p>
        </w:tc>
        <w:tc>
          <w:tcPr/>
          <w:p>
            <w:pPr>
              <w:pStyle w:val="Compact"/>
              <w:jc w:val="left"/>
            </w:pPr>
            <w:r>
              <w:t xml:space="preserve">35.1% (34.6–35.5) [16,814]</w:t>
            </w:r>
          </w:p>
        </w:tc>
        <w:tc>
          <w:tcPr/>
          <w:p>
            <w:pPr>
              <w:pStyle w:val="Compact"/>
              <w:jc w:val="left"/>
            </w:pPr>
            <w:r>
              <w:t xml:space="preserve">24.1% (23.4–24.9) [3,533]</w:t>
            </w:r>
          </w:p>
        </w:tc>
        <w:tc>
          <w:tcPr/>
          <w:p>
            <w:pPr>
              <w:pStyle w:val="Compact"/>
              <w:jc w:val="left"/>
            </w:pPr>
            <w:r>
              <w:t xml:space="preserve">13.4% (12.5–14.3) [885]</w:t>
            </w:r>
          </w:p>
        </w:tc>
        <w:tc>
          <w:tcPr/>
          <w:p>
            <w:pPr>
              <w:pStyle w:val="Compact"/>
              <w:jc w:val="left"/>
            </w:pPr>
            <w:r>
              <w:t xml:space="preserve">15.7% (14.1–17.4) [335]</w:t>
            </w:r>
          </w:p>
        </w:tc>
        <w:tc>
          <w:tcPr/>
          <w:p>
            <w:pPr>
              <w:pStyle w:val="Compact"/>
              <w:jc w:val="left"/>
            </w:pPr>
            <w:r>
              <w:t xml:space="preserve">25.1% (24.6–25.6) [9,073]</w:t>
            </w:r>
          </w:p>
        </w:tc>
      </w:tr>
      <w:tr>
        <w:tc>
          <w:tcPr/>
          <w:p>
            <w:pPr>
              <w:pStyle w:val="Compact"/>
              <w:jc w:val="left"/>
            </w:pPr>
            <w:r>
              <w:t xml:space="preserve">Readmission cost, median (IQR), 2022 USD</w:t>
            </w:r>
          </w:p>
        </w:tc>
        <w:tc>
          <w:tcPr/>
          <w:p>
            <w:pPr>
              <w:pStyle w:val="Compact"/>
              <w:jc w:val="left"/>
            </w:pPr>
            <w:r>
              <w:t xml:space="preserve">$12,994 ($7,486–$24,611)</w:t>
            </w:r>
          </w:p>
        </w:tc>
        <w:tc>
          <w:tcPr/>
          <w:p>
            <w:pPr>
              <w:pStyle w:val="Compact"/>
              <w:jc w:val="left"/>
            </w:pPr>
            <w:r>
              <w:t xml:space="preserve">$14,662 ($8,451–$27,348)</w:t>
            </w:r>
          </w:p>
        </w:tc>
        <w:tc>
          <w:tcPr/>
          <w:p>
            <w:pPr>
              <w:pStyle w:val="Compact"/>
              <w:jc w:val="left"/>
            </w:pPr>
            <w:r>
              <w:t xml:space="preserve">$13,832 ($8,069–$25,982)</w:t>
            </w:r>
          </w:p>
        </w:tc>
        <w:tc>
          <w:tcPr/>
          <w:p>
            <w:pPr>
              <w:pStyle w:val="Compact"/>
              <w:jc w:val="left"/>
            </w:pPr>
            <w:r>
              <w:t xml:space="preserve">$11,360 ($6,673–$21,209)</w:t>
            </w:r>
          </w:p>
        </w:tc>
        <w:tc>
          <w:tcPr/>
          <w:p>
            <w:pPr>
              <w:pStyle w:val="Compact"/>
              <w:jc w:val="left"/>
            </w:pPr>
            <w:r>
              <w:t xml:space="preserve">$12,492 ($7,199–$23,687)</w:t>
            </w:r>
          </w:p>
        </w:tc>
        <w:tc>
          <w:tcPr/>
          <w:p>
            <w:pPr>
              <w:pStyle w:val="Compact"/>
              <w:jc w:val="left"/>
            </w:pPr>
            <w:r>
              <w:t xml:space="preserve">$12,833 ($7,383–$24,253)</w:t>
            </w:r>
          </w:p>
        </w:tc>
        <w:tc>
          <w:tcPr/>
          <w:p>
            <w:pPr>
              <w:pStyle w:val="Compact"/>
              <w:jc w:val="left"/>
            </w:pPr>
            <w:r>
              <w:t xml:space="preserve">$12,233 ($7,217–$22,393)</w:t>
            </w:r>
          </w:p>
        </w:tc>
        <w:tc>
          <w:tcPr/>
          <w:p>
            <w:pPr>
              <w:pStyle w:val="Compact"/>
              <w:jc w:val="left"/>
            </w:pPr>
            <w:r>
              <w:t xml:space="preserve">$14,123 ($7,948–$26,704)</w:t>
            </w:r>
          </w:p>
        </w:tc>
        <w:tc>
          <w:tcPr/>
          <w:p>
            <w:pPr>
              <w:pStyle w:val="Compact"/>
              <w:jc w:val="left"/>
            </w:pPr>
            <w:r>
              <w:t xml:space="preserve">$12,083 ($6,971–$22,817)</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All percentages are design-based national estimates with 95% confidence intervals from the survey design; the bracketed figure is the unweighted event count. Readmission, length of stay, cost and disposition are computed on the analytic cohort (discharge survivors with a complete 30-day window and a complete covariate vector). In-hospital mortality is computed on the larger denominator that RETAINS in-hospital deaths, because that is the only population on which a mortality rate is interpretable; the two denominators are reported separately and are never mixed. Readmission characteristics are computed on index admissions that were followed by a readmission and are therefore conditional on being readmitted. Coronary angiography, percutaneous coronary intervention and bypass grafting are reported as PROCESS MEASURES describing how coded type 2 myocardial infarction was managed; they are not outcomes and are not modelled as such. These are unadjusted comparisons; the adjusted estimates are in Table 3.</w:t>
            </w:r>
          </w:p>
        </w:tc>
      </w:tr>
    </w:tbl>
    <w:bookmarkEnd w:id="23"/>
    <w:bookmarkStart w:id="38" w:name="table-3.-primary-analysis"/>
    <w:p>
      <w:pPr>
        <w:pStyle w:val="Heading1"/>
      </w:pPr>
      <w:r>
        <w:t xml:space="preserve">6. Table 3. Primary analysis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C:\Users\saada\AppData\Local\Programs\Positron\resources\app\quarto\share\formats\docx\important.png" id="25"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omnibus test comes first</w:t>
            </w:r>
          </w:p>
        </w:tc>
      </w:tr>
      <w:tr>
        <w:trPr>
          <w:cantSplit/>
        </w:trPr>
        <w:tc>
          <w:tcPr>
            <w:tcMar>
              <w:top w:w="108" w:type="dxa"/>
              <w:bottom w:w="108" w:type="dxa"/>
            </w:tcMar>
          </w:tcPr>
          <w:p>
            <w:pPr>
              <w:pStyle w:val="BodyText"/>
            </w:pPr>
            <w:pPr>
              <w:spacing w:before="16" w:after="16"/>
            </w:pPr>
            <w:r>
              <w:t xml:space="preserve">Design-based joint Wald test across the whole eight-level precipitant block: F(7, 8855) = 92.44, p &lt;0.001.</w:t>
            </w:r>
          </w:p>
          <w:p/>
        </w:tc>
      </w:tr>
    </w:tbl>
    <w:p>
      <w:pPr>
        <w:pStyle w:val="TableCaption"/>
      </w:pPr>
      <w:r>
        <w:t xml:space="preserve">Table 3. Adjusted association between precipitating illness class and 30-day all-cause readmission, versus sepsis or severe infection.</w:t>
      </w:r>
    </w:p>
    <w:tbl>
      <w:tblPr>
        <w:tblStyle w:val="Table"/>
        <w:tblW w:type="pct" w:w="5000"/>
        <w:tblLayout w:type="fixed"/>
        <w:tblLook w:firstRow="1" w:lastRow="0" w:firstColumn="0" w:lastColumn="0" w:noHBand="0" w:noVBand="0" w:val="0020"/>
        <w:tblCaption w:val="Table 3. Adjusted association between precipitating illness class and 30-day all-cause readmission, versus sepsis or severe infection."/>
      </w:tblPr>
      <w:tblGrid>
        <w:gridCol w:w="2245"/>
        <w:gridCol w:w="1241"/>
        <w:gridCol w:w="472"/>
        <w:gridCol w:w="2245"/>
        <w:gridCol w:w="1714"/>
      </w:tblGrid>
      <w:tr>
        <w:trPr>
          <w:tblHeader w:val="on"/>
        </w:trPr>
        <w:tc>
          <w:tcPr/>
          <w:p>
            <w:pPr>
              <w:pStyle w:val="Compact"/>
              <w:jc w:val="left"/>
            </w:pPr>
            <w:r>
              <w:t xml:space="preserve">Precipitant class</w:t>
            </w:r>
          </w:p>
        </w:tc>
        <w:tc>
          <w:tcPr/>
          <w:p>
            <w:pPr>
              <w:pStyle w:val="Compact"/>
              <w:jc w:val="left"/>
            </w:pPr>
            <w:r>
              <w:t xml:space="preserve">Adjusted OR (95% CI)</w:t>
            </w:r>
          </w:p>
        </w:tc>
        <w:tc>
          <w:tcPr/>
          <w:p>
            <w:pPr>
              <w:pStyle w:val="Compact"/>
              <w:jc w:val="left"/>
            </w:pPr>
            <w:r>
              <w:t xml:space="preserve">p value</w:t>
            </w:r>
          </w:p>
        </w:tc>
        <w:tc>
          <w:tcPr/>
          <w:p>
            <w:pPr>
              <w:pStyle w:val="Compact"/>
              <w:jc w:val="left"/>
            </w:pPr>
            <w:r>
              <w:t xml:space="preserve">Adjusted risk difference, pp (95% CI)</w:t>
            </w:r>
          </w:p>
        </w:tc>
        <w:tc>
          <w:tcPr/>
          <w:p>
            <w:pPr>
              <w:pStyle w:val="Compact"/>
              <w:jc w:val="left"/>
            </w:pPr>
            <w:r>
              <w:t xml:space="preserve">Adjusted risk ratio (95% CI)</w:t>
            </w:r>
          </w:p>
        </w:tc>
      </w:tr>
      <w:tr>
        <w:tc>
          <w:tcPr/>
          <w:p>
            <w:pPr>
              <w:pStyle w:val="Compact"/>
              <w:jc w:val="left"/>
            </w:pPr>
            <w:r>
              <w:t xml:space="preserve">Acute GI bleed or blood-loss anaemia</w:t>
            </w:r>
          </w:p>
        </w:tc>
        <w:tc>
          <w:tcPr/>
          <w:p>
            <w:pPr>
              <w:pStyle w:val="Compact"/>
              <w:jc w:val="left"/>
            </w:pPr>
            <w:r>
              <w:t xml:space="preserve">1.12 (1.09–1.14)</w:t>
            </w:r>
          </w:p>
        </w:tc>
        <w:tc>
          <w:tcPr/>
          <w:p>
            <w:pPr>
              <w:pStyle w:val="Compact"/>
              <w:jc w:val="left"/>
            </w:pPr>
            <w:r>
              <w:t xml:space="preserve">&lt;0.001</w:t>
            </w:r>
          </w:p>
        </w:tc>
        <w:tc>
          <w:tcPr/>
          <w:p>
            <w:pPr>
              <w:pStyle w:val="Compact"/>
              <w:jc w:val="left"/>
            </w:pPr>
            <w:r>
              <w:t xml:space="preserve">1.78 (1.39–2.16)</w:t>
            </w:r>
          </w:p>
        </w:tc>
        <w:tc>
          <w:tcPr/>
          <w:p>
            <w:pPr>
              <w:pStyle w:val="Compact"/>
              <w:jc w:val="left"/>
            </w:pPr>
            <w:r>
              <w:t xml:space="preserve">1.09 (1.07–1.11)</w:t>
            </w:r>
          </w:p>
        </w:tc>
      </w:tr>
      <w:tr>
        <w:tc>
          <w:tcPr/>
          <w:p>
            <w:pPr>
              <w:pStyle w:val="Compact"/>
              <w:jc w:val="left"/>
            </w:pPr>
            <w:r>
              <w:t xml:space="preserve">Hypertensive emergency</w:t>
            </w:r>
          </w:p>
        </w:tc>
        <w:tc>
          <w:tcPr/>
          <w:p>
            <w:pPr>
              <w:pStyle w:val="Compact"/>
              <w:jc w:val="left"/>
            </w:pPr>
            <w:r>
              <w:t xml:space="preserve">0.79 (0.77–0.82)</w:t>
            </w:r>
          </w:p>
        </w:tc>
        <w:tc>
          <w:tcPr/>
          <w:p>
            <w:pPr>
              <w:pStyle w:val="Compact"/>
              <w:jc w:val="left"/>
            </w:pPr>
            <w:r>
              <w:t xml:space="preserve">&lt;0.001</w:t>
            </w:r>
          </w:p>
        </w:tc>
        <w:tc>
          <w:tcPr/>
          <w:p>
            <w:pPr>
              <w:pStyle w:val="Compact"/>
              <w:jc w:val="left"/>
            </w:pPr>
            <w:r>
              <w:t xml:space="preserve">-3.39 (-3.80–-2.99)</w:t>
            </w:r>
          </w:p>
        </w:tc>
        <w:tc>
          <w:tcPr/>
          <w:p>
            <w:pPr>
              <w:pStyle w:val="Compact"/>
              <w:jc w:val="left"/>
            </w:pPr>
            <w:r>
              <w:t xml:space="preserve">0.83 (0.81–0.85)</w:t>
            </w:r>
          </w:p>
        </w:tc>
      </w:tr>
      <w:tr>
        <w:tc>
          <w:tcPr/>
          <w:p>
            <w:pPr>
              <w:pStyle w:val="Compact"/>
              <w:jc w:val="left"/>
            </w:pPr>
            <w:r>
              <w:t xml:space="preserve">Tachyarrhythmia</w:t>
            </w:r>
          </w:p>
        </w:tc>
        <w:tc>
          <w:tcPr/>
          <w:p>
            <w:pPr>
              <w:pStyle w:val="Compact"/>
              <w:jc w:val="left"/>
            </w:pPr>
            <w:r>
              <w:t xml:space="preserve">1.03 (1.02–1.05)</w:t>
            </w:r>
          </w:p>
        </w:tc>
        <w:tc>
          <w:tcPr/>
          <w:p>
            <w:pPr>
              <w:pStyle w:val="Compact"/>
              <w:jc w:val="left"/>
            </w:pPr>
            <w:r>
              <w:t xml:space="preserve">&lt;0.001</w:t>
            </w:r>
          </w:p>
        </w:tc>
        <w:tc>
          <w:tcPr/>
          <w:p>
            <w:pPr>
              <w:pStyle w:val="Compact"/>
              <w:jc w:val="left"/>
            </w:pPr>
            <w:r>
              <w:t xml:space="preserve">0.51 (0.24–0.78)</w:t>
            </w:r>
          </w:p>
        </w:tc>
        <w:tc>
          <w:tcPr/>
          <w:p>
            <w:pPr>
              <w:pStyle w:val="Compact"/>
              <w:jc w:val="left"/>
            </w:pPr>
            <w:r>
              <w:t xml:space="preserve">1.03 (1.01–1.04)</w:t>
            </w:r>
          </w:p>
        </w:tc>
      </w:tr>
      <w:tr>
        <w:tc>
          <w:tcPr/>
          <w:p>
            <w:pPr>
              <w:pStyle w:val="Compact"/>
              <w:jc w:val="left"/>
            </w:pPr>
            <w:r>
              <w:t xml:space="preserve">Acute respiratory failure</w:t>
            </w:r>
          </w:p>
        </w:tc>
        <w:tc>
          <w:tcPr/>
          <w:p>
            <w:pPr>
              <w:pStyle w:val="Compact"/>
              <w:jc w:val="left"/>
            </w:pPr>
            <w:r>
              <w:t xml:space="preserve">0.88 (0.86–0.90)</w:t>
            </w:r>
          </w:p>
        </w:tc>
        <w:tc>
          <w:tcPr/>
          <w:p>
            <w:pPr>
              <w:pStyle w:val="Compact"/>
              <w:jc w:val="left"/>
            </w:pPr>
            <w:r>
              <w:t xml:space="preserve">&lt;0.001</w:t>
            </w:r>
          </w:p>
        </w:tc>
        <w:tc>
          <w:tcPr/>
          <w:p>
            <w:pPr>
              <w:pStyle w:val="Compact"/>
              <w:jc w:val="left"/>
            </w:pPr>
            <w:r>
              <w:t xml:space="preserve">-1.93 (-2.27–-1.59)</w:t>
            </w:r>
          </w:p>
        </w:tc>
        <w:tc>
          <w:tcPr/>
          <w:p>
            <w:pPr>
              <w:pStyle w:val="Compact"/>
              <w:jc w:val="left"/>
            </w:pPr>
            <w:r>
              <w:t xml:space="preserve">0.91 (0.89–0.92)</w:t>
            </w:r>
          </w:p>
        </w:tc>
      </w:tr>
      <w:tr>
        <w:tc>
          <w:tcPr/>
          <w:p>
            <w:pPr>
              <w:pStyle w:val="Compact"/>
              <w:jc w:val="left"/>
            </w:pPr>
            <w:r>
              <w:t xml:space="preserve">Hypovolaemia or non-cardiogenic shock</w:t>
            </w:r>
          </w:p>
        </w:tc>
        <w:tc>
          <w:tcPr/>
          <w:p>
            <w:pPr>
              <w:pStyle w:val="Compact"/>
              <w:jc w:val="left"/>
            </w:pPr>
            <w:r>
              <w:t xml:space="preserve">0.92 (0.89–0.95)</w:t>
            </w:r>
          </w:p>
        </w:tc>
        <w:tc>
          <w:tcPr/>
          <w:p>
            <w:pPr>
              <w:pStyle w:val="Compact"/>
              <w:jc w:val="left"/>
            </w:pPr>
            <w:r>
              <w:t xml:space="preserve">&lt;0.001</w:t>
            </w:r>
          </w:p>
        </w:tc>
        <w:tc>
          <w:tcPr/>
          <w:p>
            <w:pPr>
              <w:pStyle w:val="Compact"/>
              <w:jc w:val="left"/>
            </w:pPr>
            <w:r>
              <w:t xml:space="preserve">-1.31 (-1.78–-0.85)</w:t>
            </w:r>
          </w:p>
        </w:tc>
        <w:tc>
          <w:tcPr/>
          <w:p>
            <w:pPr>
              <w:pStyle w:val="Compact"/>
              <w:jc w:val="left"/>
            </w:pPr>
            <w:r>
              <w:t xml:space="preserve">0.94 (0.91–0.96)</w:t>
            </w:r>
          </w:p>
        </w:tc>
      </w:tr>
      <w:tr>
        <w:tc>
          <w:tcPr/>
          <w:p>
            <w:pPr>
              <w:pStyle w:val="Compact"/>
              <w:jc w:val="left"/>
            </w:pPr>
            <w:r>
              <w:t xml:space="preserve">Perioperative</w:t>
            </w:r>
          </w:p>
        </w:tc>
        <w:tc>
          <w:tcPr/>
          <w:p>
            <w:pPr>
              <w:pStyle w:val="Compact"/>
              <w:jc w:val="left"/>
            </w:pPr>
            <w:r>
              <w:t xml:space="preserve">0.94 (0.89–0.99)</w:t>
            </w:r>
          </w:p>
        </w:tc>
        <w:tc>
          <w:tcPr/>
          <w:p>
            <w:pPr>
              <w:pStyle w:val="Compact"/>
              <w:jc w:val="left"/>
            </w:pPr>
            <w:r>
              <w:t xml:space="preserve">0.021</w:t>
            </w:r>
          </w:p>
        </w:tc>
        <w:tc>
          <w:tcPr/>
          <w:p>
            <w:pPr>
              <w:pStyle w:val="Compact"/>
              <w:jc w:val="left"/>
            </w:pPr>
            <w:r>
              <w:t xml:space="preserve">-0.95 (-1.74–-0.15)</w:t>
            </w:r>
          </w:p>
        </w:tc>
        <w:tc>
          <w:tcPr/>
          <w:p>
            <w:pPr>
              <w:pStyle w:val="Compact"/>
              <w:jc w:val="left"/>
            </w:pPr>
            <w:r>
              <w:t xml:space="preserve">0.95 (0.92–0.99)</w:t>
            </w:r>
          </w:p>
        </w:tc>
      </w:tr>
      <w:tr>
        <w:tc>
          <w:tcPr/>
          <w:p>
            <w:pPr>
              <w:pStyle w:val="Compact"/>
              <w:jc w:val="left"/>
            </w:pPr>
            <w:r>
              <w:t xml:space="preserve">None of the above</w:t>
            </w:r>
          </w:p>
        </w:tc>
        <w:tc>
          <w:tcPr/>
          <w:p>
            <w:pPr>
              <w:pStyle w:val="Compact"/>
              <w:jc w:val="left"/>
            </w:pPr>
            <w:r>
              <w:t xml:space="preserve">0.93 (0.91–0.95)</w:t>
            </w:r>
          </w:p>
        </w:tc>
        <w:tc>
          <w:tcPr/>
          <w:p>
            <w:pPr>
              <w:pStyle w:val="Compact"/>
              <w:jc w:val="left"/>
            </w:pPr>
            <w:r>
              <w:t xml:space="preserve">&lt;0.001</w:t>
            </w:r>
          </w:p>
        </w:tc>
        <w:tc>
          <w:tcPr/>
          <w:p>
            <w:pPr>
              <w:pStyle w:val="Compact"/>
              <w:jc w:val="left"/>
            </w:pPr>
            <w:r>
              <w:t xml:space="preserve">-1.09 (-1.38–-0.79)</w:t>
            </w:r>
          </w:p>
        </w:tc>
        <w:tc>
          <w:tcPr/>
          <w:p>
            <w:pPr>
              <w:pStyle w:val="Compact"/>
              <w:jc w:val="left"/>
            </w:pPr>
            <w:r>
              <w:t xml:space="preserve">0.95 (0.93–0.96)</w:t>
            </w:r>
          </w:p>
        </w:tc>
      </w:tr>
    </w:tbl>
    <w:p>
      <w:pPr>
        <w:pStyle w:val="BodyText"/>
      </w:pPr>
      <w:r>
        <w:t xml:space="preserve"> </w:t>
      </w:r>
    </w:p>
    <w:p>
      <w:pPr>
        <w:pStyle w:val="TableCaption"/>
      </w:pPr>
      <w:r>
        <w:t xml:space="preserve">Table 3b. Adjusted absolute 30-day readmission risk for each precipitant class (marginal standardization).</w:t>
      </w:r>
    </w:p>
    <w:tbl>
      <w:tblPr>
        <w:tblStyle w:val="Table"/>
        <w:tblW w:type="pct" w:w="5000"/>
        <w:tblLayout w:type="fixed"/>
        <w:tblLook w:firstRow="1" w:lastRow="0" w:firstColumn="0" w:lastColumn="0" w:noHBand="0" w:noVBand="0" w:val="0020"/>
        <w:tblCaption w:val="Table 3b. Adjusted absolute 30-day readmission risk for each precipitant class (marginal standardization)."/>
      </w:tblPr>
      <w:tblGrid>
        <w:gridCol w:w="3135"/>
        <w:gridCol w:w="1072"/>
        <w:gridCol w:w="3712"/>
      </w:tblGrid>
      <w:tr>
        <w:trPr>
          <w:tblHeader w:val="on"/>
        </w:trPr>
        <w:tc>
          <w:tcPr/>
          <w:p>
            <w:pPr>
              <w:pStyle w:val="Compact"/>
              <w:jc w:val="left"/>
            </w:pPr>
            <w:r>
              <w:t xml:space="preserve">Precipitant class</w:t>
            </w:r>
          </w:p>
        </w:tc>
        <w:tc>
          <w:tcPr/>
          <w:p>
            <w:pPr>
              <w:pStyle w:val="Compact"/>
              <w:jc w:val="left"/>
            </w:pPr>
            <w:r>
              <w:t xml:space="preserve">Unweighted n</w:t>
            </w:r>
          </w:p>
        </w:tc>
        <w:tc>
          <w:tcPr/>
          <w:p>
            <w:pPr>
              <w:pStyle w:val="Compact"/>
              <w:jc w:val="left"/>
            </w:pPr>
            <w:r>
              <w:t xml:space="preserve">Adjusted 30-day readmission risk, % (95% CI)</w:t>
            </w:r>
          </w:p>
        </w:tc>
      </w:tr>
      <w:tr>
        <w:tc>
          <w:tcPr/>
          <w:p>
            <w:pPr>
              <w:pStyle w:val="Compact"/>
              <w:jc w:val="left"/>
            </w:pPr>
            <w:r>
              <w:t xml:space="preserve">Sepsis or severe infection</w:t>
            </w:r>
          </w:p>
        </w:tc>
        <w:tc>
          <w:tcPr/>
          <w:p>
            <w:pPr>
              <w:pStyle w:val="Compact"/>
              <w:jc w:val="left"/>
            </w:pPr>
            <w:r>
              <w:t xml:space="preserve">212,755</w:t>
            </w:r>
          </w:p>
        </w:tc>
        <w:tc>
          <w:tcPr/>
          <w:p>
            <w:pPr>
              <w:pStyle w:val="Compact"/>
              <w:jc w:val="left"/>
            </w:pPr>
            <w:r>
              <w:t xml:space="preserve">20.4% (20.2–20.6)</w:t>
            </w:r>
          </w:p>
        </w:tc>
      </w:tr>
      <w:tr>
        <w:tc>
          <w:tcPr/>
          <w:p>
            <w:pPr>
              <w:pStyle w:val="Compact"/>
              <w:jc w:val="left"/>
            </w:pPr>
            <w:r>
              <w:t xml:space="preserve">Acute GI bleed or blood-loss anaemia</w:t>
            </w:r>
          </w:p>
        </w:tc>
        <w:tc>
          <w:tcPr/>
          <w:p>
            <w:pPr>
              <w:pStyle w:val="Compact"/>
              <w:jc w:val="left"/>
            </w:pPr>
            <w:r>
              <w:t xml:space="preserve">67,482</w:t>
            </w:r>
          </w:p>
        </w:tc>
        <w:tc>
          <w:tcPr/>
          <w:p>
            <w:pPr>
              <w:pStyle w:val="Compact"/>
              <w:jc w:val="left"/>
            </w:pPr>
            <w:r>
              <w:t xml:space="preserve">22.2% (21.9–22.5)</w:t>
            </w:r>
          </w:p>
        </w:tc>
      </w:tr>
      <w:tr>
        <w:tc>
          <w:tcPr/>
          <w:p>
            <w:pPr>
              <w:pStyle w:val="Compact"/>
              <w:jc w:val="left"/>
            </w:pPr>
            <w:r>
              <w:t xml:space="preserve">Hypertensive emergency</w:t>
            </w:r>
          </w:p>
        </w:tc>
        <w:tc>
          <w:tcPr/>
          <w:p>
            <w:pPr>
              <w:pStyle w:val="Compact"/>
              <w:jc w:val="left"/>
            </w:pPr>
            <w:r>
              <w:t xml:space="preserve">47,196</w:t>
            </w:r>
          </w:p>
        </w:tc>
        <w:tc>
          <w:tcPr/>
          <w:p>
            <w:pPr>
              <w:pStyle w:val="Compact"/>
              <w:jc w:val="left"/>
            </w:pPr>
            <w:r>
              <w:t xml:space="preserve">17.0% (16.7–17.4)</w:t>
            </w:r>
          </w:p>
        </w:tc>
      </w:tr>
      <w:tr>
        <w:tc>
          <w:tcPr/>
          <w:p>
            <w:pPr>
              <w:pStyle w:val="Compact"/>
              <w:jc w:val="left"/>
            </w:pPr>
            <w:r>
              <w:t xml:space="preserve">Tachyarrhythmia</w:t>
            </w:r>
          </w:p>
        </w:tc>
        <w:tc>
          <w:tcPr/>
          <w:p>
            <w:pPr>
              <w:pStyle w:val="Compact"/>
              <w:jc w:val="left"/>
            </w:pPr>
            <w:r>
              <w:t xml:space="preserve">228,176</w:t>
            </w:r>
          </w:p>
        </w:tc>
        <w:tc>
          <w:tcPr/>
          <w:p>
            <w:pPr>
              <w:pStyle w:val="Compact"/>
              <w:jc w:val="left"/>
            </w:pPr>
            <w:r>
              <w:t xml:space="preserve">20.9% (20.7–21.1)</w:t>
            </w:r>
          </w:p>
        </w:tc>
      </w:tr>
      <w:tr>
        <w:tc>
          <w:tcPr/>
          <w:p>
            <w:pPr>
              <w:pStyle w:val="Compact"/>
              <w:jc w:val="left"/>
            </w:pPr>
            <w:r>
              <w:t xml:space="preserve">Acute respiratory failure</w:t>
            </w:r>
          </w:p>
        </w:tc>
        <w:tc>
          <w:tcPr/>
          <w:p>
            <w:pPr>
              <w:pStyle w:val="Compact"/>
              <w:jc w:val="left"/>
            </w:pPr>
            <w:r>
              <w:t xml:space="preserve">77,718</w:t>
            </w:r>
          </w:p>
        </w:tc>
        <w:tc>
          <w:tcPr/>
          <w:p>
            <w:pPr>
              <w:pStyle w:val="Compact"/>
              <w:jc w:val="left"/>
            </w:pPr>
            <w:r>
              <w:t xml:space="preserve">18.5% (18.2–18.8)</w:t>
            </w:r>
          </w:p>
        </w:tc>
      </w:tr>
      <w:tr>
        <w:tc>
          <w:tcPr/>
          <w:p>
            <w:pPr>
              <w:pStyle w:val="Compact"/>
              <w:jc w:val="left"/>
            </w:pPr>
            <w:r>
              <w:t xml:space="preserve">Hypovolaemia or non-cardiogenic shock</w:t>
            </w:r>
          </w:p>
        </w:tc>
        <w:tc>
          <w:tcPr/>
          <w:p>
            <w:pPr>
              <w:pStyle w:val="Compact"/>
              <w:jc w:val="left"/>
            </w:pPr>
            <w:r>
              <w:t xml:space="preserve">37,854</w:t>
            </w:r>
          </w:p>
        </w:tc>
        <w:tc>
          <w:tcPr/>
          <w:p>
            <w:pPr>
              <w:pStyle w:val="Compact"/>
              <w:jc w:val="left"/>
            </w:pPr>
            <w:r>
              <w:t xml:space="preserve">19.1% (18.7–19.5)</w:t>
            </w:r>
          </w:p>
        </w:tc>
      </w:tr>
      <w:tr>
        <w:tc>
          <w:tcPr/>
          <w:p>
            <w:pPr>
              <w:pStyle w:val="Compact"/>
              <w:jc w:val="left"/>
            </w:pPr>
            <w:r>
              <w:t xml:space="preserve">Perioperative</w:t>
            </w:r>
          </w:p>
        </w:tc>
        <w:tc>
          <w:tcPr/>
          <w:p>
            <w:pPr>
              <w:pStyle w:val="Compact"/>
              <w:jc w:val="left"/>
            </w:pPr>
            <w:r>
              <w:t xml:space="preserve">11,520</w:t>
            </w:r>
          </w:p>
        </w:tc>
        <w:tc>
          <w:tcPr/>
          <w:p>
            <w:pPr>
              <w:pStyle w:val="Compact"/>
              <w:jc w:val="left"/>
            </w:pPr>
            <w:r>
              <w:t xml:space="preserve">19.5% (18.7–20.3)</w:t>
            </w:r>
          </w:p>
        </w:tc>
      </w:tr>
      <w:tr>
        <w:tc>
          <w:tcPr/>
          <w:p>
            <w:pPr>
              <w:pStyle w:val="Compact"/>
              <w:jc w:val="left"/>
            </w:pPr>
            <w:r>
              <w:t xml:space="preserve">None of the above</w:t>
            </w:r>
          </w:p>
        </w:tc>
        <w:tc>
          <w:tcPr/>
          <w:p>
            <w:pPr>
              <w:pStyle w:val="Compact"/>
              <w:jc w:val="left"/>
            </w:pPr>
            <w:r>
              <w:t xml:space="preserve">187,785</w:t>
            </w:r>
          </w:p>
        </w:tc>
        <w:tc>
          <w:tcPr/>
          <w:p>
            <w:pPr>
              <w:pStyle w:val="Compact"/>
              <w:jc w:val="left"/>
            </w:pPr>
            <w:r>
              <w:t xml:space="preserve">19.3% (19.1–19.6)</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The primary model is a survey-weighted logistic regression of 30-day all-cause readmission on the eight-level precipitating illness class, with sepsis or severe infection as the reference, adjusted for the pre-specified covariate blocks: age modelled as a restricted cubic spline with four knots, sex, primary payer, ZIP-code income quartile, NCHS urban-rural residence, weekend admission, admission type, hospital bed size, location and teaching status, ownership, discharge year, the Elixhauser comorbidity set with the pre-specified exclusions below, cardiogenic shock, mechanical ventilation, chronic kidney disease stage, known coronary artery disease, prior revascularization and whether the index admission included coronary angiography. Design-based joint Wald test across the whole eight-level precipitant block: F(7, 8855) = 92.44, p &lt;0.001. Adjusted absolute risks were obtained by marginal standardization over the whole analytic cohort with delta-method variance on the design-based covariance matrix and t critical values on 8928 design degrees of freedom. FIVE ELIXHAUSER FLAGS WERE REMOVED FROM EVERY MODEL BY PRE-SPECIFICATION, not after inspection, because each overlaps a precipitant class by construction and adjusting for it would attenuate the very contrast being estimated: Blood loss anaemia (excluded from the model by pre-specification) (D62 is the rank-2 precipitant itself); Deficiency anaemia (excluded from the model by pre-specification) (same clinical entity as the rank-2 precipitant); Cardiac arrhythmias (excluded from the model by pre-specification) (I47/I48/I49 is the rank-4 precipitant itself); Fluid and electrolyte disorders (excluded from the model by pre-specification) (E86/E87 is the rank-6 precipitant itself); Renal failure (excluded from the model by pre-specification) (superseded in finer detail by the CKD_Stage covariate). Chronic pulmonary disease was deliberately RETAINED, because chronic disease is a confounder while acute respiratory failure is the exposure, and ICD-10-CM distinguishes them. Atrial fibrillation and the Elixhauser comorbidity count are reported in Table 1 but are not covariates: the former is definitionally the tachyarrhythmia class, the latter is a linear combination of flags already entered individually. No pre-specified covariate required removal by the sparse-cell guard. The Model 4 to Model 5 change is attenuation consistent with mediation and is not an adjusted estimate.</w:t>
            </w:r>
          </w:p>
        </w:tc>
      </w:tr>
    </w:tbl>
    <w:p>
      <w:pPr>
        <w:pStyle w:val="TableCaption"/>
      </w:pPr>
      <w:r>
        <w:t xml:space="preserve">Table 3c. Co-estimator: pairwise propensity-score overlap-weighted (ATO) odds ratio and risk difference versus sepsis.</w:t>
      </w:r>
    </w:p>
    <w:tbl>
      <w:tblPr>
        <w:tblStyle w:val="Table"/>
        <w:tblW w:type="pct" w:w="5000"/>
        <w:tblLayout w:type="fixed"/>
        <w:tblLook w:firstRow="1" w:lastRow="0" w:firstColumn="0" w:lastColumn="0" w:noHBand="0" w:noVBand="0" w:val="0020"/>
        <w:tblCaption w:val="Table 3c. Co-estimator: pairwise propensity-score overlap-weighted (ATO) odds ratio and risk difference versus sepsis."/>
      </w:tblPr>
      <w:tblGrid>
        <w:gridCol w:w="2786"/>
        <w:gridCol w:w="2126"/>
        <w:gridCol w:w="586"/>
        <w:gridCol w:w="2420"/>
      </w:tblGrid>
      <w:tr>
        <w:trPr>
          <w:tblHeader w:val="on"/>
        </w:trPr>
        <w:tc>
          <w:tcPr/>
          <w:p>
            <w:pPr>
              <w:pStyle w:val="Compact"/>
              <w:jc w:val="left"/>
            </w:pPr>
            <w:r>
              <w:t xml:space="preserve">Precipitant class (vs sepsis)</w:t>
            </w:r>
          </w:p>
        </w:tc>
        <w:tc>
          <w:tcPr/>
          <w:p>
            <w:pPr>
              <w:pStyle w:val="Compact"/>
              <w:jc w:val="left"/>
            </w:pPr>
            <w:r>
              <w:t xml:space="preserve">Overlap-weighted OR (95% CI)</w:t>
            </w:r>
          </w:p>
        </w:tc>
        <w:tc>
          <w:tcPr/>
          <w:p>
            <w:pPr>
              <w:pStyle w:val="Compact"/>
              <w:jc w:val="left"/>
            </w:pPr>
            <w:r>
              <w:t xml:space="preserve">p value</w:t>
            </w:r>
          </w:p>
        </w:tc>
        <w:tc>
          <w:tcPr/>
          <w:p>
            <w:pPr>
              <w:pStyle w:val="Compact"/>
              <w:jc w:val="left"/>
            </w:pPr>
            <w:r>
              <w:t xml:space="preserve">Overlap-weighted RD, pp (95% CI)</w:t>
            </w:r>
          </w:p>
        </w:tc>
      </w:tr>
      <w:tr>
        <w:tc>
          <w:tcPr/>
          <w:p>
            <w:pPr>
              <w:pStyle w:val="Compact"/>
              <w:jc w:val="left"/>
            </w:pPr>
            <w:r>
              <w:t xml:space="preserve">Acute GI bleed or blood-loss anaemia</w:t>
            </w:r>
          </w:p>
        </w:tc>
        <w:tc>
          <w:tcPr/>
          <w:p>
            <w:pPr>
              <w:pStyle w:val="Compact"/>
              <w:jc w:val="left"/>
            </w:pPr>
            <w:r>
              <w:t xml:space="preserve">1.12 (1.09–1.15)</w:t>
            </w:r>
          </w:p>
        </w:tc>
        <w:tc>
          <w:tcPr/>
          <w:p>
            <w:pPr>
              <w:pStyle w:val="Compact"/>
              <w:jc w:val="left"/>
            </w:pPr>
            <w:r>
              <w:t xml:space="preserve">&lt;0.001</w:t>
            </w:r>
          </w:p>
        </w:tc>
        <w:tc>
          <w:tcPr/>
          <w:p>
            <w:pPr>
              <w:pStyle w:val="Compact"/>
              <w:jc w:val="left"/>
            </w:pPr>
            <w:r>
              <w:t xml:space="preserve">1.87 (1.47–2.27)</w:t>
            </w:r>
          </w:p>
        </w:tc>
      </w:tr>
      <w:tr>
        <w:tc>
          <w:tcPr/>
          <w:p>
            <w:pPr>
              <w:pStyle w:val="Compact"/>
              <w:jc w:val="left"/>
            </w:pPr>
            <w:r>
              <w:t xml:space="preserve">Hypertensive emergency</w:t>
            </w:r>
          </w:p>
        </w:tc>
        <w:tc>
          <w:tcPr/>
          <w:p>
            <w:pPr>
              <w:pStyle w:val="Compact"/>
              <w:jc w:val="left"/>
            </w:pPr>
            <w:r>
              <w:t xml:space="preserve">0.78 (0.76–0.81)</w:t>
            </w:r>
          </w:p>
        </w:tc>
        <w:tc>
          <w:tcPr/>
          <w:p>
            <w:pPr>
              <w:pStyle w:val="Compact"/>
              <w:jc w:val="left"/>
            </w:pPr>
            <w:r>
              <w:t xml:space="preserve">&lt;0.001</w:t>
            </w:r>
          </w:p>
        </w:tc>
        <w:tc>
          <w:tcPr/>
          <w:p>
            <w:pPr>
              <w:pStyle w:val="Compact"/>
              <w:jc w:val="left"/>
            </w:pPr>
            <w:r>
              <w:t xml:space="preserve">-3.69 (-4.17–-3.21)</w:t>
            </w:r>
          </w:p>
        </w:tc>
      </w:tr>
      <w:tr>
        <w:tc>
          <w:tcPr/>
          <w:p>
            <w:pPr>
              <w:pStyle w:val="Compact"/>
              <w:jc w:val="left"/>
            </w:pPr>
            <w:r>
              <w:t xml:space="preserve">Tachyarrhythmia</w:t>
            </w:r>
          </w:p>
        </w:tc>
        <w:tc>
          <w:tcPr/>
          <w:p>
            <w:pPr>
              <w:pStyle w:val="Compact"/>
              <w:jc w:val="left"/>
            </w:pPr>
            <w:r>
              <w:t xml:space="preserve">1.03 (1.01–1.05)</w:t>
            </w:r>
          </w:p>
        </w:tc>
        <w:tc>
          <w:tcPr/>
          <w:p>
            <w:pPr>
              <w:pStyle w:val="Compact"/>
              <w:jc w:val="left"/>
            </w:pPr>
            <w:r>
              <w:t xml:space="preserve">0.002</w:t>
            </w:r>
          </w:p>
        </w:tc>
        <w:tc>
          <w:tcPr/>
          <w:p>
            <w:pPr>
              <w:pStyle w:val="Compact"/>
              <w:jc w:val="left"/>
            </w:pPr>
            <w:r>
              <w:t xml:space="preserve">0.44 (0.16–0.72)</w:t>
            </w:r>
          </w:p>
        </w:tc>
      </w:tr>
      <w:tr>
        <w:tc>
          <w:tcPr/>
          <w:p>
            <w:pPr>
              <w:pStyle w:val="Compact"/>
              <w:jc w:val="left"/>
            </w:pPr>
            <w:r>
              <w:t xml:space="preserve">Acute respiratory failure</w:t>
            </w:r>
          </w:p>
        </w:tc>
        <w:tc>
          <w:tcPr/>
          <w:p>
            <w:pPr>
              <w:pStyle w:val="Compact"/>
              <w:jc w:val="left"/>
            </w:pPr>
            <w:r>
              <w:t xml:space="preserve">0.88 (0.86–0.90)</w:t>
            </w:r>
          </w:p>
        </w:tc>
        <w:tc>
          <w:tcPr/>
          <w:p>
            <w:pPr>
              <w:pStyle w:val="Compact"/>
              <w:jc w:val="left"/>
            </w:pPr>
            <w:r>
              <w:t xml:space="preserve">&lt;0.001</w:t>
            </w:r>
          </w:p>
        </w:tc>
        <w:tc>
          <w:tcPr/>
          <w:p>
            <w:pPr>
              <w:pStyle w:val="Compact"/>
              <w:jc w:val="left"/>
            </w:pPr>
            <w:r>
              <w:t xml:space="preserve">-2.01 (-2.37–-1.66)</w:t>
            </w:r>
          </w:p>
        </w:tc>
      </w:tr>
      <w:tr>
        <w:tc>
          <w:tcPr/>
          <w:p>
            <w:pPr>
              <w:pStyle w:val="Compact"/>
              <w:jc w:val="left"/>
            </w:pPr>
            <w:r>
              <w:t xml:space="preserve">Hypovolaemia or non-cardiogenic shock</w:t>
            </w:r>
          </w:p>
        </w:tc>
        <w:tc>
          <w:tcPr/>
          <w:p>
            <w:pPr>
              <w:pStyle w:val="Compact"/>
              <w:jc w:val="left"/>
            </w:pPr>
            <w:r>
              <w:t xml:space="preserve">0.91 (0.88–0.93)</w:t>
            </w:r>
          </w:p>
        </w:tc>
        <w:tc>
          <w:tcPr/>
          <w:p>
            <w:pPr>
              <w:pStyle w:val="Compact"/>
              <w:jc w:val="left"/>
            </w:pPr>
            <w:r>
              <w:t xml:space="preserve">&lt;0.001</w:t>
            </w:r>
          </w:p>
        </w:tc>
        <w:tc>
          <w:tcPr/>
          <w:p>
            <w:pPr>
              <w:pStyle w:val="Compact"/>
              <w:jc w:val="left"/>
            </w:pPr>
            <w:r>
              <w:t xml:space="preserve">-1.48 (-1.94–-1.02)</w:t>
            </w:r>
          </w:p>
        </w:tc>
      </w:tr>
      <w:tr>
        <w:tc>
          <w:tcPr/>
          <w:p>
            <w:pPr>
              <w:pStyle w:val="Compact"/>
              <w:jc w:val="left"/>
            </w:pPr>
            <w:r>
              <w:t xml:space="preserve">Perioperative</w:t>
            </w:r>
          </w:p>
        </w:tc>
        <w:tc>
          <w:tcPr/>
          <w:p>
            <w:pPr>
              <w:pStyle w:val="Compact"/>
              <w:jc w:val="left"/>
            </w:pPr>
            <w:r>
              <w:t xml:space="preserve">0.91 (0.86–0.96)</w:t>
            </w:r>
          </w:p>
        </w:tc>
        <w:tc>
          <w:tcPr/>
          <w:p>
            <w:pPr>
              <w:pStyle w:val="Compact"/>
              <w:jc w:val="left"/>
            </w:pPr>
            <w:r>
              <w:t xml:space="preserve">&lt;0.001</w:t>
            </w:r>
          </w:p>
        </w:tc>
        <w:tc>
          <w:tcPr/>
          <w:p>
            <w:pPr>
              <w:pStyle w:val="Compact"/>
              <w:jc w:val="left"/>
            </w:pPr>
            <w:r>
              <w:t xml:space="preserve">-1.41 (-2.22–-0.61)</w:t>
            </w:r>
          </w:p>
        </w:tc>
      </w:tr>
      <w:tr>
        <w:tc>
          <w:tcPr/>
          <w:p>
            <w:pPr>
              <w:pStyle w:val="Compact"/>
              <w:jc w:val="left"/>
            </w:pPr>
            <w:r>
              <w:t xml:space="preserve">None of the above</w:t>
            </w:r>
          </w:p>
        </w:tc>
        <w:tc>
          <w:tcPr/>
          <w:p>
            <w:pPr>
              <w:pStyle w:val="Compact"/>
              <w:jc w:val="left"/>
            </w:pPr>
            <w:r>
              <w:t xml:space="preserve">0.94 (0.92–0.95)</w:t>
            </w:r>
          </w:p>
        </w:tc>
        <w:tc>
          <w:tcPr/>
          <w:p>
            <w:pPr>
              <w:pStyle w:val="Compact"/>
              <w:jc w:val="left"/>
            </w:pPr>
            <w:r>
              <w:t xml:space="preserve">&lt;0.001</w:t>
            </w:r>
          </w:p>
        </w:tc>
        <w:tc>
          <w:tcPr/>
          <w:p>
            <w:pPr>
              <w:pStyle w:val="Compact"/>
              <w:jc w:val="left"/>
            </w:pPr>
            <w:r>
              <w:t xml:space="preserve">-1.03 (-1.33–-0.72)</w:t>
            </w:r>
          </w:p>
        </w:tc>
      </w:tr>
    </w:tbl>
    <w:p>
      <w:pPr>
        <w:pStyle w:val="BodyText"/>
      </w:pPr>
      <w:r>
        <w:t xml:space="preserve"> </w:t>
      </w:r>
    </w:p>
    <w:p>
      <w:pPr>
        <w:pStyle w:val="TableCaption"/>
      </w:pPr>
      <w:r>
        <w:t xml:space="preserve">Table 3d. Effective sample size and worst post-weighting covariate balance, by pair.</w:t>
      </w:r>
    </w:p>
    <w:tbl>
      <w:tblPr>
        <w:tblStyle w:val="Table"/>
        <w:tblW w:type="pct" w:w="5000"/>
        <w:tblLayout w:type="fixed"/>
        <w:tblLook w:firstRow="1" w:lastRow="0" w:firstColumn="0" w:lastColumn="0" w:noHBand="0" w:noVBand="0" w:val="0020"/>
        <w:tblCaption w:val="Table 3d. Effective sample size and worst post-weighting covariate balance, by pair."/>
      </w:tblPr>
      <w:tblGrid>
        <w:gridCol w:w="2061"/>
        <w:gridCol w:w="1356"/>
        <w:gridCol w:w="2495"/>
        <w:gridCol w:w="2007"/>
      </w:tblGrid>
      <w:tr>
        <w:trPr>
          <w:tblHeader w:val="on"/>
        </w:trPr>
        <w:tc>
          <w:tcPr/>
          <w:p>
            <w:pPr>
              <w:pStyle w:val="Compact"/>
              <w:jc w:val="left"/>
            </w:pPr>
            <w:r>
              <w:t xml:space="preserve">Precipitant class (vs sepsis)</w:t>
            </w:r>
          </w:p>
        </w:tc>
        <w:tc>
          <w:tcPr/>
          <w:p>
            <w:pPr>
              <w:pStyle w:val="Compact"/>
              <w:jc w:val="left"/>
            </w:pPr>
            <w:r>
              <w:t xml:space="preserve">Unweighted n in the pair</w:t>
            </w:r>
          </w:p>
        </w:tc>
        <w:tc>
          <w:tcPr/>
          <w:p>
            <w:pPr>
              <w:pStyle w:val="Compact"/>
              <w:jc w:val="left"/>
            </w:pPr>
            <w:r>
              <w:t xml:space="preserve">Effective sample size after overlap weighting</w:t>
            </w:r>
          </w:p>
        </w:tc>
        <w:tc>
          <w:tcPr/>
          <w:p>
            <w:pPr>
              <w:pStyle w:val="Compact"/>
              <w:jc w:val="left"/>
            </w:pPr>
            <w:r>
              <w:t xml:space="preserve">Maximum absolute SMD after weighting</w:t>
            </w:r>
          </w:p>
        </w:tc>
      </w:tr>
      <w:tr>
        <w:tc>
          <w:tcPr/>
          <w:p>
            <w:pPr>
              <w:pStyle w:val="Compact"/>
              <w:jc w:val="left"/>
            </w:pPr>
            <w:r>
              <w:t xml:space="preserve">Acute GI bleed or blood-loss anaemia</w:t>
            </w:r>
          </w:p>
        </w:tc>
        <w:tc>
          <w:tcPr/>
          <w:p>
            <w:pPr>
              <w:pStyle w:val="Compact"/>
              <w:jc w:val="left"/>
            </w:pPr>
            <w:r>
              <w:t xml:space="preserve">280,237</w:t>
            </w:r>
          </w:p>
        </w:tc>
        <w:tc>
          <w:tcPr/>
          <w:p>
            <w:pPr>
              <w:pStyle w:val="Compact"/>
              <w:jc w:val="left"/>
            </w:pPr>
            <w:r>
              <w:t xml:space="preserve">161,242</w:t>
            </w:r>
          </w:p>
        </w:tc>
        <w:tc>
          <w:tcPr/>
          <w:p>
            <w:pPr>
              <w:pStyle w:val="Compact"/>
              <w:jc w:val="left"/>
            </w:pPr>
            <w:r>
              <w:t xml:space="preserve">0.000</w:t>
            </w:r>
          </w:p>
        </w:tc>
      </w:tr>
      <w:tr>
        <w:tc>
          <w:tcPr/>
          <w:p>
            <w:pPr>
              <w:pStyle w:val="Compact"/>
              <w:jc w:val="left"/>
            </w:pPr>
            <w:r>
              <w:t xml:space="preserve">Hypertensive emergency</w:t>
            </w:r>
          </w:p>
        </w:tc>
        <w:tc>
          <w:tcPr/>
          <w:p>
            <w:pPr>
              <w:pStyle w:val="Compact"/>
              <w:jc w:val="left"/>
            </w:pPr>
            <w:r>
              <w:t xml:space="preserve">259,951</w:t>
            </w:r>
          </w:p>
        </w:tc>
        <w:tc>
          <w:tcPr/>
          <w:p>
            <w:pPr>
              <w:pStyle w:val="Compact"/>
              <w:jc w:val="left"/>
            </w:pPr>
            <w:r>
              <w:t xml:space="preserve">101,302</w:t>
            </w:r>
          </w:p>
        </w:tc>
        <w:tc>
          <w:tcPr/>
          <w:p>
            <w:pPr>
              <w:pStyle w:val="Compact"/>
              <w:jc w:val="left"/>
            </w:pPr>
            <w:r>
              <w:t xml:space="preserve">0.000</w:t>
            </w:r>
          </w:p>
        </w:tc>
      </w:tr>
      <w:tr>
        <w:tc>
          <w:tcPr/>
          <w:p>
            <w:pPr>
              <w:pStyle w:val="Compact"/>
              <w:jc w:val="left"/>
            </w:pPr>
            <w:r>
              <w:t xml:space="preserve">Tachyarrhythmia</w:t>
            </w:r>
          </w:p>
        </w:tc>
        <w:tc>
          <w:tcPr/>
          <w:p>
            <w:pPr>
              <w:pStyle w:val="Compact"/>
              <w:jc w:val="left"/>
            </w:pPr>
            <w:r>
              <w:t xml:space="preserve">440,931</w:t>
            </w:r>
          </w:p>
        </w:tc>
        <w:tc>
          <w:tcPr/>
          <w:p>
            <w:pPr>
              <w:pStyle w:val="Compact"/>
              <w:jc w:val="left"/>
            </w:pPr>
            <w:r>
              <w:t xml:space="preserve">317,433</w:t>
            </w:r>
          </w:p>
        </w:tc>
        <w:tc>
          <w:tcPr/>
          <w:p>
            <w:pPr>
              <w:pStyle w:val="Compact"/>
              <w:jc w:val="left"/>
            </w:pPr>
            <w:r>
              <w:t xml:space="preserve">0.000</w:t>
            </w:r>
          </w:p>
        </w:tc>
      </w:tr>
      <w:tr>
        <w:tc>
          <w:tcPr/>
          <w:p>
            <w:pPr>
              <w:pStyle w:val="Compact"/>
              <w:jc w:val="left"/>
            </w:pPr>
            <w:r>
              <w:t xml:space="preserve">Acute respiratory failure</w:t>
            </w:r>
          </w:p>
        </w:tc>
        <w:tc>
          <w:tcPr/>
          <w:p>
            <w:pPr>
              <w:pStyle w:val="Compact"/>
              <w:jc w:val="left"/>
            </w:pPr>
            <w:r>
              <w:t xml:space="preserve">290,473</w:t>
            </w:r>
          </w:p>
        </w:tc>
        <w:tc>
          <w:tcPr/>
          <w:p>
            <w:pPr>
              <w:pStyle w:val="Compact"/>
              <w:jc w:val="left"/>
            </w:pPr>
            <w:r>
              <w:t xml:space="preserve">184,076</w:t>
            </w:r>
          </w:p>
        </w:tc>
        <w:tc>
          <w:tcPr/>
          <w:p>
            <w:pPr>
              <w:pStyle w:val="Compact"/>
              <w:jc w:val="left"/>
            </w:pPr>
            <w:r>
              <w:t xml:space="preserve">0.000</w:t>
            </w:r>
          </w:p>
        </w:tc>
      </w:tr>
      <w:tr>
        <w:tc>
          <w:tcPr/>
          <w:p>
            <w:pPr>
              <w:pStyle w:val="Compact"/>
              <w:jc w:val="left"/>
            </w:pPr>
            <w:r>
              <w:t xml:space="preserve">Hypovolaemia or non-cardiogenic shock</w:t>
            </w:r>
          </w:p>
        </w:tc>
        <w:tc>
          <w:tcPr/>
          <w:p>
            <w:pPr>
              <w:pStyle w:val="Compact"/>
              <w:jc w:val="left"/>
            </w:pPr>
            <w:r>
              <w:t xml:space="preserve">250,609</w:t>
            </w:r>
          </w:p>
        </w:tc>
        <w:tc>
          <w:tcPr/>
          <w:p>
            <w:pPr>
              <w:pStyle w:val="Compact"/>
              <w:jc w:val="left"/>
            </w:pPr>
            <w:r>
              <w:t xml:space="preserve">105,168</w:t>
            </w:r>
          </w:p>
        </w:tc>
        <w:tc>
          <w:tcPr/>
          <w:p>
            <w:pPr>
              <w:pStyle w:val="Compact"/>
              <w:jc w:val="left"/>
            </w:pPr>
            <w:r>
              <w:t xml:space="preserve">0.000</w:t>
            </w:r>
          </w:p>
        </w:tc>
      </w:tr>
      <w:tr>
        <w:tc>
          <w:tcPr/>
          <w:p>
            <w:pPr>
              <w:pStyle w:val="Compact"/>
              <w:jc w:val="left"/>
            </w:pPr>
            <w:r>
              <w:t xml:space="preserve">Perioperative</w:t>
            </w:r>
          </w:p>
        </w:tc>
        <w:tc>
          <w:tcPr/>
          <w:p>
            <w:pPr>
              <w:pStyle w:val="Compact"/>
              <w:jc w:val="left"/>
            </w:pPr>
            <w:r>
              <w:t xml:space="preserve">224,275</w:t>
            </w:r>
          </w:p>
        </w:tc>
        <w:tc>
          <w:tcPr/>
          <w:p>
            <w:pPr>
              <w:pStyle w:val="Compact"/>
              <w:jc w:val="left"/>
            </w:pPr>
            <w:r>
              <w:t xml:space="preserve">35,826</w:t>
            </w:r>
          </w:p>
        </w:tc>
        <w:tc>
          <w:tcPr/>
          <w:p>
            <w:pPr>
              <w:pStyle w:val="Compact"/>
              <w:jc w:val="left"/>
            </w:pPr>
            <w:r>
              <w:t xml:space="preserve">0.000</w:t>
            </w:r>
          </w:p>
        </w:tc>
      </w:tr>
      <w:tr>
        <w:tc>
          <w:tcPr/>
          <w:p>
            <w:pPr>
              <w:pStyle w:val="Compact"/>
              <w:jc w:val="left"/>
            </w:pPr>
            <w:r>
              <w:t xml:space="preserve">None of the above</w:t>
            </w:r>
          </w:p>
        </w:tc>
        <w:tc>
          <w:tcPr/>
          <w:p>
            <w:pPr>
              <w:pStyle w:val="Compact"/>
              <w:jc w:val="left"/>
            </w:pPr>
            <w:r>
              <w:t xml:space="preserve">400,540</w:t>
            </w:r>
          </w:p>
        </w:tc>
        <w:tc>
          <w:tcPr/>
          <w:p>
            <w:pPr>
              <w:pStyle w:val="Compact"/>
              <w:jc w:val="left"/>
            </w:pPr>
            <w:r>
              <w:t xml:space="preserve">286,096</w:t>
            </w:r>
          </w:p>
        </w:tc>
        <w:tc>
          <w:tcPr/>
          <w:p>
            <w:pPr>
              <w:pStyle w:val="Compact"/>
              <w:jc w:val="left"/>
            </w:pPr>
            <w:r>
              <w:t xml:space="preserve">0.000</w:t>
            </w:r>
          </w:p>
        </w:tc>
      </w:tr>
    </w:tbl>
    <w:p>
      <w:pPr>
        <w:pStyle w:val="CaptionedFigure"/>
      </w:pPr>
      <w:r>
        <w:drawing>
          <wp:inline>
            <wp:extent cx="5334000" cy="3505200"/>
            <wp:effectExtent b="0" l="0" r="0" t="0"/>
            <wp:docPr descr="Figure 2. Adjusted 30-day readmission risk by precipitating illness class." title="" id="27" name="Picture"/>
            <a:graphic>
              <a:graphicData uri="http://schemas.openxmlformats.org/drawingml/2006/picture">
                <pic:pic>
                  <pic:nvPicPr>
                    <pic:cNvPr descr="C:/Users/saada/Documents/Biostatistics/AliFam-Nerds/RCOP_NRD/NRD_Saad_T2MI_Precip/figures/Figure2_adjusted_risk_by_class.png" id="28" name="Picture"/>
                    <pic:cNvPicPr>
                      <a:picLocks noChangeArrowheads="1" noChangeAspect="1"/>
                    </pic:cNvPicPr>
                  </pic:nvPicPr>
                  <pic:blipFill>
                    <a:blip r:embed="rId26"/>
                    <a:stretch>
                      <a:fillRect/>
                    </a:stretch>
                  </pic:blipFill>
                  <pic:spPr bwMode="auto">
                    <a:xfrm>
                      <a:off x="0" y="0"/>
                      <a:ext cx="5334000" cy="3505200"/>
                    </a:xfrm>
                    <a:prstGeom prst="rect">
                      <a:avLst/>
                    </a:prstGeom>
                    <a:noFill/>
                    <a:ln w="9525">
                      <a:noFill/>
                      <a:headEnd/>
                      <a:tailEnd/>
                    </a:ln>
                  </pic:spPr>
                </pic:pic>
              </a:graphicData>
            </a:graphic>
          </wp:inline>
        </w:drawing>
      </w:r>
    </w:p>
    <w:p>
      <w:pPr>
        <w:pStyle w:val="ImageCaption"/>
      </w:pPr>
      <w:r>
        <w:t xml:space="preserve">Figure 2. Adjusted 30-day readmission risk by precipitating illness class.</w:t>
      </w:r>
    </w:p>
    <w:bookmarkStart w:id="35" w:name="sequential-adjustment"/>
    <w:p>
      <w:pPr>
        <w:pStyle w:val="Heading2"/>
      </w:pPr>
      <w:r>
        <w:t xml:space="preserve">6.1 Sequential adjustment</w:t>
      </w:r>
    </w:p>
    <w:p>
      <w:pPr>
        <w:pStyle w:val="TableCaption"/>
      </w:pPr>
      <w:r>
        <w:t xml:space="preserve">Table 4. Sequential covariate adjustment, headline contrast and joint test. Model 4 is the adjusted estimate; Model 5 is OVER-ADJUSTED.</w:t>
      </w:r>
    </w:p>
    <w:tbl>
      <w:tblPr>
        <w:tblStyle w:val="Table"/>
        <w:tblW w:type="pct" w:w="5000"/>
        <w:tblLayout w:type="fixed"/>
        <w:tblLook w:firstRow="1" w:lastRow="0" w:firstColumn="0" w:lastColumn="0" w:noHBand="0" w:noVBand="0" w:val="0020"/>
        <w:tblCaption w:val="Table 4. Sequential covariate adjustment, headline contrast and joint test. Model 4 is the adjusted estimate; Model 5 is OVER-ADJUSTED."/>
      </w:tblPr>
      <w:tblGrid>
        <w:gridCol w:w="3978"/>
        <w:gridCol w:w="1450"/>
        <w:gridCol w:w="780"/>
        <w:gridCol w:w="297"/>
        <w:gridCol w:w="1412"/>
      </w:tblGrid>
      <w:tr>
        <w:trPr>
          <w:tblHeader w:val="on"/>
        </w:trPr>
        <w:tc>
          <w:tcPr/>
          <w:p>
            <w:pPr>
              <w:pStyle w:val="Compact"/>
              <w:jc w:val="left"/>
            </w:pPr>
            <w:r>
              <w:t xml:space="preserve">Analysis</w:t>
            </w:r>
          </w:p>
        </w:tc>
        <w:tc>
          <w:tcPr/>
          <w:p>
            <w:pPr>
              <w:pStyle w:val="Compact"/>
              <w:jc w:val="left"/>
            </w:pPr>
            <w:r>
              <w:t xml:space="preserve">Joint Wald p (whole precipitant block)</w:t>
            </w:r>
          </w:p>
        </w:tc>
        <w:tc>
          <w:tcPr/>
          <w:p>
            <w:pPr>
              <w:pStyle w:val="Compact"/>
              <w:jc w:val="left"/>
            </w:pPr>
            <w:r>
              <w:t xml:space="preserve">Adjusted OR (95% CI)</w:t>
            </w:r>
          </w:p>
        </w:tc>
        <w:tc>
          <w:tcPr/>
          <w:p>
            <w:pPr>
              <w:pStyle w:val="Compact"/>
              <w:jc w:val="left"/>
            </w:pPr>
            <w:r>
              <w:t xml:space="preserve">p value</w:t>
            </w:r>
          </w:p>
        </w:tc>
        <w:tc>
          <w:tcPr/>
          <w:p>
            <w:pPr>
              <w:pStyle w:val="Compact"/>
              <w:jc w:val="left"/>
            </w:pPr>
            <w:r>
              <w:t xml:space="preserve">Adjusted risk difference, pp (95% CI)</w:t>
            </w:r>
          </w:p>
        </w:tc>
      </w:tr>
      <w:tr>
        <w:tc>
          <w:tcPr/>
          <w:p>
            <w:pPr>
              <w:pStyle w:val="Compact"/>
              <w:jc w:val="left"/>
            </w:pPr>
            <w:r>
              <w:t xml:space="preserve">Model 1: unadjusted</w:t>
            </w:r>
          </w:p>
        </w:tc>
        <w:tc>
          <w:tcPr/>
          <w:p>
            <w:pPr>
              <w:pStyle w:val="Compact"/>
              <w:jc w:val="left"/>
            </w:pPr>
            <w:r>
              <w:t xml:space="preserve">&lt;0.001</w:t>
            </w:r>
          </w:p>
        </w:tc>
        <w:tc>
          <w:tcPr/>
          <w:p>
            <w:pPr>
              <w:pStyle w:val="Compact"/>
              <w:jc w:val="left"/>
            </w:pPr>
            <w:r>
              <w:t xml:space="preserve">1.04 (1.02–1.05)</w:t>
            </w:r>
          </w:p>
        </w:tc>
        <w:tc>
          <w:tcPr/>
          <w:p>
            <w:pPr>
              <w:pStyle w:val="Compact"/>
              <w:jc w:val="left"/>
            </w:pPr>
            <w:r>
              <w:t xml:space="preserve">&lt;0.001</w:t>
            </w:r>
          </w:p>
        </w:tc>
        <w:tc>
          <w:tcPr/>
          <w:p>
            <w:pPr>
              <w:pStyle w:val="Compact"/>
              <w:jc w:val="left"/>
            </w:pPr>
            <w:r>
              <w:t xml:space="preserve">0.58 (0.31–0.85)</w:t>
            </w:r>
          </w:p>
        </w:tc>
      </w:tr>
      <w:tr>
        <w:tc>
          <w:tcPr/>
          <w:p>
            <w:pPr>
              <w:pStyle w:val="Compact"/>
              <w:jc w:val="left"/>
            </w:pPr>
            <w:r>
              <w:t xml:space="preserve">Model 2: + demographic and administrative covariates</w:t>
            </w:r>
          </w:p>
        </w:tc>
        <w:tc>
          <w:tcPr/>
          <w:p>
            <w:pPr>
              <w:pStyle w:val="Compact"/>
              <w:jc w:val="left"/>
            </w:pPr>
            <w:r>
              <w:t xml:space="preserve">&lt;0.001</w:t>
            </w:r>
          </w:p>
        </w:tc>
        <w:tc>
          <w:tcPr/>
          <w:p>
            <w:pPr>
              <w:pStyle w:val="Compact"/>
              <w:jc w:val="left"/>
            </w:pPr>
            <w:r>
              <w:t xml:space="preserve">1.06 (1.04–1.07)</w:t>
            </w:r>
          </w:p>
        </w:tc>
        <w:tc>
          <w:tcPr/>
          <w:p>
            <w:pPr>
              <w:pStyle w:val="Compact"/>
              <w:jc w:val="left"/>
            </w:pPr>
            <w:r>
              <w:t xml:space="preserve">&lt;0.001</w:t>
            </w:r>
          </w:p>
        </w:tc>
        <w:tc>
          <w:tcPr/>
          <w:p>
            <w:pPr>
              <w:pStyle w:val="Compact"/>
              <w:jc w:val="left"/>
            </w:pPr>
            <w:r>
              <w:t xml:space="preserve">0.89 (0.62–1.16)</w:t>
            </w:r>
          </w:p>
        </w:tc>
      </w:tr>
      <w:tr>
        <w:tc>
          <w:tcPr/>
          <w:p>
            <w:pPr>
              <w:pStyle w:val="Compact"/>
              <w:jc w:val="left"/>
            </w:pPr>
            <w:r>
              <w:t xml:space="preserve">Model 3: + hospital covariates</w:t>
            </w:r>
          </w:p>
        </w:tc>
        <w:tc>
          <w:tcPr/>
          <w:p>
            <w:pPr>
              <w:pStyle w:val="Compact"/>
              <w:jc w:val="left"/>
            </w:pPr>
            <w:r>
              <w:t xml:space="preserve">&lt;0.001</w:t>
            </w:r>
          </w:p>
        </w:tc>
        <w:tc>
          <w:tcPr/>
          <w:p>
            <w:pPr>
              <w:pStyle w:val="Compact"/>
              <w:jc w:val="left"/>
            </w:pPr>
            <w:r>
              <w:t xml:space="preserve">1.06 (1.04–1.07)</w:t>
            </w:r>
          </w:p>
        </w:tc>
        <w:tc>
          <w:tcPr/>
          <w:p>
            <w:pPr>
              <w:pStyle w:val="Compact"/>
              <w:jc w:val="left"/>
            </w:pPr>
            <w:r>
              <w:t xml:space="preserve">&lt;0.001</w:t>
            </w:r>
          </w:p>
        </w:tc>
        <w:tc>
          <w:tcPr/>
          <w:p>
            <w:pPr>
              <w:pStyle w:val="Compact"/>
              <w:jc w:val="left"/>
            </w:pPr>
            <w:r>
              <w:t xml:space="preserve">0.90 (0.63–1.17)</w:t>
            </w:r>
          </w:p>
        </w:tc>
      </w:tr>
      <w:tr>
        <w:tc>
          <w:tcPr/>
          <w:p>
            <w:pPr>
              <w:pStyle w:val="Compact"/>
              <w:jc w:val="left"/>
            </w:pPr>
            <w:r>
              <w:t xml:space="preserve">Model 4: + comorbidity and clinical covariates (PRIMARY MODEL)</w:t>
            </w:r>
          </w:p>
        </w:tc>
        <w:tc>
          <w:tcPr/>
          <w:p>
            <w:pPr>
              <w:pStyle w:val="Compact"/>
              <w:jc w:val="left"/>
            </w:pPr>
            <w:r>
              <w:t xml:space="preserve">&lt;0.001</w:t>
            </w:r>
          </w:p>
        </w:tc>
        <w:tc>
          <w:tcPr/>
          <w:p>
            <w:pPr>
              <w:pStyle w:val="Compact"/>
              <w:jc w:val="left"/>
            </w:pPr>
            <w:r>
              <w:t xml:space="preserve">1.03 (1.02–1.05)</w:t>
            </w:r>
          </w:p>
        </w:tc>
        <w:tc>
          <w:tcPr/>
          <w:p>
            <w:pPr>
              <w:pStyle w:val="Compact"/>
              <w:jc w:val="left"/>
            </w:pPr>
            <w:r>
              <w:t xml:space="preserve">&lt;0.001</w:t>
            </w:r>
          </w:p>
        </w:tc>
        <w:tc>
          <w:tcPr/>
          <w:p>
            <w:pPr>
              <w:pStyle w:val="Compact"/>
              <w:jc w:val="left"/>
            </w:pPr>
            <w:r>
              <w:t xml:space="preserve">0.51 (0.24–0.78)</w:t>
            </w:r>
          </w:p>
        </w:tc>
      </w:tr>
      <w:tr>
        <w:tc>
          <w:tcPr/>
          <w:p>
            <w:pPr>
              <w:pStyle w:val="Compact"/>
              <w:jc w:val="left"/>
            </w:pPr>
            <w:r>
              <w:t xml:space="preserve">Model 5: OVER-ADJUSTED, not the adjusted estimate (+ length of stay, discharge disposition, AMA discharge)</w:t>
            </w:r>
          </w:p>
        </w:tc>
        <w:tc>
          <w:tcPr/>
          <w:p>
            <w:pPr>
              <w:pStyle w:val="Compact"/>
              <w:jc w:val="left"/>
            </w:pPr>
            <w:r>
              <w:t xml:space="preserve">&lt;0.001</w:t>
            </w:r>
          </w:p>
        </w:tc>
        <w:tc>
          <w:tcPr/>
          <w:p>
            <w:pPr>
              <w:pStyle w:val="Compact"/>
              <w:jc w:val="left"/>
            </w:pPr>
            <w:r>
              <w:t xml:space="preserve">1.07 (1.05–1.08)</w:t>
            </w:r>
          </w:p>
        </w:tc>
        <w:tc>
          <w:tcPr/>
          <w:p>
            <w:pPr>
              <w:pStyle w:val="Compact"/>
              <w:jc w:val="left"/>
            </w:pPr>
            <w:r>
              <w:t xml:space="preserve">&lt;0.001</w:t>
            </w:r>
          </w:p>
        </w:tc>
        <w:tc>
          <w:tcPr/>
          <w:p>
            <w:pPr>
              <w:pStyle w:val="Compact"/>
              <w:jc w:val="left"/>
            </w:pPr>
            <w:r>
              <w:t xml:space="preserve">1.00 (0.72–1.27)</w:t>
            </w:r>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C:\Users\saada\AppData\Local\Programs\Positron\resources\app\quarto\share\formats\docx\warning.png" id="31"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The change from Model 4 to Model 5 is</w:t>
            </w:r>
            <w:r>
              <w:t xml:space="preserve"> </w:t>
            </w:r>
            <w:r>
              <w:rPr>
                <w:b/>
                <w:bCs/>
              </w:rPr>
              <w:t xml:space="preserve">attenuation consistent with mediation</w:t>
            </w:r>
            <w:r>
              <w:t xml:space="preserve">, not adjustment: length of stay, discharge disposition and discharge against medical advice lie on the causal path. Model 5 is over-adjusted and must never be reported as the adjusted estimate.</w:t>
            </w:r>
          </w:p>
          <w:p/>
        </w:tc>
      </w:tr>
    </w:tbl>
    <w:p>
      <w:pPr>
        <w:pStyle w:val="CaptionedFigure"/>
      </w:pPr>
      <w:r>
        <w:drawing>
          <wp:inline>
            <wp:extent cx="5334000" cy="2590799"/>
            <wp:effectExtent b="0" l="0" r="0" t="0"/>
            <wp:docPr descr="Figure 5. Sequential covariate adjustment." title="" id="33" name="Picture"/>
            <a:graphic>
              <a:graphicData uri="http://schemas.openxmlformats.org/drawingml/2006/picture">
                <pic:pic>
                  <pic:nvPicPr>
                    <pic:cNvPr descr="C:/Users/saada/Documents/Biostatistics/AliFam-Nerds/RCOP_NRD/NRD_Saad_T2MI_Precip/figures/Figure5_sequential_adjustment.png" id="34" name="Picture"/>
                    <pic:cNvPicPr>
                      <a:picLocks noChangeArrowheads="1" noChangeAspect="1"/>
                    </pic:cNvPicPr>
                  </pic:nvPicPr>
                  <pic:blipFill>
                    <a:blip r:embed="rId32"/>
                    <a:stretch>
                      <a:fillRect/>
                    </a:stretch>
                  </pic:blipFill>
                  <pic:spPr bwMode="auto">
                    <a:xfrm>
                      <a:off x="0" y="0"/>
                      <a:ext cx="5334000" cy="2590799"/>
                    </a:xfrm>
                    <a:prstGeom prst="rect">
                      <a:avLst/>
                    </a:prstGeom>
                    <a:noFill/>
                    <a:ln w="9525">
                      <a:noFill/>
                      <a:headEnd/>
                      <a:tailEnd/>
                    </a:ln>
                  </pic:spPr>
                </pic:pic>
              </a:graphicData>
            </a:graphic>
          </wp:inline>
        </w:drawing>
      </w:r>
    </w:p>
    <w:p>
      <w:pPr>
        <w:pStyle w:val="ImageCaption"/>
      </w:pPr>
      <w:r>
        <w:t xml:space="preserve">Figure 5. Sequential covariate adjustment.</w:t>
      </w:r>
    </w:p>
    <w:bookmarkEnd w:id="35"/>
    <w:bookmarkStart w:id="36" w:name="secondary-outcomes"/>
    <w:p>
      <w:pPr>
        <w:pStyle w:val="Heading2"/>
      </w:pPr>
      <w:r>
        <w:t xml:space="preserve">6.2 Secondary outcomes</w:t>
      </w:r>
    </w:p>
    <w:p>
      <w:pPr>
        <w:pStyle w:val="TableCaption"/>
      </w:pPr>
      <w:r>
        <w:t xml:space="preserve">Table 4b. Secondary outcomes (one Benjamini-Hochberg family; q values over the estimable members).</w:t>
      </w:r>
    </w:p>
    <w:tbl>
      <w:tblPr>
        <w:tblStyle w:val="Table"/>
        <w:tblW w:type="pct" w:w="5000"/>
        <w:tblLayout w:type="fixed"/>
        <w:tblLook w:firstRow="1" w:lastRow="0" w:firstColumn="0" w:lastColumn="0" w:noHBand="0" w:noVBand="0" w:val="0020"/>
        <w:tblCaption w:val="Table 4b. Secondary outcomes (one Benjamini-Hochberg family; q values over the estimable members)."/>
      </w:tblPr>
      <w:tblGrid>
        <w:gridCol w:w="2770"/>
        <w:gridCol w:w="780"/>
        <w:gridCol w:w="1287"/>
        <w:gridCol w:w="429"/>
        <w:gridCol w:w="2653"/>
      </w:tblGrid>
      <w:tr>
        <w:trPr>
          <w:tblHeader w:val="on"/>
        </w:trPr>
        <w:tc>
          <w:tcPr/>
          <w:p>
            <w:pPr>
              <w:pStyle w:val="Compact"/>
              <w:jc w:val="left"/>
            </w:pPr>
            <w:r>
              <w:t xml:space="preserve">Secondary outcome</w:t>
            </w:r>
          </w:p>
        </w:tc>
        <w:tc>
          <w:tcPr/>
          <w:p>
            <w:pPr>
              <w:pStyle w:val="Compact"/>
              <w:jc w:val="left"/>
            </w:pPr>
            <w:r>
              <w:t xml:space="preserve">Events (unweighted)</w:t>
            </w:r>
          </w:p>
        </w:tc>
        <w:tc>
          <w:tcPr/>
          <w:p>
            <w:pPr>
              <w:pStyle w:val="Compact"/>
              <w:jc w:val="left"/>
            </w:pPr>
            <w:r>
              <w:t xml:space="preserve">Joint Wald p (precipitant block)</w:t>
            </w:r>
          </w:p>
        </w:tc>
        <w:tc>
          <w:tcPr/>
          <w:p>
            <w:pPr>
              <w:pStyle w:val="Compact"/>
              <w:jc w:val="left"/>
            </w:pPr>
            <w:r>
              <w:t xml:space="preserve">BH q value</w:t>
            </w:r>
          </w:p>
        </w:tc>
        <w:tc>
          <w:tcPr/>
          <w:p>
            <w:pPr>
              <w:pStyle w:val="Compact"/>
              <w:jc w:val="left"/>
            </w:pPr>
            <w:r>
              <w:t xml:space="preserve">Adjusted OR, Tachyarrhythmia vs Sepsis or severe infection (95% CI)</w:t>
            </w:r>
          </w:p>
        </w:tc>
      </w:tr>
      <w:tr>
        <w:tc>
          <w:tcPr/>
          <w:p>
            <w:pPr>
              <w:pStyle w:val="Compact"/>
              <w:jc w:val="left"/>
            </w:pPr>
            <w:r>
              <w:t xml:space="preserve">Concordant readmission (same clinical domain as the index precipitant)</w:t>
            </w:r>
          </w:p>
        </w:tc>
        <w:tc>
          <w:tcPr/>
          <w:p>
            <w:pPr>
              <w:pStyle w:val="Compact"/>
              <w:jc w:val="left"/>
            </w:pPr>
            <w:r>
              <w:t xml:space="preserve">24,394</w:t>
            </w:r>
          </w:p>
        </w:tc>
        <w:tc>
          <w:tcPr/>
          <w:p>
            <w:pPr>
              <w:pStyle w:val="Compact"/>
              <w:jc w:val="left"/>
            </w:pPr>
            <w:r>
              <w:t xml:space="preserve">&lt;0.001</w:t>
            </w:r>
          </w:p>
        </w:tc>
        <w:tc>
          <w:tcPr/>
          <w:p>
            <w:pPr>
              <w:pStyle w:val="Compact"/>
              <w:jc w:val="left"/>
            </w:pPr>
            <w:r>
              <w:t xml:space="preserve">&lt;0.001</w:t>
            </w:r>
          </w:p>
        </w:tc>
        <w:tc>
          <w:tcPr/>
          <w:p>
            <w:pPr>
              <w:pStyle w:val="Compact"/>
              <w:jc w:val="left"/>
            </w:pPr>
            <w:r>
              <w:t xml:space="preserve">0.19 (0.19–0.20)</w:t>
            </w:r>
          </w:p>
        </w:tc>
      </w:tr>
      <w:tr>
        <w:tc>
          <w:tcPr/>
          <w:p>
            <w:pPr>
              <w:pStyle w:val="Compact"/>
              <w:jc w:val="left"/>
            </w:pPr>
            <w:r>
              <w:t xml:space="preserve">Cardiac readmission (CCSR CIR009/CIR010/CIR011/CIR017/CIR019)</w:t>
            </w:r>
          </w:p>
        </w:tc>
        <w:tc>
          <w:tcPr/>
          <w:p>
            <w:pPr>
              <w:pStyle w:val="Compact"/>
              <w:jc w:val="left"/>
            </w:pPr>
            <w:r>
              <w:t xml:space="preserve">41,035</w:t>
            </w:r>
          </w:p>
        </w:tc>
        <w:tc>
          <w:tcPr/>
          <w:p>
            <w:pPr>
              <w:pStyle w:val="Compact"/>
              <w:jc w:val="left"/>
            </w:pPr>
            <w:r>
              <w:t xml:space="preserve">&lt;0.001</w:t>
            </w:r>
          </w:p>
        </w:tc>
        <w:tc>
          <w:tcPr/>
          <w:p>
            <w:pPr>
              <w:pStyle w:val="Compact"/>
              <w:jc w:val="left"/>
            </w:pPr>
            <w:r>
              <w:t xml:space="preserve">&lt;0.001</w:t>
            </w:r>
          </w:p>
        </w:tc>
        <w:tc>
          <w:tcPr/>
          <w:p>
            <w:pPr>
              <w:pStyle w:val="Compact"/>
              <w:jc w:val="left"/>
            </w:pPr>
            <w:r>
              <w:t xml:space="preserve">2.47 (2.37–2.57)</w:t>
            </w:r>
          </w:p>
        </w:tc>
      </w:tr>
      <w:tr>
        <w:tc>
          <w:tcPr/>
          <w:p>
            <w:pPr>
              <w:pStyle w:val="Compact"/>
              <w:jc w:val="left"/>
            </w:pPr>
            <w:r>
              <w:t xml:space="preserve">Unplanned (non-elective) readmission</w:t>
            </w:r>
          </w:p>
        </w:tc>
        <w:tc>
          <w:tcPr/>
          <w:p>
            <w:pPr>
              <w:pStyle w:val="Compact"/>
              <w:jc w:val="left"/>
            </w:pPr>
            <w:r>
              <w:t xml:space="preserve">167,646</w:t>
            </w:r>
          </w:p>
        </w:tc>
        <w:tc>
          <w:tcPr/>
          <w:p>
            <w:pPr>
              <w:pStyle w:val="Compact"/>
              <w:jc w:val="left"/>
            </w:pPr>
            <w:r>
              <w:t xml:space="preserve">&lt;0.001</w:t>
            </w:r>
          </w:p>
        </w:tc>
        <w:tc>
          <w:tcPr/>
          <w:p>
            <w:pPr>
              <w:pStyle w:val="Compact"/>
              <w:jc w:val="left"/>
            </w:pPr>
            <w:r>
              <w:t xml:space="preserve">&lt;0.001</w:t>
            </w:r>
          </w:p>
        </w:tc>
        <w:tc>
          <w:tcPr/>
          <w:p>
            <w:pPr>
              <w:pStyle w:val="Compact"/>
              <w:jc w:val="left"/>
            </w:pPr>
            <w:r>
              <w:t xml:space="preserve">0.97 (0.90–1.05)</w:t>
            </w:r>
          </w:p>
        </w:tc>
      </w:tr>
      <w:tr>
        <w:tc>
          <w:tcPr/>
          <w:p>
            <w:pPr>
              <w:pStyle w:val="Compact"/>
              <w:jc w:val="left"/>
            </w:pPr>
            <w:r>
              <w:t xml:space="preserve">In-hospital death at readmission</w:t>
            </w:r>
          </w:p>
        </w:tc>
        <w:tc>
          <w:tcPr/>
          <w:p>
            <w:pPr>
              <w:pStyle w:val="Compact"/>
              <w:jc w:val="left"/>
            </w:pPr>
            <w:r>
              <w:t xml:space="preserve">15,303</w:t>
            </w:r>
          </w:p>
        </w:tc>
        <w:tc>
          <w:tcPr/>
          <w:p>
            <w:pPr>
              <w:pStyle w:val="Compact"/>
              <w:jc w:val="left"/>
            </w:pPr>
            <w:r>
              <w:t xml:space="preserve">&lt;0.001</w:t>
            </w:r>
          </w:p>
        </w:tc>
        <w:tc>
          <w:tcPr/>
          <w:p>
            <w:pPr>
              <w:pStyle w:val="Compact"/>
              <w:jc w:val="left"/>
            </w:pPr>
            <w:r>
              <w:t xml:space="preserve">&lt;0.001</w:t>
            </w:r>
          </w:p>
        </w:tc>
        <w:tc>
          <w:tcPr/>
          <w:p>
            <w:pPr>
              <w:pStyle w:val="Compact"/>
              <w:jc w:val="left"/>
            </w:pPr>
            <w:r>
              <w:t xml:space="preserve">0.94 (0.89–0.99)</w:t>
            </w:r>
          </w:p>
        </w:tc>
      </w:tr>
      <w:tr>
        <w:tc>
          <w:tcPr/>
          <w:p>
            <w:pPr>
              <w:pStyle w:val="Compact"/>
              <w:jc w:val="left"/>
            </w:pPr>
            <w:r>
              <w:t xml:space="preserve">Non-home discharge at index</w:t>
            </w:r>
          </w:p>
        </w:tc>
        <w:tc>
          <w:tcPr/>
          <w:p>
            <w:pPr>
              <w:pStyle w:val="Compact"/>
              <w:jc w:val="left"/>
            </w:pPr>
            <w:r>
              <w:t xml:space="preserve">256,101</w:t>
            </w:r>
          </w:p>
        </w:tc>
        <w:tc>
          <w:tcPr/>
          <w:p>
            <w:pPr>
              <w:pStyle w:val="Compact"/>
              <w:jc w:val="left"/>
            </w:pPr>
            <w:r>
              <w:t xml:space="preserve">&lt;0.001</w:t>
            </w:r>
          </w:p>
        </w:tc>
        <w:tc>
          <w:tcPr/>
          <w:p>
            <w:pPr>
              <w:pStyle w:val="Compact"/>
              <w:jc w:val="left"/>
            </w:pPr>
            <w:r>
              <w:t xml:space="preserve">&lt;0.001</w:t>
            </w:r>
          </w:p>
        </w:tc>
        <w:tc>
          <w:tcPr/>
          <w:p>
            <w:pPr>
              <w:pStyle w:val="Compact"/>
              <w:jc w:val="left"/>
            </w:pPr>
            <w:r>
              <w:t xml:space="preserve">0.59 (0.58–0.60)</w:t>
            </w:r>
          </w:p>
        </w:tc>
      </w:tr>
      <w:tr>
        <w:tc>
          <w:tcPr/>
          <w:p>
            <w:pPr>
              <w:pStyle w:val="Compact"/>
              <w:jc w:val="left"/>
            </w:pPr>
            <w:r>
              <w:t xml:space="preserve">Discharge against medical advice at index</w:t>
            </w:r>
          </w:p>
        </w:tc>
        <w:tc>
          <w:tcPr/>
          <w:p>
            <w:pPr>
              <w:pStyle w:val="Compact"/>
              <w:jc w:val="left"/>
            </w:pPr>
            <w:r>
              <w:t xml:space="preserve">18,652</w:t>
            </w:r>
          </w:p>
        </w:tc>
        <w:tc>
          <w:tcPr/>
          <w:p>
            <w:pPr>
              <w:pStyle w:val="Compact"/>
              <w:jc w:val="left"/>
            </w:pPr>
            <w:r>
              <w:t xml:space="preserve">&lt;0.001</w:t>
            </w:r>
          </w:p>
        </w:tc>
        <w:tc>
          <w:tcPr/>
          <w:p>
            <w:pPr>
              <w:pStyle w:val="Compact"/>
              <w:jc w:val="left"/>
            </w:pPr>
            <w:r>
              <w:t xml:space="preserve">&lt;0.001</w:t>
            </w:r>
          </w:p>
        </w:tc>
        <w:tc>
          <w:tcPr/>
          <w:p>
            <w:pPr>
              <w:pStyle w:val="Compact"/>
              <w:jc w:val="left"/>
            </w:pPr>
            <w:r>
              <w:t xml:space="preserve">1.06 (1.00–1.12)</w:t>
            </w:r>
          </w:p>
        </w:tc>
      </w:tr>
    </w:tbl>
    <w:p>
      <w:pPr>
        <w:pStyle w:val="BodyText"/>
      </w:pPr>
      <w:r>
        <w:t xml:space="preserve">The</w:t>
      </w:r>
      <w:r>
        <w:t xml:space="preserve"> </w:t>
      </w:r>
      <w:r>
        <w:rPr>
          <w:b/>
          <w:bCs/>
        </w:rPr>
        <w:t xml:space="preserve">primary</w:t>
      </w:r>
      <w:r>
        <w:t xml:space="preserve"> </w:t>
      </w:r>
      <w:r>
        <w:t xml:space="preserve">outcome is not a member of this family: it is tested once, unadjusted.</w:t>
      </w:r>
    </w:p>
    <w:bookmarkEnd w:id="36"/>
    <w:bookmarkStart w:id="37" w:name="unmeasured-confounding-and-cross-check"/>
    <w:p>
      <w:pPr>
        <w:pStyle w:val="Heading2"/>
      </w:pPr>
      <w:r>
        <w:t xml:space="preserve">6.3 Unmeasured confounding and cross-check</w:t>
      </w:r>
    </w:p>
    <w:p>
      <w:pPr>
        <w:pStyle w:val="TableCaption"/>
      </w:pPr>
      <w:r>
        <w:t xml:space="preserve">Table S5. E-values for each precipitant class, on the risk ratio scale.</w:t>
      </w:r>
    </w:p>
    <w:tbl>
      <w:tblPr>
        <w:tblStyle w:val="Table"/>
        <w:tblW w:type="pct" w:w="5000"/>
        <w:tblLayout w:type="fixed"/>
        <w:tblLook w:firstRow="1" w:lastRow="0" w:firstColumn="0" w:lastColumn="0" w:noHBand="0" w:noVBand="0" w:val="0020"/>
        <w:tblCaption w:val="Table S5. E-values for each precipitant class, on the risk ratio scale."/>
      </w:tblPr>
      <w:tblGrid>
        <w:gridCol w:w="2388"/>
        <w:gridCol w:w="1822"/>
        <w:gridCol w:w="1508"/>
        <w:gridCol w:w="2200"/>
      </w:tblGrid>
      <w:tr>
        <w:trPr>
          <w:tblHeader w:val="on"/>
        </w:trPr>
        <w:tc>
          <w:tcPr/>
          <w:p>
            <w:pPr>
              <w:pStyle w:val="Compact"/>
              <w:jc w:val="left"/>
            </w:pPr>
            <w:r>
              <w:t xml:space="preserve">Precipitant class (vs sepsis)</w:t>
            </w:r>
          </w:p>
        </w:tc>
        <w:tc>
          <w:tcPr/>
          <w:p>
            <w:pPr>
              <w:pStyle w:val="Compact"/>
              <w:jc w:val="left"/>
            </w:pPr>
            <w:r>
              <w:t xml:space="preserve">Adjusted risk ratio (95% CI)</w:t>
            </w:r>
          </w:p>
        </w:tc>
        <w:tc>
          <w:tcPr/>
          <w:p>
            <w:pPr>
              <w:pStyle w:val="Compact"/>
              <w:jc w:val="left"/>
            </w:pPr>
            <w:r>
              <w:t xml:space="preserve">E-value, point estimate</w:t>
            </w:r>
          </w:p>
        </w:tc>
        <w:tc>
          <w:tcPr/>
          <w:p>
            <w:pPr>
              <w:pStyle w:val="Compact"/>
              <w:jc w:val="left"/>
            </w:pPr>
            <w:r>
              <w:t xml:space="preserve">E-value, CI limit nearest the null</w:t>
            </w:r>
          </w:p>
        </w:tc>
      </w:tr>
      <w:tr>
        <w:tc>
          <w:tcPr/>
          <w:p>
            <w:pPr>
              <w:pStyle w:val="Compact"/>
              <w:jc w:val="left"/>
            </w:pPr>
            <w:r>
              <w:t xml:space="preserve">Acute GI bleed or blood-loss anaemia</w:t>
            </w:r>
          </w:p>
        </w:tc>
        <w:tc>
          <w:tcPr/>
          <w:p>
            <w:pPr>
              <w:pStyle w:val="Compact"/>
              <w:jc w:val="left"/>
            </w:pPr>
            <w:r>
              <w:t xml:space="preserve">1.09 (1.07–1.11)</w:t>
            </w:r>
          </w:p>
        </w:tc>
        <w:tc>
          <w:tcPr/>
          <w:p>
            <w:pPr>
              <w:pStyle w:val="Compact"/>
              <w:jc w:val="left"/>
            </w:pPr>
            <w:r>
              <w:t xml:space="preserve">1.39</w:t>
            </w:r>
          </w:p>
        </w:tc>
        <w:tc>
          <w:tcPr/>
          <w:p>
            <w:pPr>
              <w:pStyle w:val="Compact"/>
              <w:jc w:val="left"/>
            </w:pPr>
            <w:r>
              <w:t xml:space="preserve">1.34</w:t>
            </w:r>
          </w:p>
        </w:tc>
      </w:tr>
      <w:tr>
        <w:tc>
          <w:tcPr/>
          <w:p>
            <w:pPr>
              <w:pStyle w:val="Compact"/>
              <w:jc w:val="left"/>
            </w:pPr>
            <w:r>
              <w:t xml:space="preserve">Hypertensive emergency</w:t>
            </w:r>
          </w:p>
        </w:tc>
        <w:tc>
          <w:tcPr/>
          <w:p>
            <w:pPr>
              <w:pStyle w:val="Compact"/>
              <w:jc w:val="left"/>
            </w:pPr>
            <w:r>
              <w:t xml:space="preserve">0.83 (0.81–0.85)</w:t>
            </w:r>
          </w:p>
        </w:tc>
        <w:tc>
          <w:tcPr/>
          <w:p>
            <w:pPr>
              <w:pStyle w:val="Compact"/>
              <w:jc w:val="left"/>
            </w:pPr>
            <w:r>
              <w:t xml:space="preserve">1.69</w:t>
            </w:r>
          </w:p>
        </w:tc>
        <w:tc>
          <w:tcPr/>
          <w:p>
            <w:pPr>
              <w:pStyle w:val="Compact"/>
              <w:jc w:val="left"/>
            </w:pPr>
            <w:r>
              <w:t xml:space="preserve">1.62</w:t>
            </w:r>
          </w:p>
        </w:tc>
      </w:tr>
      <w:tr>
        <w:tc>
          <w:tcPr/>
          <w:p>
            <w:pPr>
              <w:pStyle w:val="Compact"/>
              <w:jc w:val="left"/>
            </w:pPr>
            <w:r>
              <w:t xml:space="preserve">Tachyarrhythmia</w:t>
            </w:r>
          </w:p>
        </w:tc>
        <w:tc>
          <w:tcPr/>
          <w:p>
            <w:pPr>
              <w:pStyle w:val="Compact"/>
              <w:jc w:val="left"/>
            </w:pPr>
            <w:r>
              <w:t xml:space="preserve">1.03 (1.01–1.04)</w:t>
            </w:r>
          </w:p>
        </w:tc>
        <w:tc>
          <w:tcPr/>
          <w:p>
            <w:pPr>
              <w:pStyle w:val="Compact"/>
              <w:jc w:val="left"/>
            </w:pPr>
            <w:r>
              <w:t xml:space="preserve">1.19</w:t>
            </w:r>
          </w:p>
        </w:tc>
        <w:tc>
          <w:tcPr/>
          <w:p>
            <w:pPr>
              <w:pStyle w:val="Compact"/>
              <w:jc w:val="left"/>
            </w:pPr>
            <w:r>
              <w:t xml:space="preserve">1.12</w:t>
            </w:r>
          </w:p>
        </w:tc>
      </w:tr>
      <w:tr>
        <w:tc>
          <w:tcPr/>
          <w:p>
            <w:pPr>
              <w:pStyle w:val="Compact"/>
              <w:jc w:val="left"/>
            </w:pPr>
            <w:r>
              <w:t xml:space="preserve">Acute respiratory failure</w:t>
            </w:r>
          </w:p>
        </w:tc>
        <w:tc>
          <w:tcPr/>
          <w:p>
            <w:pPr>
              <w:pStyle w:val="Compact"/>
              <w:jc w:val="left"/>
            </w:pPr>
            <w:r>
              <w:t xml:space="preserve">0.91 (0.89–0.92)</w:t>
            </w:r>
          </w:p>
        </w:tc>
        <w:tc>
          <w:tcPr/>
          <w:p>
            <w:pPr>
              <w:pStyle w:val="Compact"/>
              <w:jc w:val="left"/>
            </w:pPr>
            <w:r>
              <w:t xml:space="preserve">1.44</w:t>
            </w:r>
          </w:p>
        </w:tc>
        <w:tc>
          <w:tcPr/>
          <w:p>
            <w:pPr>
              <w:pStyle w:val="Compact"/>
              <w:jc w:val="left"/>
            </w:pPr>
            <w:r>
              <w:t xml:space="preserve">1.39</w:t>
            </w:r>
          </w:p>
        </w:tc>
      </w:tr>
      <w:tr>
        <w:tc>
          <w:tcPr/>
          <w:p>
            <w:pPr>
              <w:pStyle w:val="Compact"/>
              <w:jc w:val="left"/>
            </w:pPr>
            <w:r>
              <w:t xml:space="preserve">Hypovolaemia or non-cardiogenic shock</w:t>
            </w:r>
          </w:p>
        </w:tc>
        <w:tc>
          <w:tcPr/>
          <w:p>
            <w:pPr>
              <w:pStyle w:val="Compact"/>
              <w:jc w:val="left"/>
            </w:pPr>
            <w:r>
              <w:t xml:space="preserve">0.94 (0.91–0.96)</w:t>
            </w:r>
          </w:p>
        </w:tc>
        <w:tc>
          <w:tcPr/>
          <w:p>
            <w:pPr>
              <w:pStyle w:val="Compact"/>
              <w:jc w:val="left"/>
            </w:pPr>
            <w:r>
              <w:t xml:space="preserve">1.34</w:t>
            </w:r>
          </w:p>
        </w:tc>
        <w:tc>
          <w:tcPr/>
          <w:p>
            <w:pPr>
              <w:pStyle w:val="Compact"/>
              <w:jc w:val="left"/>
            </w:pPr>
            <w:r>
              <w:t xml:space="preserve">1.26</w:t>
            </w:r>
          </w:p>
        </w:tc>
      </w:tr>
      <w:tr>
        <w:tc>
          <w:tcPr/>
          <w:p>
            <w:pPr>
              <w:pStyle w:val="Compact"/>
              <w:jc w:val="left"/>
            </w:pPr>
            <w:r>
              <w:t xml:space="preserve">Perioperative</w:t>
            </w:r>
          </w:p>
        </w:tc>
        <w:tc>
          <w:tcPr/>
          <w:p>
            <w:pPr>
              <w:pStyle w:val="Compact"/>
              <w:jc w:val="left"/>
            </w:pPr>
            <w:r>
              <w:t xml:space="preserve">0.95 (0.92–0.99)</w:t>
            </w:r>
          </w:p>
        </w:tc>
        <w:tc>
          <w:tcPr/>
          <w:p>
            <w:pPr>
              <w:pStyle w:val="Compact"/>
              <w:jc w:val="left"/>
            </w:pPr>
            <w:r>
              <w:t xml:space="preserve">1.27</w:t>
            </w:r>
          </w:p>
        </w:tc>
        <w:tc>
          <w:tcPr/>
          <w:p>
            <w:pPr>
              <w:pStyle w:val="Compact"/>
              <w:jc w:val="left"/>
            </w:pPr>
            <w:r>
              <w:t xml:space="preserve">1.09</w:t>
            </w:r>
          </w:p>
        </w:tc>
      </w:tr>
      <w:tr>
        <w:tc>
          <w:tcPr/>
          <w:p>
            <w:pPr>
              <w:pStyle w:val="Compact"/>
              <w:jc w:val="left"/>
            </w:pPr>
            <w:r>
              <w:t xml:space="preserve">None of the above</w:t>
            </w:r>
          </w:p>
        </w:tc>
        <w:tc>
          <w:tcPr/>
          <w:p>
            <w:pPr>
              <w:pStyle w:val="Compact"/>
              <w:jc w:val="left"/>
            </w:pPr>
            <w:r>
              <w:t xml:space="preserve">0.95 (0.93–0.96)</w:t>
            </w:r>
          </w:p>
        </w:tc>
        <w:tc>
          <w:tcPr/>
          <w:p>
            <w:pPr>
              <w:pStyle w:val="Compact"/>
              <w:jc w:val="left"/>
            </w:pPr>
            <w:r>
              <w:t xml:space="preserve">1.30</w:t>
            </w:r>
          </w:p>
        </w:tc>
        <w:tc>
          <w:tcPr/>
          <w:p>
            <w:pPr>
              <w:pStyle w:val="Compact"/>
              <w:jc w:val="left"/>
            </w:pPr>
            <w:r>
              <w:t xml:space="preserve">1.25</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E-values are reported on the RISK RATIO scale, never on the odds ratio, which would overstate them. Each is the minimum strength of association, on the risk ratio scale, that an unmeasured confounder would need with both the precipitant class and 30-day readmission, above and beyond the measured covariates, to explain the observed contrast away. The most plausible such confounder here is ILLNESS SEVERITY: the NRD carries no vital signs, no laboratory values and no troponin concentration, and a sicker patient is both more likely to receive a given precipitant code and more likely to be readmitted.</w:t>
            </w:r>
          </w:p>
        </w:tc>
      </w:tr>
    </w:tbl>
    <w:p>
      <w:pPr>
        <w:pStyle w:val="TableCaption"/>
      </w:pPr>
      <w:r>
        <w:t xml:space="preserve">Table S5b. Delta-method g-computation checked against marginaleffects::avg_comparisons().</w:t>
      </w:r>
    </w:p>
    <w:tbl>
      <w:tblPr>
        <w:tblStyle w:val="Table"/>
        <w:tblW w:type="pct" w:w="5000"/>
        <w:tblLayout w:type="fixed"/>
        <w:tblLook w:firstRow="1" w:lastRow="0" w:firstColumn="0" w:lastColumn="0" w:noHBand="0" w:noVBand="0" w:val="0020"/>
        <w:tblCaption w:val="Table S5b. Delta-method g-computation checked against marginaleffects::avg_comparisons()."/>
      </w:tblPr>
      <w:tblGrid>
        <w:gridCol w:w="3986"/>
        <w:gridCol w:w="398"/>
        <w:gridCol w:w="930"/>
        <w:gridCol w:w="531"/>
        <w:gridCol w:w="2073"/>
      </w:tblGrid>
      <w:tr>
        <w:trPr>
          <w:tblHeader w:val="on"/>
        </w:trPr>
        <w:tc>
          <w:tcPr/>
          <w:p>
            <w:pPr>
              <w:pStyle w:val="Compact"/>
              <w:jc w:val="left"/>
            </w:pPr>
            <w:r>
              <w:t xml:space="preserve">Quantity</w:t>
            </w:r>
          </w:p>
        </w:tc>
        <w:tc>
          <w:tcPr/>
          <w:p>
            <w:pPr>
              <w:pStyle w:val="Compact"/>
              <w:jc w:val="left"/>
            </w:pPr>
            <w:r>
              <w:t xml:space="preserve">svy_std_risk()</w:t>
            </w:r>
          </w:p>
        </w:tc>
        <w:tc>
          <w:tcPr/>
          <w:p>
            <w:pPr>
              <w:pStyle w:val="Compact"/>
              <w:jc w:val="left"/>
            </w:pPr>
            <w:r>
              <w:t xml:space="preserve">marginaleffects::avg_comparisons()</w:t>
            </w:r>
          </w:p>
        </w:tc>
        <w:tc>
          <w:tcPr/>
          <w:p>
            <w:pPr>
              <w:pStyle w:val="Compact"/>
              <w:jc w:val="left"/>
            </w:pPr>
            <w:r>
              <w:t xml:space="preserve">Absolute difference</w:t>
            </w:r>
          </w:p>
        </w:tc>
        <w:tc>
          <w:tcPr/>
          <w:p>
            <w:pPr>
              <w:pStyle w:val="Compact"/>
              <w:jc w:val="left"/>
            </w:pPr>
            <w:r>
              <w:t xml:space="preserve">Agreement</w:t>
            </w:r>
          </w:p>
        </w:tc>
      </w:tr>
      <w:tr>
        <w:tc>
          <w:tcPr/>
          <w:p>
            <w:pPr>
              <w:pStyle w:val="Compact"/>
              <w:jc w:val="left"/>
            </w:pPr>
            <w:r>
              <w:t xml:space="preserve">Adjusted risk difference, Tachyarrhythmia vs Sepsis or severe infection (pp); maximum absolute difference over all seven contrasts in the last column</w:t>
            </w:r>
          </w:p>
        </w:tc>
        <w:tc>
          <w:tcPr/>
          <w:p>
            <w:pPr>
              <w:pStyle w:val="Compact"/>
              <w:jc w:val="left"/>
            </w:pPr>
            <w:r>
              <w:t xml:space="preserve">0.5127</w:t>
            </w:r>
          </w:p>
        </w:tc>
        <w:tc>
          <w:tcPr/>
          <w:p>
            <w:pPr>
              <w:pStyle w:val="Compact"/>
              <w:jc w:val="left"/>
            </w:pPr>
            <w:r>
              <w:t xml:space="preserve">0.5127</w:t>
            </w:r>
          </w:p>
        </w:tc>
        <w:tc>
          <w:tcPr/>
          <w:p>
            <w:pPr>
              <w:pStyle w:val="Compact"/>
              <w:jc w:val="left"/>
            </w:pPr>
            <w:r>
              <w:t xml:space="preserve">0.000000</w:t>
            </w:r>
          </w:p>
        </w:tc>
        <w:tc>
          <w:tcPr/>
          <w:p>
            <w:pPr>
              <w:pStyle w:val="Compact"/>
              <w:jc w:val="left"/>
            </w:pPr>
            <w:r>
              <w:t xml:space="preserve">AGREE (to three decimal places on the probability scale, all seven contrasts)</w:t>
            </w:r>
          </w:p>
        </w:tc>
      </w:tr>
    </w:tbl>
    <w:bookmarkEnd w:id="37"/>
    <w:bookmarkEnd w:id="38"/>
    <w:bookmarkStart w:id="44" w:name="sec-concordance"/>
    <w:p>
      <w:pPr>
        <w:pStyle w:val="Heading1"/>
      </w:pPr>
      <w:r>
        <w:t xml:space="preserve">7. Concordant readmission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C:\Users\saada\AppData\Local\Programs\Positron\resources\app\quarto\share\formats\docx\important.png" id="40"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endpoint the paper is built on</w:t>
            </w:r>
          </w:p>
        </w:tc>
      </w:tr>
      <w:tr>
        <w:trPr>
          <w:cantSplit/>
        </w:trPr>
        <w:tc>
          <w:tcPr>
            <w:tcMar>
              <w:top w:w="108" w:type="dxa"/>
              <w:bottom w:w="108" w:type="dxa"/>
            </w:tcMar>
          </w:tcPr>
          <w:p>
            <w:pPr>
              <w:pStyle w:val="BodyText"/>
            </w:pPr>
            <w:pPr>
              <w:spacing w:before="16" w:after="16"/>
            </w:pPr>
            <w:r>
              <w:t xml:space="preserve">When a patient with a coded type 2 myocardial infarction is readmitted within</w:t>
            </w:r>
            <w:r>
              <w:t xml:space="preserve"> </w:t>
            </w:r>
            <w:r>
              <w:t xml:space="preserve">30 days, do they return with</w:t>
            </w:r>
            <w:r>
              <w:t xml:space="preserve"> </w:t>
            </w:r>
            <w:r>
              <w:rPr>
                <w:b/>
                <w:bCs/>
              </w:rPr>
              <w:t xml:space="preserve">their precipitant</w:t>
            </w:r>
            <w:r>
              <w:t xml:space="preserve"> </w:t>
            </w:r>
            <w:r>
              <w:t xml:space="preserve">or with a</w:t>
            </w:r>
            <w:r>
              <w:t xml:space="preserve"> </w:t>
            </w:r>
            <w:r>
              <w:rPr>
                <w:b/>
                <w:bCs/>
              </w:rPr>
              <w:t xml:space="preserve">cardiac</w:t>
            </w:r>
            <w:r>
              <w:t xml:space="preserve"> </w:t>
            </w:r>
            <w:r>
              <w:t xml:space="preserve">problem?</w:t>
            </w:r>
          </w:p>
          <w:p/>
        </w:tc>
      </w:tr>
    </w:tbl>
    <w:p>
      <w:pPr>
        <w:pStyle w:val="TableCaption"/>
      </w:pPr>
      <w:r>
        <w:t xml:space="preserve">Table 5. Concordant versus cardiac readmission, by precipitating illness class.</w:t>
      </w:r>
    </w:p>
    <w:tbl>
      <w:tblPr>
        <w:tblStyle w:val="Table"/>
        <w:tblW w:type="pct" w:w="5000"/>
        <w:tblLayout w:type="fixed"/>
        <w:tblLook w:firstRow="1" w:lastRow="0" w:firstColumn="0" w:lastColumn="0" w:noHBand="0" w:noVBand="0" w:val="0020"/>
        <w:tblCaption w:val="Table 5. Concordant versus cardiac readmission, by precipitating illness class."/>
      </w:tblPr>
      <w:tblGrid>
        <w:gridCol w:w="1482"/>
        <w:gridCol w:w="1014"/>
        <w:gridCol w:w="1794"/>
        <w:gridCol w:w="1677"/>
        <w:gridCol w:w="1950"/>
      </w:tblGrid>
      <w:tr>
        <w:trPr>
          <w:tblHeader w:val="on"/>
        </w:trPr>
        <w:tc>
          <w:tcPr/>
          <w:p>
            <w:pPr>
              <w:pStyle w:val="Compact"/>
              <w:jc w:val="left"/>
            </w:pPr>
            <w:r>
              <w:t xml:space="preserve">Precipitant class</w:t>
            </w:r>
          </w:p>
        </w:tc>
        <w:tc>
          <w:tcPr/>
          <w:p>
            <w:pPr>
              <w:pStyle w:val="Compact"/>
              <w:jc w:val="left"/>
            </w:pPr>
            <w:r>
              <w:t xml:space="preserve">Readmitted (unweighted n)</w:t>
            </w:r>
          </w:p>
        </w:tc>
        <w:tc>
          <w:tcPr/>
          <w:p>
            <w:pPr>
              <w:pStyle w:val="Compact"/>
              <w:jc w:val="left"/>
            </w:pPr>
            <w:r>
              <w:t xml:space="preserve">Concordant readmission, % of readmissions (n)</w:t>
            </w:r>
          </w:p>
        </w:tc>
        <w:tc>
          <w:tcPr/>
          <w:p>
            <w:pPr>
              <w:pStyle w:val="Compact"/>
              <w:jc w:val="left"/>
            </w:pPr>
            <w:r>
              <w:t xml:space="preserve">Cardiac readmission, % of readmissions (n)</w:t>
            </w:r>
          </w:p>
        </w:tc>
        <w:tc>
          <w:tcPr/>
          <w:p>
            <w:pPr>
              <w:pStyle w:val="Compact"/>
              <w:jc w:val="left"/>
            </w:pPr>
            <w:r>
              <w:t xml:space="preserve">Concordant readmission, % of ALL index admissions</w:t>
            </w:r>
          </w:p>
        </w:tc>
      </w:tr>
      <w:tr>
        <w:tc>
          <w:tcPr/>
          <w:p>
            <w:pPr>
              <w:pStyle w:val="Compact"/>
              <w:jc w:val="left"/>
            </w:pPr>
            <w:r>
              <w:t xml:space="preserve">Sepsis or severe infection</w:t>
            </w:r>
          </w:p>
        </w:tc>
        <w:tc>
          <w:tcPr/>
          <w:p>
            <w:pPr>
              <w:pStyle w:val="Compact"/>
              <w:jc w:val="left"/>
            </w:pPr>
            <w:r>
              <w:t xml:space="preserve">43,508</w:t>
            </w:r>
          </w:p>
        </w:tc>
        <w:tc>
          <w:tcPr/>
          <w:p>
            <w:pPr>
              <w:pStyle w:val="Compact"/>
              <w:jc w:val="left"/>
            </w:pPr>
            <w:r>
              <w:t xml:space="preserve">35.1% (15,503)</w:t>
            </w:r>
          </w:p>
        </w:tc>
        <w:tc>
          <w:tcPr/>
          <w:p>
            <w:pPr>
              <w:pStyle w:val="Compact"/>
              <w:jc w:val="left"/>
            </w:pPr>
            <w:r>
              <w:t xml:space="preserve">12.7% (5,483)</w:t>
            </w:r>
          </w:p>
        </w:tc>
        <w:tc>
          <w:tcPr/>
          <w:p>
            <w:pPr>
              <w:pStyle w:val="Compact"/>
              <w:jc w:val="left"/>
            </w:pPr>
            <w:r>
              <w:t xml:space="preserve">7.2%</w:t>
            </w:r>
          </w:p>
        </w:tc>
      </w:tr>
      <w:tr>
        <w:tc>
          <w:tcPr/>
          <w:p>
            <w:pPr>
              <w:pStyle w:val="Compact"/>
              <w:jc w:val="left"/>
            </w:pPr>
            <w:r>
              <w:t xml:space="preserve">Acute GI bleed or blood-loss anaemia</w:t>
            </w:r>
          </w:p>
        </w:tc>
        <w:tc>
          <w:tcPr/>
          <w:p>
            <w:pPr>
              <w:pStyle w:val="Compact"/>
              <w:jc w:val="left"/>
            </w:pPr>
            <w:r>
              <w:t xml:space="preserve">15,486</w:t>
            </w:r>
          </w:p>
        </w:tc>
        <w:tc>
          <w:tcPr/>
          <w:p>
            <w:pPr>
              <w:pStyle w:val="Compact"/>
              <w:jc w:val="left"/>
            </w:pPr>
            <w:r>
              <w:t xml:space="preserve">11.1% (1,731)</w:t>
            </w:r>
          </w:p>
        </w:tc>
        <w:tc>
          <w:tcPr/>
          <w:p>
            <w:pPr>
              <w:pStyle w:val="Compact"/>
              <w:jc w:val="left"/>
            </w:pPr>
            <w:r>
              <w:t xml:space="preserve">18.7% (2,876)</w:t>
            </w:r>
          </w:p>
        </w:tc>
        <w:tc>
          <w:tcPr/>
          <w:p>
            <w:pPr>
              <w:pStyle w:val="Compact"/>
              <w:jc w:val="left"/>
            </w:pPr>
            <w:r>
              <w:t xml:space="preserve">2.5%</w:t>
            </w:r>
          </w:p>
        </w:tc>
      </w:tr>
      <w:tr>
        <w:tc>
          <w:tcPr/>
          <w:p>
            <w:pPr>
              <w:pStyle w:val="Compact"/>
              <w:jc w:val="left"/>
            </w:pPr>
            <w:r>
              <w:t xml:space="preserve">Hypertensive emergency</w:t>
            </w:r>
          </w:p>
        </w:tc>
        <w:tc>
          <w:tcPr/>
          <w:p>
            <w:pPr>
              <w:pStyle w:val="Compact"/>
              <w:jc w:val="left"/>
            </w:pPr>
            <w:r>
              <w:t xml:space="preserve">8,616</w:t>
            </w:r>
          </w:p>
        </w:tc>
        <w:tc>
          <w:tcPr/>
          <w:p>
            <w:pPr>
              <w:pStyle w:val="Compact"/>
              <w:jc w:val="left"/>
            </w:pPr>
            <w:r>
              <w:t xml:space="preserve">11.4% (975)</w:t>
            </w:r>
          </w:p>
        </w:tc>
        <w:tc>
          <w:tcPr/>
          <w:p>
            <w:pPr>
              <w:pStyle w:val="Compact"/>
              <w:jc w:val="left"/>
            </w:pPr>
            <w:r>
              <w:t xml:space="preserve">23.8% (2,036)</w:t>
            </w:r>
          </w:p>
        </w:tc>
        <w:tc>
          <w:tcPr/>
          <w:p>
            <w:pPr>
              <w:pStyle w:val="Compact"/>
              <w:jc w:val="left"/>
            </w:pPr>
            <w:r>
              <w:t xml:space="preserve">2.1%</w:t>
            </w:r>
          </w:p>
        </w:tc>
      </w:tr>
      <w:tr>
        <w:tc>
          <w:tcPr/>
          <w:p>
            <w:pPr>
              <w:pStyle w:val="Compact"/>
              <w:jc w:val="left"/>
            </w:pPr>
            <w:r>
              <w:t xml:space="preserve">Tachyarrhythmia</w:t>
            </w:r>
          </w:p>
        </w:tc>
        <w:tc>
          <w:tcPr/>
          <w:p>
            <w:pPr>
              <w:pStyle w:val="Compact"/>
              <w:jc w:val="left"/>
            </w:pPr>
            <w:r>
              <w:t xml:space="preserve">48,103</w:t>
            </w:r>
          </w:p>
        </w:tc>
        <w:tc>
          <w:tcPr/>
          <w:p>
            <w:pPr>
              <w:pStyle w:val="Compact"/>
              <w:jc w:val="left"/>
            </w:pPr>
            <w:r>
              <w:t xml:space="preserve">9.1% (4,329)</w:t>
            </w:r>
          </w:p>
        </w:tc>
        <w:tc>
          <w:tcPr/>
          <w:p>
            <w:pPr>
              <w:pStyle w:val="Compact"/>
              <w:jc w:val="left"/>
            </w:pPr>
            <w:r>
              <w:t xml:space="preserve">35.1% (16,814)</w:t>
            </w:r>
          </w:p>
        </w:tc>
        <w:tc>
          <w:tcPr/>
          <w:p>
            <w:pPr>
              <w:pStyle w:val="Compact"/>
              <w:jc w:val="left"/>
            </w:pPr>
            <w:r>
              <w:t xml:space="preserve">1.9%</w:t>
            </w:r>
          </w:p>
        </w:tc>
      </w:tr>
      <w:tr>
        <w:tc>
          <w:tcPr/>
          <w:p>
            <w:pPr>
              <w:pStyle w:val="Compact"/>
              <w:jc w:val="left"/>
            </w:pPr>
            <w:r>
              <w:t xml:space="preserve">Acute respiratory failure</w:t>
            </w:r>
          </w:p>
        </w:tc>
        <w:tc>
          <w:tcPr/>
          <w:p>
            <w:pPr>
              <w:pStyle w:val="Compact"/>
              <w:jc w:val="left"/>
            </w:pPr>
            <w:r>
              <w:t xml:space="preserve">14,686</w:t>
            </w:r>
          </w:p>
        </w:tc>
        <w:tc>
          <w:tcPr/>
          <w:p>
            <w:pPr>
              <w:pStyle w:val="Compact"/>
              <w:jc w:val="left"/>
            </w:pPr>
            <w:r>
              <w:t xml:space="preserve">8.8% (1,281)</w:t>
            </w:r>
          </w:p>
        </w:tc>
        <w:tc>
          <w:tcPr/>
          <w:p>
            <w:pPr>
              <w:pStyle w:val="Compact"/>
              <w:jc w:val="left"/>
            </w:pPr>
            <w:r>
              <w:t xml:space="preserve">24.1% (3,533)</w:t>
            </w:r>
          </w:p>
        </w:tc>
        <w:tc>
          <w:tcPr/>
          <w:p>
            <w:pPr>
              <w:pStyle w:val="Compact"/>
              <w:jc w:val="left"/>
            </w:pPr>
            <w:r>
              <w:t xml:space="preserve">1.6%</w:t>
            </w:r>
          </w:p>
        </w:tc>
      </w:tr>
      <w:tr>
        <w:tc>
          <w:tcPr/>
          <w:p>
            <w:pPr>
              <w:pStyle w:val="Compact"/>
              <w:jc w:val="left"/>
            </w:pPr>
            <w:r>
              <w:t xml:space="preserve">Hypovolaemia or non-cardiogenic shock</w:t>
            </w:r>
          </w:p>
        </w:tc>
        <w:tc>
          <w:tcPr/>
          <w:p>
            <w:pPr>
              <w:pStyle w:val="Compact"/>
              <w:jc w:val="left"/>
            </w:pPr>
            <w:r>
              <w:t xml:space="preserve">6,750</w:t>
            </w:r>
          </w:p>
        </w:tc>
        <w:tc>
          <w:tcPr/>
          <w:p>
            <w:pPr>
              <w:pStyle w:val="Compact"/>
              <w:jc w:val="left"/>
            </w:pPr>
            <w:r>
              <w:t xml:space="preserve">4.0% (270)</w:t>
            </w:r>
          </w:p>
        </w:tc>
        <w:tc>
          <w:tcPr/>
          <w:p>
            <w:pPr>
              <w:pStyle w:val="Compact"/>
              <w:jc w:val="left"/>
            </w:pPr>
            <w:r>
              <w:t xml:space="preserve">13.4% (885)</w:t>
            </w:r>
          </w:p>
        </w:tc>
        <w:tc>
          <w:tcPr/>
          <w:p>
            <w:pPr>
              <w:pStyle w:val="Compact"/>
              <w:jc w:val="left"/>
            </w:pPr>
            <w:r>
              <w:t xml:space="preserve">0.7%</w:t>
            </w:r>
          </w:p>
        </w:tc>
      </w:tr>
      <w:tr>
        <w:tc>
          <w:tcPr/>
          <w:p>
            <w:pPr>
              <w:pStyle w:val="Compact"/>
              <w:jc w:val="left"/>
            </w:pPr>
            <w:r>
              <w:t xml:space="preserve">Perioperative</w:t>
            </w:r>
          </w:p>
        </w:tc>
        <w:tc>
          <w:tcPr/>
          <w:p>
            <w:pPr>
              <w:pStyle w:val="Compact"/>
              <w:jc w:val="left"/>
            </w:pPr>
            <w:r>
              <w:t xml:space="preserve">2,156</w:t>
            </w:r>
          </w:p>
        </w:tc>
        <w:tc>
          <w:tcPr/>
          <w:p>
            <w:pPr>
              <w:pStyle w:val="Compact"/>
              <w:jc w:val="left"/>
            </w:pPr>
            <w:r>
              <w:t xml:space="preserve">14.3% (305)</w:t>
            </w:r>
          </w:p>
        </w:tc>
        <w:tc>
          <w:tcPr/>
          <w:p>
            <w:pPr>
              <w:pStyle w:val="Compact"/>
              <w:jc w:val="left"/>
            </w:pPr>
            <w:r>
              <w:t xml:space="preserve">15.7% (335)</w:t>
            </w:r>
          </w:p>
        </w:tc>
        <w:tc>
          <w:tcPr/>
          <w:p>
            <w:pPr>
              <w:pStyle w:val="Compact"/>
              <w:jc w:val="left"/>
            </w:pPr>
            <w:r>
              <w:t xml:space="preserve">2.7%</w:t>
            </w:r>
          </w:p>
        </w:tc>
      </w:tr>
      <w:tr>
        <w:tc>
          <w:tcPr/>
          <w:p>
            <w:pPr>
              <w:pStyle w:val="Compact"/>
              <w:jc w:val="left"/>
            </w:pPr>
            <w:r>
              <w:t xml:space="preserve">None of the above</w:t>
            </w:r>
          </w:p>
        </w:tc>
        <w:tc>
          <w:tcPr/>
          <w:p>
            <w:pPr>
              <w:pStyle w:val="Compact"/>
              <w:jc w:val="left"/>
            </w:pPr>
            <w:r>
              <w:t xml:space="preserve">36,007</w:t>
            </w:r>
          </w:p>
        </w:tc>
        <w:tc>
          <w:tcPr/>
          <w:p>
            <w:pPr>
              <w:pStyle w:val="Compact"/>
              <w:jc w:val="left"/>
            </w:pPr>
            <w:r>
              <w:t xml:space="preserve">Not defined</w:t>
            </w:r>
          </w:p>
        </w:tc>
        <w:tc>
          <w:tcPr/>
          <w:p>
            <w:pPr>
              <w:pStyle w:val="Compact"/>
              <w:jc w:val="left"/>
            </w:pPr>
            <w:r>
              <w:t xml:space="preserve">25.1% (9,073)</w:t>
            </w:r>
          </w:p>
        </w:tc>
        <w:tc>
          <w:tcPr/>
          <w:p>
            <w:pPr>
              <w:pStyle w:val="Compact"/>
              <w:jc w:val="left"/>
            </w:pPr>
            <w:r>
              <w:t xml:space="preserve">Not defined</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A readmission is CONCORDANT when the DXCCSR v2025.1 default category of its principal diagnosis falls in the same clinical domain as the precipitating illness class assigned at the index admission; the full class-to-category mapping was frozen before any result was seen and is reproduced in the supplement. A readmission is CARDIAC when that category is CIR009, CIR010, CIR011, CIR017 or CIR019. The two are not mutually exclusive: a tachyarrhythmia precipitant followed by a dysrhythmia readmission is both. The</w:t>
            </w:r>
            <w:r>
              <w:t xml:space="preserve"> </w:t>
            </w:r>
            <w:r>
              <w:t xml:space="preserve">‘none of the above’</w:t>
            </w:r>
            <w:r>
              <w:t xml:space="preserve"> </w:t>
            </w:r>
            <w:r>
              <w:t xml:space="preserve">class has no concordant set by construction and is scored as undefined rather than zero; 36,007 readmissions fall in that class and are excluded from the concordance column only. The third and fourth columns are conditional on being readmitted and answer</w:t>
            </w:r>
            <w:r>
              <w:t xml:space="preserve"> </w:t>
            </w:r>
            <w:r>
              <w:t xml:space="preserve">‘what did they come back with?’</w:t>
            </w:r>
            <w:r>
              <w:t xml:space="preserve">; the fifth column is the absolute risk of a concordant readmission among all index admissions in that class and is the quantity to quote alongside the overall readmission rate. Adjusted for the full primary covariate block, the design-based joint Wald test of whether concordance differs across precipitant classes gives p &lt;0.001. Cells below 11 unweighted readmissions are suppressed under the HCUP Data Use Agreement.</w:t>
            </w:r>
          </w:p>
        </w:tc>
      </w:tr>
    </w:tbl>
    <w:p>
      <w:pPr>
        <w:pStyle w:val="CaptionedFigure"/>
      </w:pPr>
      <w:r>
        <w:drawing>
          <wp:inline>
            <wp:extent cx="5334000" cy="3704166"/>
            <wp:effectExtent b="0" l="0" r="0" t="0"/>
            <wp:docPr descr="Figure 3. What patients came back with, by precipitating illness class." title="" id="42" name="Picture"/>
            <a:graphic>
              <a:graphicData uri="http://schemas.openxmlformats.org/drawingml/2006/picture">
                <pic:pic>
                  <pic:nvPicPr>
                    <pic:cNvPr descr="C:/Users/saada/Documents/Biostatistics/AliFam-Nerds/RCOP_NRD/NRD_Saad_T2MI_Precip/figures/Figure3_concordant_vs_cardiac.png" id="43" name="Picture"/>
                    <pic:cNvPicPr>
                      <a:picLocks noChangeArrowheads="1" noChangeAspect="1"/>
                    </pic:cNvPicPr>
                  </pic:nvPicPr>
                  <pic:blipFill>
                    <a:blip r:embed="rId41"/>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Figure 3. What patients came back with, by precipitating illness class.</w:t>
      </w:r>
    </w:p>
    <w:bookmarkEnd w:id="44"/>
    <w:bookmarkStart w:id="51" w:name="table-6.-cause-of-readmission"/>
    <w:p>
      <w:pPr>
        <w:pStyle w:val="Heading1"/>
      </w:pPr>
      <w:r>
        <w:t xml:space="preserve">8. Table 6. Cause of readmission</w:t>
      </w:r>
    </w:p>
    <w:p>
      <w:pPr>
        <w:pStyle w:val="TableCaption"/>
      </w:pPr>
      <w:r>
        <w:t xml:space="preserve">Table 6. Principal diagnosis category (DXCCSR v2025.1) of the first 30-day readmission.</w:t>
      </w:r>
    </w:p>
    <w:tbl>
      <w:tblPr>
        <w:tblStyle w:val="Table"/>
        <w:tblW w:type="pct" w:w="5000"/>
        <w:tblLayout w:type="fixed"/>
        <w:tblLook w:firstRow="1" w:lastRow="0" w:firstColumn="0" w:lastColumn="0" w:noHBand="0" w:noVBand="0" w:val="0020"/>
        <w:tblCaption w:val="Table 6. Principal diagnosis category (DXCCSR v2025.1) of the first 30-day readmission."/>
      </w:tblPr>
      <w:tblGrid>
        <w:gridCol w:w="1878"/>
        <w:gridCol w:w="380"/>
        <w:gridCol w:w="685"/>
        <w:gridCol w:w="939"/>
        <w:gridCol w:w="583"/>
        <w:gridCol w:w="406"/>
        <w:gridCol w:w="660"/>
        <w:gridCol w:w="964"/>
        <w:gridCol w:w="355"/>
        <w:gridCol w:w="456"/>
        <w:gridCol w:w="330"/>
        <w:gridCol w:w="279"/>
      </w:tblGrid>
      <w:tr>
        <w:trPr>
          <w:tblHeader w:val="on"/>
        </w:trPr>
        <w:tc>
          <w:tcPr/>
          <w:p>
            <w:pPr>
              <w:pStyle w:val="Compact"/>
              <w:jc w:val="left"/>
            </w:pPr>
            <w:r>
              <w:t xml:space="preserve">Cause of readmission (DXCCSR category)</w:t>
            </w:r>
          </w:p>
        </w:tc>
        <w:tc>
          <w:tcPr/>
          <w:p>
            <w:pPr>
              <w:pStyle w:val="Compact"/>
              <w:jc w:val="left"/>
            </w:pPr>
            <w:r>
              <w:t xml:space="preserve">Overall, % (n)</w:t>
            </w:r>
          </w:p>
        </w:tc>
        <w:tc>
          <w:tcPr/>
          <w:p>
            <w:pPr>
              <w:pStyle w:val="Compact"/>
              <w:jc w:val="left"/>
            </w:pPr>
            <w:r>
              <w:t xml:space="preserve">Sepsis or severe infection</w:t>
            </w:r>
          </w:p>
        </w:tc>
        <w:tc>
          <w:tcPr/>
          <w:p>
            <w:pPr>
              <w:pStyle w:val="Compact"/>
              <w:jc w:val="left"/>
            </w:pPr>
            <w:r>
              <w:t xml:space="preserve">Acute GI bleed or blood-loss anaemia</w:t>
            </w:r>
          </w:p>
        </w:tc>
        <w:tc>
          <w:tcPr/>
          <w:p>
            <w:pPr>
              <w:pStyle w:val="Compact"/>
              <w:jc w:val="left"/>
            </w:pPr>
            <w:r>
              <w:t xml:space="preserve">Hypertensive emergency</w:t>
            </w:r>
          </w:p>
        </w:tc>
        <w:tc>
          <w:tcPr/>
          <w:p>
            <w:pPr>
              <w:pStyle w:val="Compact"/>
              <w:jc w:val="left"/>
            </w:pPr>
            <w:r>
              <w:t xml:space="preserve">Tachyarrhythmia</w:t>
            </w:r>
          </w:p>
        </w:tc>
        <w:tc>
          <w:tcPr/>
          <w:p>
            <w:pPr>
              <w:pStyle w:val="Compact"/>
              <w:jc w:val="left"/>
            </w:pPr>
            <w:r>
              <w:t xml:space="preserve">Acute respiratory failure</w:t>
            </w:r>
          </w:p>
        </w:tc>
        <w:tc>
          <w:tcPr/>
          <w:p>
            <w:pPr>
              <w:pStyle w:val="Compact"/>
              <w:jc w:val="left"/>
            </w:pPr>
            <w:r>
              <w:t xml:space="preserve">Hypovolaemia or non-cardiogenic shock</w:t>
            </w:r>
          </w:p>
        </w:tc>
        <w:tc>
          <w:tcPr/>
          <w:p>
            <w:pPr>
              <w:pStyle w:val="Compact"/>
              <w:jc w:val="left"/>
            </w:pPr>
            <w:r>
              <w:t xml:space="preserve">Perioperative</w:t>
            </w:r>
          </w:p>
        </w:tc>
        <w:tc>
          <w:tcPr/>
          <w:p>
            <w:pPr>
              <w:pStyle w:val="Compact"/>
              <w:jc w:val="left"/>
            </w:pPr>
            <w:r>
              <w:t xml:space="preserve">None of the above</w:t>
            </w:r>
          </w:p>
        </w:tc>
        <w:tc>
          <w:tcPr/>
          <w:p>
            <w:pPr>
              <w:pStyle w:val="Compact"/>
              <w:jc w:val="left"/>
            </w:pPr>
            <w:r>
              <w:t xml:space="preserve">Joint Wald p</w:t>
            </w:r>
          </w:p>
        </w:tc>
        <w:tc>
          <w:tcPr/>
          <w:p>
            <w:pPr>
              <w:pStyle w:val="Compact"/>
              <w:jc w:val="left"/>
            </w:pPr>
            <w:r>
              <w:t xml:space="preserve">BH q value</w:t>
            </w:r>
          </w:p>
        </w:tc>
      </w:tr>
      <w:tr>
        <w:tc>
          <w:tcPr/>
          <w:p>
            <w:pPr>
              <w:pStyle w:val="Compact"/>
              <w:jc w:val="left"/>
            </w:pPr>
            <w:r>
              <w:t xml:space="preserve">Heart failure</w:t>
            </w:r>
          </w:p>
        </w:tc>
        <w:tc>
          <w:tcPr/>
          <w:p>
            <w:pPr>
              <w:pStyle w:val="Compact"/>
              <w:jc w:val="left"/>
            </w:pPr>
            <w:r>
              <w:t xml:space="preserve">15.6% (27,283)</w:t>
            </w:r>
          </w:p>
        </w:tc>
        <w:tc>
          <w:tcPr/>
          <w:p>
            <w:pPr>
              <w:pStyle w:val="Compact"/>
              <w:jc w:val="left"/>
            </w:pPr>
            <w:r>
              <w:t xml:space="preserve">8.8% ( 3,792)</w:t>
            </w:r>
          </w:p>
        </w:tc>
        <w:tc>
          <w:tcPr/>
          <w:p>
            <w:pPr>
              <w:pStyle w:val="Compact"/>
              <w:jc w:val="left"/>
            </w:pPr>
            <w:r>
              <w:t xml:space="preserve">12.1% (1,867)</w:t>
            </w:r>
          </w:p>
        </w:tc>
        <w:tc>
          <w:tcPr/>
          <w:p>
            <w:pPr>
              <w:pStyle w:val="Compact"/>
              <w:jc w:val="left"/>
            </w:pPr>
            <w:r>
              <w:t xml:space="preserve">15.5% (1,321)</w:t>
            </w:r>
          </w:p>
        </w:tc>
        <w:tc>
          <w:tcPr/>
          <w:p>
            <w:pPr>
              <w:pStyle w:val="Compact"/>
              <w:jc w:val="left"/>
            </w:pPr>
            <w:r>
              <w:t xml:space="preserve">22.0% (10,582)</w:t>
            </w:r>
          </w:p>
        </w:tc>
        <w:tc>
          <w:tcPr/>
          <w:p>
            <w:pPr>
              <w:pStyle w:val="Compact"/>
              <w:jc w:val="left"/>
            </w:pPr>
            <w:r>
              <w:t xml:space="preserve">18.3% (2,679)</w:t>
            </w:r>
          </w:p>
        </w:tc>
        <w:tc>
          <w:tcPr/>
          <w:p>
            <w:pPr>
              <w:pStyle w:val="Compact"/>
              <w:jc w:val="left"/>
            </w:pPr>
            <w:r>
              <w:t xml:space="preserve">8.7% ( 572)</w:t>
            </w:r>
          </w:p>
        </w:tc>
        <w:tc>
          <w:tcPr/>
          <w:p>
            <w:pPr>
              <w:pStyle w:val="Compact"/>
              <w:jc w:val="left"/>
            </w:pPr>
            <w:r>
              <w:t xml:space="preserve">9.2% (197)</w:t>
            </w:r>
          </w:p>
        </w:tc>
        <w:tc>
          <w:tcPr/>
          <w:p>
            <w:pPr>
              <w:pStyle w:val="Compact"/>
              <w:jc w:val="left"/>
            </w:pPr>
            <w:r>
              <w:t xml:space="preserve">17.3% ( 6,273)</w:t>
            </w:r>
          </w:p>
        </w:tc>
        <w:tc>
          <w:tcPr/>
          <w:p>
            <w:pPr>
              <w:pStyle w:val="Compact"/>
              <w:jc w:val="left"/>
            </w:pPr>
            <w:r>
              <w:t xml:space="preserve">&lt;0.001</w:t>
            </w:r>
          </w:p>
        </w:tc>
        <w:tc>
          <w:tcPr/>
          <w:p>
            <w:pPr>
              <w:pStyle w:val="Compact"/>
              <w:jc w:val="left"/>
            </w:pPr>
            <w:r>
              <w:t xml:space="preserve">&lt;0.001</w:t>
            </w:r>
          </w:p>
        </w:tc>
      </w:tr>
      <w:tr>
        <w:tc>
          <w:tcPr/>
          <w:p>
            <w:pPr>
              <w:pStyle w:val="Compact"/>
              <w:jc w:val="left"/>
            </w:pPr>
            <w:r>
              <w:t xml:space="preserve">Septicemia</w:t>
            </w:r>
          </w:p>
        </w:tc>
        <w:tc>
          <w:tcPr/>
          <w:p>
            <w:pPr>
              <w:pStyle w:val="Compact"/>
              <w:jc w:val="left"/>
            </w:pPr>
            <w:r>
              <w:t xml:space="preserve">13.5% (24,083)</w:t>
            </w:r>
          </w:p>
        </w:tc>
        <w:tc>
          <w:tcPr/>
          <w:p>
            <w:pPr>
              <w:pStyle w:val="Compact"/>
              <w:jc w:val="left"/>
            </w:pPr>
            <w:r>
              <w:t xml:space="preserve">24.9% (11,086)</w:t>
            </w:r>
          </w:p>
        </w:tc>
        <w:tc>
          <w:tcPr/>
          <w:p>
            <w:pPr>
              <w:pStyle w:val="Compact"/>
              <w:jc w:val="left"/>
            </w:pPr>
            <w:r>
              <w:t xml:space="preserve">10.0% (1,539)</w:t>
            </w:r>
          </w:p>
        </w:tc>
        <w:tc>
          <w:tcPr/>
          <w:p>
            <w:pPr>
              <w:pStyle w:val="Compact"/>
              <w:jc w:val="left"/>
            </w:pPr>
            <w:r>
              <w:t xml:space="preserve">5.7% ( 492)</w:t>
            </w:r>
          </w:p>
        </w:tc>
        <w:tc>
          <w:tcPr/>
          <w:p>
            <w:pPr>
              <w:pStyle w:val="Compact"/>
              <w:jc w:val="left"/>
            </w:pPr>
            <w:r>
              <w:t xml:space="preserve">10.1% ( 4,903)</w:t>
            </w:r>
          </w:p>
        </w:tc>
        <w:tc>
          <w:tcPr/>
          <w:p>
            <w:pPr>
              <w:pStyle w:val="Compact"/>
              <w:jc w:val="left"/>
            </w:pPr>
            <w:r>
              <w:t xml:space="preserve">11.1% (1,648)</w:t>
            </w:r>
          </w:p>
        </w:tc>
        <w:tc>
          <w:tcPr/>
          <w:p>
            <w:pPr>
              <w:pStyle w:val="Compact"/>
              <w:jc w:val="left"/>
            </w:pPr>
            <w:r>
              <w:t xml:space="preserve">13.4% ( 919)</w:t>
            </w:r>
          </w:p>
        </w:tc>
        <w:tc>
          <w:tcPr/>
          <w:p>
            <w:pPr>
              <w:pStyle w:val="Compact"/>
              <w:jc w:val="left"/>
            </w:pPr>
            <w:r>
              <w:t xml:space="preserve">10.8% (240)</w:t>
            </w:r>
          </w:p>
        </w:tc>
        <w:tc>
          <w:tcPr/>
          <w:p>
            <w:pPr>
              <w:pStyle w:val="Compact"/>
              <w:jc w:val="left"/>
            </w:pPr>
            <w:r>
              <w:t xml:space="preserve">8.9% ( 3,256)</w:t>
            </w:r>
          </w:p>
        </w:tc>
        <w:tc>
          <w:tcPr/>
          <w:p>
            <w:pPr>
              <w:pStyle w:val="Compact"/>
              <w:jc w:val="left"/>
            </w:pPr>
            <w:r>
              <w:t xml:space="preserve">&lt;0.001</w:t>
            </w:r>
          </w:p>
        </w:tc>
        <w:tc>
          <w:tcPr/>
          <w:p>
            <w:pPr>
              <w:pStyle w:val="Compact"/>
              <w:jc w:val="left"/>
            </w:pPr>
            <w:r>
              <w:t xml:space="preserve">&lt;0.001</w:t>
            </w:r>
          </w:p>
        </w:tc>
      </w:tr>
      <w:tr>
        <w:tc>
          <w:tcPr/>
          <w:p>
            <w:pPr>
              <w:pStyle w:val="Compact"/>
              <w:jc w:val="left"/>
            </w:pPr>
            <w:r>
              <w:t xml:space="preserve">Cardiac dysrhythmias</w:t>
            </w:r>
          </w:p>
        </w:tc>
        <w:tc>
          <w:tcPr/>
          <w:p>
            <w:pPr>
              <w:pStyle w:val="Compact"/>
              <w:jc w:val="left"/>
            </w:pPr>
            <w:r>
              <w:t xml:space="preserve">3.5% ( 6,081)</w:t>
            </w:r>
          </w:p>
        </w:tc>
        <w:tc>
          <w:tcPr/>
          <w:p>
            <w:pPr>
              <w:pStyle w:val="Compact"/>
              <w:jc w:val="left"/>
            </w:pPr>
            <w:r>
              <w:t xml:space="preserve">1.7% ( 749)</w:t>
            </w:r>
          </w:p>
        </w:tc>
        <w:tc>
          <w:tcPr/>
          <w:p>
            <w:pPr>
              <w:pStyle w:val="Compact"/>
              <w:jc w:val="left"/>
            </w:pPr>
            <w:r>
              <w:t xml:space="preserve">2.2% ( 339)</w:t>
            </w:r>
          </w:p>
        </w:tc>
        <w:tc>
          <w:tcPr/>
          <w:p>
            <w:pPr>
              <w:pStyle w:val="Compact"/>
              <w:jc w:val="left"/>
            </w:pPr>
            <w:r>
              <w:t xml:space="preserve">1.6% ( 142)</w:t>
            </w:r>
          </w:p>
        </w:tc>
        <w:tc>
          <w:tcPr/>
          <w:p>
            <w:pPr>
              <w:pStyle w:val="Compact"/>
              <w:jc w:val="left"/>
            </w:pPr>
            <w:r>
              <w:t xml:space="preserve">8.8% ( 4,188)</w:t>
            </w:r>
          </w:p>
        </w:tc>
        <w:tc>
          <w:tcPr/>
          <w:p>
            <w:pPr>
              <w:pStyle w:val="Compact"/>
              <w:jc w:val="left"/>
            </w:pPr>
            <w:r>
              <w:t xml:space="preserve">1.1% ( 161)</w:t>
            </w:r>
          </w:p>
        </w:tc>
        <w:tc>
          <w:tcPr/>
          <w:p>
            <w:pPr>
              <w:pStyle w:val="Compact"/>
              <w:jc w:val="left"/>
            </w:pPr>
            <w:r>
              <w:t xml:space="preserve">1.0% ( 66)</w:t>
            </w:r>
          </w:p>
        </w:tc>
        <w:tc>
          <w:tcPr/>
          <w:p>
            <w:pPr>
              <w:pStyle w:val="Compact"/>
              <w:jc w:val="left"/>
            </w:pPr>
            <w:r>
              <w:t xml:space="preserve">1.6% ( 34)</w:t>
            </w:r>
          </w:p>
        </w:tc>
        <w:tc>
          <w:tcPr/>
          <w:p>
            <w:pPr>
              <w:pStyle w:val="Compact"/>
              <w:jc w:val="left"/>
            </w:pPr>
            <w:r>
              <w:t xml:space="preserve">1.2% ( 402)</w:t>
            </w:r>
          </w:p>
        </w:tc>
        <w:tc>
          <w:tcPr/>
          <w:p>
            <w:pPr>
              <w:pStyle w:val="Compact"/>
              <w:jc w:val="left"/>
            </w:pPr>
            <w:r>
              <w:t xml:space="preserve">&lt;0.001</w:t>
            </w:r>
          </w:p>
        </w:tc>
        <w:tc>
          <w:tcPr/>
          <w:p>
            <w:pPr>
              <w:pStyle w:val="Compact"/>
              <w:jc w:val="left"/>
            </w:pPr>
            <w:r>
              <w:t xml:space="preserve">&lt;0.001</w:t>
            </w:r>
          </w:p>
        </w:tc>
      </w:tr>
      <w:tr>
        <w:tc>
          <w:tcPr/>
          <w:p>
            <w:pPr>
              <w:pStyle w:val="Compact"/>
              <w:jc w:val="left"/>
            </w:pPr>
            <w:r>
              <w:t xml:space="preserve">Respiratory failure; insufficiency; arrest</w:t>
            </w:r>
          </w:p>
        </w:tc>
        <w:tc>
          <w:tcPr/>
          <w:p>
            <w:pPr>
              <w:pStyle w:val="Compact"/>
              <w:jc w:val="left"/>
            </w:pPr>
            <w:r>
              <w:t xml:space="preserve">3.4% ( 5,875)</w:t>
            </w:r>
          </w:p>
        </w:tc>
        <w:tc>
          <w:tcPr/>
          <w:p>
            <w:pPr>
              <w:pStyle w:val="Compact"/>
              <w:jc w:val="left"/>
            </w:pPr>
            <w:r>
              <w:t xml:space="preserve">3.3% ( 1,381)</w:t>
            </w:r>
          </w:p>
        </w:tc>
        <w:tc>
          <w:tcPr/>
          <w:p>
            <w:pPr>
              <w:pStyle w:val="Compact"/>
              <w:jc w:val="left"/>
            </w:pPr>
            <w:r>
              <w:t xml:space="preserve">2.3% ( 342)</w:t>
            </w:r>
          </w:p>
        </w:tc>
        <w:tc>
          <w:tcPr/>
          <w:p>
            <w:pPr>
              <w:pStyle w:val="Compact"/>
              <w:jc w:val="left"/>
            </w:pPr>
            <w:r>
              <w:t xml:space="preserve">2.9% ( 250)</w:t>
            </w:r>
          </w:p>
        </w:tc>
        <w:tc>
          <w:tcPr/>
          <w:p>
            <w:pPr>
              <w:pStyle w:val="Compact"/>
              <w:jc w:val="left"/>
            </w:pPr>
            <w:r>
              <w:t xml:space="preserve">3.1% ( 1,445)</w:t>
            </w:r>
          </w:p>
        </w:tc>
        <w:tc>
          <w:tcPr/>
          <w:p>
            <w:pPr>
              <w:pStyle w:val="Compact"/>
              <w:jc w:val="left"/>
            </w:pPr>
            <w:r>
              <w:t xml:space="preserve">6.0% ( 872)</w:t>
            </w:r>
          </w:p>
        </w:tc>
        <w:tc>
          <w:tcPr/>
          <w:p>
            <w:pPr>
              <w:pStyle w:val="Compact"/>
              <w:jc w:val="left"/>
            </w:pPr>
            <w:r>
              <w:t xml:space="preserve">2.0% ( 138)</w:t>
            </w:r>
          </w:p>
        </w:tc>
        <w:tc>
          <w:tcPr/>
          <w:p>
            <w:pPr>
              <w:pStyle w:val="Compact"/>
              <w:jc w:val="left"/>
            </w:pPr>
            <w:r>
              <w:t xml:space="preserve">2.1% ( 46)</w:t>
            </w:r>
          </w:p>
        </w:tc>
        <w:tc>
          <w:tcPr/>
          <w:p>
            <w:pPr>
              <w:pStyle w:val="Compact"/>
              <w:jc w:val="left"/>
            </w:pPr>
            <w:r>
              <w:t xml:space="preserve">4.0% ( 1,401)</w:t>
            </w:r>
          </w:p>
        </w:tc>
        <w:tc>
          <w:tcPr/>
          <w:p>
            <w:pPr>
              <w:pStyle w:val="Compact"/>
              <w:jc w:val="left"/>
            </w:pPr>
            <w:r>
              <w:t xml:space="preserve">&lt;0.001</w:t>
            </w:r>
          </w:p>
        </w:tc>
        <w:tc>
          <w:tcPr/>
          <w:p>
            <w:pPr>
              <w:pStyle w:val="Compact"/>
              <w:jc w:val="left"/>
            </w:pPr>
            <w:r>
              <w:t xml:space="preserve">&lt;0.001</w:t>
            </w:r>
          </w:p>
        </w:tc>
      </w:tr>
      <w:tr>
        <w:tc>
          <w:tcPr/>
          <w:p>
            <w:pPr>
              <w:pStyle w:val="Compact"/>
              <w:jc w:val="left"/>
            </w:pPr>
            <w:r>
              <w:t xml:space="preserve">Acute and unspecified renal failure</w:t>
            </w:r>
          </w:p>
        </w:tc>
        <w:tc>
          <w:tcPr/>
          <w:p>
            <w:pPr>
              <w:pStyle w:val="Compact"/>
              <w:jc w:val="left"/>
            </w:pPr>
            <w:r>
              <w:t xml:space="preserve">3.4% ( 5,851)</w:t>
            </w:r>
          </w:p>
        </w:tc>
        <w:tc>
          <w:tcPr/>
          <w:p>
            <w:pPr>
              <w:pStyle w:val="Compact"/>
              <w:jc w:val="left"/>
            </w:pPr>
            <w:r>
              <w:t xml:space="preserve">3.3% ( 1,421)</w:t>
            </w:r>
          </w:p>
        </w:tc>
        <w:tc>
          <w:tcPr/>
          <w:p>
            <w:pPr>
              <w:pStyle w:val="Compact"/>
              <w:jc w:val="left"/>
            </w:pPr>
            <w:r>
              <w:t xml:space="preserve">2.9% ( 442)</w:t>
            </w:r>
          </w:p>
        </w:tc>
        <w:tc>
          <w:tcPr/>
          <w:p>
            <w:pPr>
              <w:pStyle w:val="Compact"/>
              <w:jc w:val="left"/>
            </w:pPr>
            <w:r>
              <w:t xml:space="preserve">4.0% ( 334)</w:t>
            </w:r>
          </w:p>
        </w:tc>
        <w:tc>
          <w:tcPr/>
          <w:p>
            <w:pPr>
              <w:pStyle w:val="Compact"/>
              <w:jc w:val="left"/>
            </w:pPr>
            <w:r>
              <w:t xml:space="preserve">3.4% ( 1,594)</w:t>
            </w:r>
          </w:p>
        </w:tc>
        <w:tc>
          <w:tcPr/>
          <w:p>
            <w:pPr>
              <w:pStyle w:val="Compact"/>
              <w:jc w:val="left"/>
            </w:pPr>
            <w:r>
              <w:t xml:space="preserve">2.9% ( 419)</w:t>
            </w:r>
          </w:p>
        </w:tc>
        <w:tc>
          <w:tcPr/>
          <w:p>
            <w:pPr>
              <w:pStyle w:val="Compact"/>
              <w:jc w:val="left"/>
            </w:pPr>
            <w:r>
              <w:t xml:space="preserve">5.8% ( 385)</w:t>
            </w:r>
          </w:p>
        </w:tc>
        <w:tc>
          <w:tcPr/>
          <w:p>
            <w:pPr>
              <w:pStyle w:val="Compact"/>
              <w:jc w:val="left"/>
            </w:pPr>
            <w:r>
              <w:t xml:space="preserve">2.8% ( 58)</w:t>
            </w:r>
          </w:p>
        </w:tc>
        <w:tc>
          <w:tcPr/>
          <w:p>
            <w:pPr>
              <w:pStyle w:val="Compact"/>
              <w:jc w:val="left"/>
            </w:pPr>
            <w:r>
              <w:t xml:space="preserve">3.3% ( 1,198)</w:t>
            </w:r>
          </w:p>
        </w:tc>
        <w:tc>
          <w:tcPr/>
          <w:p>
            <w:pPr>
              <w:pStyle w:val="Compact"/>
              <w:jc w:val="left"/>
            </w:pPr>
            <w:r>
              <w:t xml:space="preserve">&lt;0.001</w:t>
            </w:r>
          </w:p>
        </w:tc>
        <w:tc>
          <w:tcPr/>
          <w:p>
            <w:pPr>
              <w:pStyle w:val="Compact"/>
              <w:jc w:val="left"/>
            </w:pPr>
            <w:r>
              <w:t xml:space="preserve">&lt;0.001</w:t>
            </w:r>
          </w:p>
        </w:tc>
      </w:tr>
      <w:tr>
        <w:tc>
          <w:tcPr/>
          <w:p>
            <w:pPr>
              <w:pStyle w:val="Compact"/>
              <w:jc w:val="left"/>
            </w:pPr>
            <w:r>
              <w:t xml:space="preserve">Acute myocardial infarction</w:t>
            </w:r>
          </w:p>
        </w:tc>
        <w:tc>
          <w:tcPr/>
          <w:p>
            <w:pPr>
              <w:pStyle w:val="Compact"/>
              <w:jc w:val="left"/>
            </w:pPr>
            <w:r>
              <w:t xml:space="preserve">3.2% ( 5,628)</w:t>
            </w:r>
          </w:p>
        </w:tc>
        <w:tc>
          <w:tcPr/>
          <w:p>
            <w:pPr>
              <w:pStyle w:val="Compact"/>
              <w:jc w:val="left"/>
            </w:pPr>
            <w:r>
              <w:t xml:space="preserve">1.6% ( 687)</w:t>
            </w:r>
          </w:p>
        </w:tc>
        <w:tc>
          <w:tcPr/>
          <w:p>
            <w:pPr>
              <w:pStyle w:val="Compact"/>
              <w:jc w:val="left"/>
            </w:pPr>
            <w:r>
              <w:t xml:space="preserve">3.3% ( 503)</w:t>
            </w:r>
          </w:p>
        </w:tc>
        <w:tc>
          <w:tcPr/>
          <w:p>
            <w:pPr>
              <w:pStyle w:val="Compact"/>
              <w:jc w:val="left"/>
            </w:pPr>
            <w:r>
              <w:t xml:space="preserve">4.7% ( 409)</w:t>
            </w:r>
          </w:p>
        </w:tc>
        <w:tc>
          <w:tcPr/>
          <w:p>
            <w:pPr>
              <w:pStyle w:val="Compact"/>
              <w:jc w:val="left"/>
            </w:pPr>
            <w:r>
              <w:t xml:space="preserve">3.1% ( 1,496)</w:t>
            </w:r>
          </w:p>
        </w:tc>
        <w:tc>
          <w:tcPr/>
          <w:p>
            <w:pPr>
              <w:pStyle w:val="Compact"/>
              <w:jc w:val="left"/>
            </w:pPr>
            <w:r>
              <w:t xml:space="preserve">3.4% ( 515)</w:t>
            </w:r>
          </w:p>
        </w:tc>
        <w:tc>
          <w:tcPr/>
          <w:p>
            <w:pPr>
              <w:pStyle w:val="Compact"/>
              <w:jc w:val="left"/>
            </w:pPr>
            <w:r>
              <w:t xml:space="preserve">2.8% ( 186)</w:t>
            </w:r>
          </w:p>
        </w:tc>
        <w:tc>
          <w:tcPr/>
          <w:p>
            <w:pPr>
              <w:pStyle w:val="Compact"/>
              <w:jc w:val="left"/>
            </w:pPr>
            <w:r>
              <w:t xml:space="preserve">3.6% ( 76)</w:t>
            </w:r>
          </w:p>
        </w:tc>
        <w:tc>
          <w:tcPr/>
          <w:p>
            <w:pPr>
              <w:pStyle w:val="Compact"/>
              <w:jc w:val="left"/>
            </w:pPr>
            <w:r>
              <w:t xml:space="preserve">4.8% ( 1,756)</w:t>
            </w:r>
          </w:p>
        </w:tc>
        <w:tc>
          <w:tcPr/>
          <w:p>
            <w:pPr>
              <w:pStyle w:val="Compact"/>
              <w:jc w:val="left"/>
            </w:pPr>
            <w:r>
              <w:t xml:space="preserve">&lt;0.001</w:t>
            </w:r>
          </w:p>
        </w:tc>
        <w:tc>
          <w:tcPr/>
          <w:p>
            <w:pPr>
              <w:pStyle w:val="Compact"/>
              <w:jc w:val="left"/>
            </w:pPr>
            <w:r>
              <w:t xml:space="preserve">&lt;0.001</w:t>
            </w:r>
          </w:p>
        </w:tc>
      </w:tr>
      <w:tr>
        <w:tc>
          <w:tcPr/>
          <w:p>
            <w:pPr>
              <w:pStyle w:val="Compact"/>
              <w:jc w:val="left"/>
            </w:pPr>
            <w:r>
              <w:t xml:space="preserve">Chronic kidney disease</w:t>
            </w:r>
          </w:p>
        </w:tc>
        <w:tc>
          <w:tcPr/>
          <w:p>
            <w:pPr>
              <w:pStyle w:val="Compact"/>
              <w:jc w:val="left"/>
            </w:pPr>
            <w:r>
              <w:t xml:space="preserve">3.2% ( 5,687)</w:t>
            </w:r>
          </w:p>
        </w:tc>
        <w:tc>
          <w:tcPr/>
          <w:p>
            <w:pPr>
              <w:pStyle w:val="Compact"/>
              <w:jc w:val="left"/>
            </w:pPr>
            <w:r>
              <w:t xml:space="preserve">1.9% ( 843)</w:t>
            </w:r>
          </w:p>
        </w:tc>
        <w:tc>
          <w:tcPr/>
          <w:p>
            <w:pPr>
              <w:pStyle w:val="Compact"/>
              <w:jc w:val="left"/>
            </w:pPr>
            <w:r>
              <w:t xml:space="preserve">2.6% ( 418)</w:t>
            </w:r>
          </w:p>
        </w:tc>
        <w:tc>
          <w:tcPr/>
          <w:p>
            <w:pPr>
              <w:pStyle w:val="Compact"/>
              <w:jc w:val="left"/>
            </w:pPr>
            <w:r>
              <w:t xml:space="preserve">8.9% ( 788)</w:t>
            </w:r>
          </w:p>
        </w:tc>
        <w:tc>
          <w:tcPr/>
          <w:p>
            <w:pPr>
              <w:pStyle w:val="Compact"/>
              <w:jc w:val="left"/>
            </w:pPr>
            <w:r>
              <w:t xml:space="preserve">2.7% ( 1,338)</w:t>
            </w:r>
          </w:p>
        </w:tc>
        <w:tc>
          <w:tcPr/>
          <w:p>
            <w:pPr>
              <w:pStyle w:val="Compact"/>
              <w:jc w:val="left"/>
            </w:pPr>
            <w:r>
              <w:t xml:space="preserve">4.8% ( 728)</w:t>
            </w:r>
          </w:p>
        </w:tc>
        <w:tc>
          <w:tcPr/>
          <w:p>
            <w:pPr>
              <w:pStyle w:val="Compact"/>
              <w:jc w:val="left"/>
            </w:pPr>
            <w:r>
              <w:t xml:space="preserve">1.2% ( 87)</w:t>
            </w:r>
          </w:p>
        </w:tc>
        <w:tc>
          <w:tcPr/>
          <w:p>
            <w:pPr>
              <w:pStyle w:val="Compact"/>
              <w:jc w:val="left"/>
            </w:pPr>
            <w:r>
              <w:t xml:space="preserve">4.2% ( 91)</w:t>
            </w:r>
          </w:p>
        </w:tc>
        <w:tc>
          <w:tcPr/>
          <w:p>
            <w:pPr>
              <w:pStyle w:val="Compact"/>
              <w:jc w:val="left"/>
            </w:pPr>
            <w:r>
              <w:t xml:space="preserve">3.8% ( 1,394)</w:t>
            </w:r>
          </w:p>
        </w:tc>
        <w:tc>
          <w:tcPr/>
          <w:p>
            <w:pPr>
              <w:pStyle w:val="Compact"/>
              <w:jc w:val="left"/>
            </w:pPr>
            <w:r>
              <w:t xml:space="preserve">&lt;0.001</w:t>
            </w:r>
          </w:p>
        </w:tc>
        <w:tc>
          <w:tcPr/>
          <w:p>
            <w:pPr>
              <w:pStyle w:val="Compact"/>
              <w:jc w:val="left"/>
            </w:pPr>
            <w:r>
              <w:t xml:space="preserve">&lt;0.001</w:t>
            </w:r>
          </w:p>
        </w:tc>
      </w:tr>
      <w:tr>
        <w:tc>
          <w:tcPr/>
          <w:p>
            <w:pPr>
              <w:pStyle w:val="Compact"/>
              <w:jc w:val="left"/>
            </w:pPr>
            <w:r>
              <w:t xml:space="preserve">Pneumonia (except that caused by tuberculosis)</w:t>
            </w:r>
          </w:p>
        </w:tc>
        <w:tc>
          <w:tcPr/>
          <w:p>
            <w:pPr>
              <w:pStyle w:val="Compact"/>
              <w:jc w:val="left"/>
            </w:pPr>
            <w:r>
              <w:t xml:space="preserve">2.7% ( 4,539)</w:t>
            </w:r>
          </w:p>
        </w:tc>
        <w:tc>
          <w:tcPr/>
          <w:p>
            <w:pPr>
              <w:pStyle w:val="Compact"/>
              <w:jc w:val="left"/>
            </w:pPr>
            <w:r>
              <w:t xml:space="preserve">3.1% ( 1,318)</w:t>
            </w:r>
          </w:p>
        </w:tc>
        <w:tc>
          <w:tcPr/>
          <w:p>
            <w:pPr>
              <w:pStyle w:val="Compact"/>
              <w:jc w:val="left"/>
            </w:pPr>
            <w:r>
              <w:t xml:space="preserve">1.9% ( 291)</w:t>
            </w:r>
          </w:p>
        </w:tc>
        <w:tc>
          <w:tcPr/>
          <w:p>
            <w:pPr>
              <w:pStyle w:val="Compact"/>
              <w:jc w:val="left"/>
            </w:pPr>
            <w:r>
              <w:t xml:space="preserve">1.5% ( 127)</w:t>
            </w:r>
          </w:p>
        </w:tc>
        <w:tc>
          <w:tcPr/>
          <w:p>
            <w:pPr>
              <w:pStyle w:val="Compact"/>
              <w:jc w:val="left"/>
            </w:pPr>
            <w:r>
              <w:t xml:space="preserve">2.6% ( 1,202)</w:t>
            </w:r>
          </w:p>
        </w:tc>
        <w:tc>
          <w:tcPr/>
          <w:p>
            <w:pPr>
              <w:pStyle w:val="Compact"/>
              <w:jc w:val="left"/>
            </w:pPr>
            <w:r>
              <w:t xml:space="preserve">3.6% ( 501)</w:t>
            </w:r>
          </w:p>
        </w:tc>
        <w:tc>
          <w:tcPr/>
          <w:p>
            <w:pPr>
              <w:pStyle w:val="Compact"/>
              <w:jc w:val="left"/>
            </w:pPr>
            <w:r>
              <w:t xml:space="preserve">2.0% ( 130)</w:t>
            </w:r>
          </w:p>
        </w:tc>
        <w:tc>
          <w:tcPr/>
          <w:p>
            <w:pPr>
              <w:pStyle w:val="Compact"/>
              <w:jc w:val="left"/>
            </w:pPr>
            <w:r>
              <w:t xml:space="preserve">2.6% ( 54)</w:t>
            </w:r>
          </w:p>
        </w:tc>
        <w:tc>
          <w:tcPr/>
          <w:p>
            <w:pPr>
              <w:pStyle w:val="Compact"/>
              <w:jc w:val="left"/>
            </w:pPr>
            <w:r>
              <w:t xml:space="preserve">2.7% ( 916)</w:t>
            </w:r>
          </w:p>
        </w:tc>
        <w:tc>
          <w:tcPr/>
          <w:p>
            <w:pPr>
              <w:pStyle w:val="Compact"/>
              <w:jc w:val="left"/>
            </w:pPr>
            <w:r>
              <w:t xml:space="preserve">&lt;0.001</w:t>
            </w:r>
          </w:p>
        </w:tc>
        <w:tc>
          <w:tcPr/>
          <w:p>
            <w:pPr>
              <w:pStyle w:val="Compact"/>
              <w:jc w:val="left"/>
            </w:pPr>
            <w:r>
              <w:t xml:space="preserve">&lt;0.001</w:t>
            </w:r>
          </w:p>
        </w:tc>
      </w:tr>
      <w:tr>
        <w:tc>
          <w:tcPr/>
          <w:p>
            <w:pPr>
              <w:pStyle w:val="Compact"/>
              <w:jc w:val="left"/>
            </w:pPr>
            <w:r>
              <w:t xml:space="preserve">Gastrointestinal hemorrhage</w:t>
            </w:r>
          </w:p>
        </w:tc>
        <w:tc>
          <w:tcPr/>
          <w:p>
            <w:pPr>
              <w:pStyle w:val="Compact"/>
              <w:jc w:val="left"/>
            </w:pPr>
            <w:r>
              <w:t xml:space="preserve">2.5% ( 4,468)</w:t>
            </w:r>
          </w:p>
        </w:tc>
        <w:tc>
          <w:tcPr/>
          <w:p>
            <w:pPr>
              <w:pStyle w:val="Compact"/>
              <w:jc w:val="left"/>
            </w:pPr>
            <w:r>
              <w:t xml:space="preserve">2.4% ( 1,060)</w:t>
            </w:r>
          </w:p>
        </w:tc>
        <w:tc>
          <w:tcPr/>
          <w:p>
            <w:pPr>
              <w:pStyle w:val="Compact"/>
              <w:jc w:val="left"/>
            </w:pPr>
            <w:r>
              <w:t xml:space="preserve">8.4% (1,306)</w:t>
            </w:r>
          </w:p>
        </w:tc>
        <w:tc>
          <w:tcPr/>
          <w:p>
            <w:pPr>
              <w:pStyle w:val="Compact"/>
              <w:jc w:val="left"/>
            </w:pPr>
            <w:r>
              <w:t xml:space="preserve">1.2% ( 109)</w:t>
            </w:r>
          </w:p>
        </w:tc>
        <w:tc>
          <w:tcPr/>
          <w:p>
            <w:pPr>
              <w:pStyle w:val="Compact"/>
              <w:jc w:val="left"/>
            </w:pPr>
            <w:r>
              <w:t xml:space="preserve">2.1% ( 982)</w:t>
            </w:r>
          </w:p>
        </w:tc>
        <w:tc>
          <w:tcPr/>
          <w:p>
            <w:pPr>
              <w:pStyle w:val="Compact"/>
              <w:jc w:val="left"/>
            </w:pPr>
            <w:r>
              <w:t xml:space="preserve">1.7% ( 258)</w:t>
            </w:r>
          </w:p>
        </w:tc>
        <w:tc>
          <w:tcPr/>
          <w:p>
            <w:pPr>
              <w:pStyle w:val="Compact"/>
              <w:jc w:val="left"/>
            </w:pPr>
            <w:r>
              <w:t xml:space="preserve">1.9% ( 128)</w:t>
            </w:r>
          </w:p>
        </w:tc>
        <w:tc>
          <w:tcPr/>
          <w:p>
            <w:pPr>
              <w:pStyle w:val="Compact"/>
              <w:jc w:val="left"/>
            </w:pPr>
            <w:r>
              <w:t xml:space="preserve">2.3% ( 49)</w:t>
            </w:r>
          </w:p>
        </w:tc>
        <w:tc>
          <w:tcPr/>
          <w:p>
            <w:pPr>
              <w:pStyle w:val="Compact"/>
              <w:jc w:val="left"/>
            </w:pPr>
            <w:r>
              <w:t xml:space="preserve">1.6% ( 576)</w:t>
            </w:r>
          </w:p>
        </w:tc>
        <w:tc>
          <w:tcPr/>
          <w:p>
            <w:pPr>
              <w:pStyle w:val="Compact"/>
              <w:jc w:val="left"/>
            </w:pPr>
            <w:r>
              <w:t xml:space="preserve">&lt;0.001</w:t>
            </w:r>
          </w:p>
        </w:tc>
        <w:tc>
          <w:tcPr/>
          <w:p>
            <w:pPr>
              <w:pStyle w:val="Compact"/>
              <w:jc w:val="left"/>
            </w:pPr>
            <w:r>
              <w:t xml:space="preserve">&lt;0.001</w:t>
            </w:r>
          </w:p>
        </w:tc>
      </w:tr>
      <w:tr>
        <w:tc>
          <w:tcPr/>
          <w:p>
            <w:pPr>
              <w:pStyle w:val="Compact"/>
              <w:jc w:val="left"/>
            </w:pPr>
            <w:r>
              <w:t xml:space="preserve">Diabetes mellitus with complication</w:t>
            </w:r>
          </w:p>
        </w:tc>
        <w:tc>
          <w:tcPr/>
          <w:p>
            <w:pPr>
              <w:pStyle w:val="Compact"/>
              <w:jc w:val="left"/>
            </w:pPr>
            <w:r>
              <w:t xml:space="preserve">2.5% ( 4,364)</w:t>
            </w:r>
          </w:p>
        </w:tc>
        <w:tc>
          <w:tcPr/>
          <w:p>
            <w:pPr>
              <w:pStyle w:val="Compact"/>
              <w:jc w:val="left"/>
            </w:pPr>
            <w:r>
              <w:t xml:space="preserve">2.6% ( 1,125)</w:t>
            </w:r>
          </w:p>
        </w:tc>
        <w:tc>
          <w:tcPr/>
          <w:p>
            <w:pPr>
              <w:pStyle w:val="Compact"/>
              <w:jc w:val="left"/>
            </w:pPr>
            <w:r>
              <w:t xml:space="preserve">2.1% ( 335)</w:t>
            </w:r>
          </w:p>
        </w:tc>
        <w:tc>
          <w:tcPr/>
          <w:p>
            <w:pPr>
              <w:pStyle w:val="Compact"/>
              <w:jc w:val="left"/>
            </w:pPr>
            <w:r>
              <w:t xml:space="preserve">3.0% ( 256)</w:t>
            </w:r>
          </w:p>
        </w:tc>
        <w:tc>
          <w:tcPr/>
          <w:p>
            <w:pPr>
              <w:pStyle w:val="Compact"/>
              <w:jc w:val="left"/>
            </w:pPr>
            <w:r>
              <w:t xml:space="preserve">1.6% ( 758)</w:t>
            </w:r>
          </w:p>
        </w:tc>
        <w:tc>
          <w:tcPr/>
          <w:p>
            <w:pPr>
              <w:pStyle w:val="Compact"/>
              <w:jc w:val="left"/>
            </w:pPr>
            <w:r>
              <w:t xml:space="preserve">2.3% ( 340)</w:t>
            </w:r>
          </w:p>
        </w:tc>
        <w:tc>
          <w:tcPr/>
          <w:p>
            <w:pPr>
              <w:pStyle w:val="Compact"/>
              <w:jc w:val="left"/>
            </w:pPr>
            <w:r>
              <w:t xml:space="preserve">5.8% ( 387)</w:t>
            </w:r>
          </w:p>
        </w:tc>
        <w:tc>
          <w:tcPr/>
          <w:p>
            <w:pPr>
              <w:pStyle w:val="Compact"/>
              <w:jc w:val="left"/>
            </w:pPr>
            <w:r>
              <w:t xml:space="preserve">5.0% (107)</w:t>
            </w:r>
          </w:p>
        </w:tc>
        <w:tc>
          <w:tcPr/>
          <w:p>
            <w:pPr>
              <w:pStyle w:val="Compact"/>
              <w:jc w:val="left"/>
            </w:pPr>
            <w:r>
              <w:t xml:space="preserve">2.9% ( 1,056)</w:t>
            </w:r>
          </w:p>
        </w:tc>
        <w:tc>
          <w:tcPr/>
          <w:p>
            <w:pPr>
              <w:pStyle w:val="Compact"/>
              <w:jc w:val="left"/>
            </w:pPr>
            <w:r>
              <w:t xml:space="preserve">&lt;0.001</w:t>
            </w:r>
          </w:p>
        </w:tc>
        <w:tc>
          <w:tcPr/>
          <w:p>
            <w:pPr>
              <w:pStyle w:val="Compact"/>
              <w:jc w:val="left"/>
            </w:pPr>
            <w:r>
              <w:t xml:space="preserve">&lt;0.001</w:t>
            </w:r>
          </w:p>
        </w:tc>
      </w:tr>
      <w:tr>
        <w:tc>
          <w:tcPr/>
          <w:p>
            <w:pPr>
              <w:pStyle w:val="Compact"/>
              <w:jc w:val="left"/>
            </w:pPr>
            <w:r>
              <w:t xml:space="preserve">COVID-19</w:t>
            </w:r>
          </w:p>
        </w:tc>
        <w:tc>
          <w:tcPr/>
          <w:p>
            <w:pPr>
              <w:pStyle w:val="Compact"/>
              <w:jc w:val="left"/>
            </w:pPr>
            <w:r>
              <w:t xml:space="preserve">2.1% ( 3,696)</w:t>
            </w:r>
          </w:p>
        </w:tc>
        <w:tc>
          <w:tcPr/>
          <w:p>
            <w:pPr>
              <w:pStyle w:val="Compact"/>
              <w:jc w:val="left"/>
            </w:pPr>
            <w:r>
              <w:t xml:space="preserve">1.9% ( 842)</w:t>
            </w:r>
          </w:p>
        </w:tc>
        <w:tc>
          <w:tcPr/>
          <w:p>
            <w:pPr>
              <w:pStyle w:val="Compact"/>
              <w:jc w:val="left"/>
            </w:pPr>
            <w:r>
              <w:t xml:space="preserve">1.4% ( 206)</w:t>
            </w:r>
          </w:p>
        </w:tc>
        <w:tc>
          <w:tcPr/>
          <w:p>
            <w:pPr>
              <w:pStyle w:val="Compact"/>
              <w:jc w:val="left"/>
            </w:pPr>
            <w:r>
              <w:t xml:space="preserve">1.5% ( 135)</w:t>
            </w:r>
          </w:p>
        </w:tc>
        <w:tc>
          <w:tcPr/>
          <w:p>
            <w:pPr>
              <w:pStyle w:val="Compact"/>
              <w:jc w:val="left"/>
            </w:pPr>
            <w:r>
              <w:t xml:space="preserve">2.2% ( 1,052)</w:t>
            </w:r>
          </w:p>
        </w:tc>
        <w:tc>
          <w:tcPr/>
          <w:p>
            <w:pPr>
              <w:pStyle w:val="Compact"/>
              <w:jc w:val="left"/>
            </w:pPr>
            <w:r>
              <w:t xml:space="preserve">3.6% ( 526)</w:t>
            </w:r>
          </w:p>
        </w:tc>
        <w:tc>
          <w:tcPr/>
          <w:p>
            <w:pPr>
              <w:pStyle w:val="Compact"/>
              <w:jc w:val="left"/>
            </w:pPr>
            <w:r>
              <w:t xml:space="preserve">2.1% ( 134)</w:t>
            </w:r>
          </w:p>
        </w:tc>
        <w:tc>
          <w:tcPr/>
          <w:p>
            <w:pPr>
              <w:pStyle w:val="Compact"/>
              <w:jc w:val="left"/>
            </w:pPr>
            <w:r>
              <w:t xml:space="preserve">1.2% ( 30)</w:t>
            </w:r>
          </w:p>
        </w:tc>
        <w:tc>
          <w:tcPr/>
          <w:p>
            <w:pPr>
              <w:pStyle w:val="Compact"/>
              <w:jc w:val="left"/>
            </w:pPr>
            <w:r>
              <w:t xml:space="preserve">2.2% ( 771)</w:t>
            </w:r>
          </w:p>
        </w:tc>
        <w:tc>
          <w:tcPr/>
          <w:p>
            <w:pPr>
              <w:pStyle w:val="Compact"/>
              <w:jc w:val="left"/>
            </w:pPr>
            <w:r>
              <w:t xml:space="preserve">&lt;0.001</w:t>
            </w:r>
          </w:p>
        </w:tc>
        <w:tc>
          <w:tcPr/>
          <w:p>
            <w:pPr>
              <w:pStyle w:val="Compact"/>
              <w:jc w:val="left"/>
            </w:pPr>
            <w:r>
              <w:t xml:space="preserve">&lt;0.001</w:t>
            </w:r>
          </w:p>
        </w:tc>
      </w:tr>
      <w:tr>
        <w:tc>
          <w:tcPr/>
          <w:p>
            <w:pPr>
              <w:pStyle w:val="Compact"/>
              <w:jc w:val="left"/>
            </w:pPr>
            <w:r>
              <w:t xml:space="preserve">Fluid and electrolyte disorders</w:t>
            </w:r>
          </w:p>
        </w:tc>
        <w:tc>
          <w:tcPr/>
          <w:p>
            <w:pPr>
              <w:pStyle w:val="Compact"/>
              <w:jc w:val="left"/>
            </w:pPr>
            <w:r>
              <w:t xml:space="preserve">1.9% ( 3,379)</w:t>
            </w:r>
          </w:p>
        </w:tc>
        <w:tc>
          <w:tcPr/>
          <w:p>
            <w:pPr>
              <w:pStyle w:val="Compact"/>
              <w:jc w:val="left"/>
            </w:pPr>
            <w:r>
              <w:t xml:space="preserve">1.6% ( 691)</w:t>
            </w:r>
          </w:p>
        </w:tc>
        <w:tc>
          <w:tcPr/>
          <w:p>
            <w:pPr>
              <w:pStyle w:val="Compact"/>
              <w:jc w:val="left"/>
            </w:pPr>
            <w:r>
              <w:t xml:space="preserve">1.4% ( 215)</w:t>
            </w:r>
          </w:p>
        </w:tc>
        <w:tc>
          <w:tcPr/>
          <w:p>
            <w:pPr>
              <w:pStyle w:val="Compact"/>
              <w:jc w:val="left"/>
            </w:pPr>
            <w:r>
              <w:t xml:space="preserve">4.1% ( 355)</w:t>
            </w:r>
          </w:p>
        </w:tc>
        <w:tc>
          <w:tcPr/>
          <w:p>
            <w:pPr>
              <w:pStyle w:val="Compact"/>
              <w:jc w:val="left"/>
            </w:pPr>
            <w:r>
              <w:t xml:space="preserve">1.6% ( 756)</w:t>
            </w:r>
          </w:p>
        </w:tc>
        <w:tc>
          <w:tcPr/>
          <w:p>
            <w:pPr>
              <w:pStyle w:val="Compact"/>
              <w:jc w:val="left"/>
            </w:pPr>
            <w:r>
              <w:t xml:space="preserve">2.2% ( 322)</w:t>
            </w:r>
          </w:p>
        </w:tc>
        <w:tc>
          <w:tcPr/>
          <w:p>
            <w:pPr>
              <w:pStyle w:val="Compact"/>
              <w:jc w:val="left"/>
            </w:pPr>
            <w:r>
              <w:t xml:space="preserve">2.8% ( 189)</w:t>
            </w:r>
          </w:p>
        </w:tc>
        <w:tc>
          <w:tcPr/>
          <w:p>
            <w:pPr>
              <w:pStyle w:val="Compact"/>
              <w:jc w:val="left"/>
            </w:pPr>
            <w:r>
              <w:t xml:space="preserve">2.3% ( 44)</w:t>
            </w:r>
          </w:p>
        </w:tc>
        <w:tc>
          <w:tcPr/>
          <w:p>
            <w:pPr>
              <w:pStyle w:val="Compact"/>
              <w:jc w:val="left"/>
            </w:pPr>
            <w:r>
              <w:t xml:space="preserve">2.3% ( 807)</w:t>
            </w:r>
          </w:p>
        </w:tc>
        <w:tc>
          <w:tcPr/>
          <w:p>
            <w:pPr>
              <w:pStyle w:val="Compact"/>
              <w:jc w:val="left"/>
            </w:pPr>
            <w:r>
              <w:t xml:space="preserve">&lt;0.001</w:t>
            </w:r>
          </w:p>
        </w:tc>
        <w:tc>
          <w:tcPr/>
          <w:p>
            <w:pPr>
              <w:pStyle w:val="Compact"/>
              <w:jc w:val="left"/>
            </w:pPr>
            <w:r>
              <w:t xml:space="preserve">&lt;0.001</w:t>
            </w:r>
          </w:p>
        </w:tc>
      </w:tr>
      <w:tr>
        <w:tc>
          <w:tcPr/>
          <w:p>
            <w:pPr>
              <w:pStyle w:val="Compact"/>
              <w:jc w:val="left"/>
            </w:pPr>
            <w:r>
              <w:t xml:space="preserve">Cerebral infarction</w:t>
            </w:r>
          </w:p>
        </w:tc>
        <w:tc>
          <w:tcPr/>
          <w:p>
            <w:pPr>
              <w:pStyle w:val="Compact"/>
              <w:jc w:val="left"/>
            </w:pPr>
            <w:r>
              <w:t xml:space="preserve">1.7% ( 2,964)</w:t>
            </w:r>
          </w:p>
        </w:tc>
        <w:tc>
          <w:tcPr/>
          <w:p>
            <w:pPr>
              <w:pStyle w:val="Compact"/>
              <w:jc w:val="left"/>
            </w:pPr>
            <w:r>
              <w:t xml:space="preserve">1.1% ( 478)</w:t>
            </w:r>
          </w:p>
        </w:tc>
        <w:tc>
          <w:tcPr/>
          <w:p>
            <w:pPr>
              <w:pStyle w:val="Compact"/>
              <w:jc w:val="left"/>
            </w:pPr>
            <w:r>
              <w:t xml:space="preserve">1.5% ( 248)</w:t>
            </w:r>
          </w:p>
        </w:tc>
        <w:tc>
          <w:tcPr/>
          <w:p>
            <w:pPr>
              <w:pStyle w:val="Compact"/>
              <w:jc w:val="left"/>
            </w:pPr>
            <w:r>
              <w:t xml:space="preserve">2.9% ( 249)</w:t>
            </w:r>
          </w:p>
        </w:tc>
        <w:tc>
          <w:tcPr/>
          <w:p>
            <w:pPr>
              <w:pStyle w:val="Compact"/>
              <w:jc w:val="left"/>
            </w:pPr>
            <w:r>
              <w:t xml:space="preserve">1.8% ( 859)</w:t>
            </w:r>
          </w:p>
        </w:tc>
        <w:tc>
          <w:tcPr/>
          <w:p>
            <w:pPr>
              <w:pStyle w:val="Compact"/>
              <w:jc w:val="left"/>
            </w:pPr>
            <w:r>
              <w:t xml:space="preserve">1.3% ( 192)</w:t>
            </w:r>
          </w:p>
        </w:tc>
        <w:tc>
          <w:tcPr/>
          <w:p>
            <w:pPr>
              <w:pStyle w:val="Compact"/>
              <w:jc w:val="left"/>
            </w:pPr>
            <w:r>
              <w:t xml:space="preserve">1.7% ( 124)</w:t>
            </w:r>
          </w:p>
        </w:tc>
        <w:tc>
          <w:tcPr/>
          <w:p>
            <w:pPr>
              <w:pStyle w:val="Compact"/>
              <w:jc w:val="left"/>
            </w:pPr>
            <w:r>
              <w:t xml:space="preserve">1.6% ( 35)</w:t>
            </w:r>
          </w:p>
        </w:tc>
        <w:tc>
          <w:tcPr/>
          <w:p>
            <w:pPr>
              <w:pStyle w:val="Compact"/>
              <w:jc w:val="left"/>
            </w:pPr>
            <w:r>
              <w:t xml:space="preserve">2.2% ( 779)</w:t>
            </w:r>
          </w:p>
        </w:tc>
        <w:tc>
          <w:tcPr/>
          <w:p>
            <w:pPr>
              <w:pStyle w:val="Compact"/>
              <w:jc w:val="left"/>
            </w:pPr>
            <w:r>
              <w:t xml:space="preserve">&lt;0.001</w:t>
            </w:r>
          </w:p>
        </w:tc>
        <w:tc>
          <w:tcPr/>
          <w:p>
            <w:pPr>
              <w:pStyle w:val="Compact"/>
              <w:jc w:val="left"/>
            </w:pPr>
            <w:r>
              <w:t xml:space="preserve">&lt;0.001</w:t>
            </w:r>
          </w:p>
        </w:tc>
      </w:tr>
      <w:tr>
        <w:tc>
          <w:tcPr/>
          <w:p>
            <w:pPr>
              <w:pStyle w:val="Compact"/>
              <w:jc w:val="left"/>
            </w:pPr>
            <w:r>
              <w:t xml:space="preserve">Chronic obstructive pulmonary disease and bronchiectasis</w:t>
            </w:r>
          </w:p>
        </w:tc>
        <w:tc>
          <w:tcPr/>
          <w:p>
            <w:pPr>
              <w:pStyle w:val="Compact"/>
              <w:jc w:val="left"/>
            </w:pPr>
            <w:r>
              <w:t xml:space="preserve">1.6% ( 2,766)</w:t>
            </w:r>
          </w:p>
        </w:tc>
        <w:tc>
          <w:tcPr/>
          <w:p>
            <w:pPr>
              <w:pStyle w:val="Compact"/>
              <w:jc w:val="left"/>
            </w:pPr>
            <w:r>
              <w:t xml:space="preserve">1.0% ( 436)</w:t>
            </w:r>
          </w:p>
        </w:tc>
        <w:tc>
          <w:tcPr/>
          <w:p>
            <w:pPr>
              <w:pStyle w:val="Compact"/>
              <w:jc w:val="left"/>
            </w:pPr>
            <w:r>
              <w:t xml:space="preserve">0.6% ( 90)</w:t>
            </w:r>
          </w:p>
        </w:tc>
        <w:tc>
          <w:tcPr/>
          <w:p>
            <w:pPr>
              <w:pStyle w:val="Compact"/>
              <w:jc w:val="left"/>
            </w:pPr>
            <w:r>
              <w:t xml:space="preserve">1.0% ( 81)</w:t>
            </w:r>
          </w:p>
        </w:tc>
        <w:tc>
          <w:tcPr/>
          <w:p>
            <w:pPr>
              <w:pStyle w:val="Compact"/>
              <w:jc w:val="left"/>
            </w:pPr>
            <w:r>
              <w:t xml:space="preserve">1.6% ( 742)</w:t>
            </w:r>
          </w:p>
        </w:tc>
        <w:tc>
          <w:tcPr/>
          <w:p>
            <w:pPr>
              <w:pStyle w:val="Compact"/>
              <w:jc w:val="left"/>
            </w:pPr>
            <w:r>
              <w:t xml:space="preserve">2.6% ( 385)</w:t>
            </w:r>
          </w:p>
        </w:tc>
        <w:tc>
          <w:tcPr/>
          <w:p>
            <w:pPr>
              <w:pStyle w:val="Compact"/>
              <w:jc w:val="left"/>
            </w:pPr>
            <w:r>
              <w:t xml:space="preserve">1.2% ( 88)</w:t>
            </w:r>
          </w:p>
        </w:tc>
        <w:tc>
          <w:tcPr/>
          <w:p>
            <w:pPr>
              <w:pStyle w:val="Compact"/>
              <w:jc w:val="left"/>
            </w:pPr>
            <w:r>
              <w:t xml:space="preserve">0.6% ( 11)</w:t>
            </w:r>
          </w:p>
        </w:tc>
        <w:tc>
          <w:tcPr/>
          <w:p>
            <w:pPr>
              <w:pStyle w:val="Compact"/>
              <w:jc w:val="left"/>
            </w:pPr>
            <w:r>
              <w:t xml:space="preserve">2.6% ( 933)</w:t>
            </w:r>
          </w:p>
        </w:tc>
        <w:tc>
          <w:tcPr/>
          <w:p>
            <w:pPr>
              <w:pStyle w:val="Compact"/>
              <w:jc w:val="left"/>
            </w:pPr>
            <w:r>
              <w:t xml:space="preserve">&lt;0.001</w:t>
            </w:r>
          </w:p>
        </w:tc>
        <w:tc>
          <w:tcPr/>
          <w:p>
            <w:pPr>
              <w:pStyle w:val="Compact"/>
              <w:jc w:val="left"/>
            </w:pPr>
            <w:r>
              <w:t xml:space="preserve">&lt;0.001</w:t>
            </w:r>
          </w:p>
        </w:tc>
      </w:tr>
      <w:tr>
        <w:tc>
          <w:tcPr/>
          <w:p>
            <w:pPr>
              <w:pStyle w:val="Compact"/>
              <w:jc w:val="left"/>
            </w:pPr>
            <w:r>
              <w:t xml:space="preserve">Complication of other surgical or medical care, injury, initial encounter</w:t>
            </w:r>
          </w:p>
        </w:tc>
        <w:tc>
          <w:tcPr/>
          <w:p>
            <w:pPr>
              <w:pStyle w:val="Compact"/>
              <w:jc w:val="left"/>
            </w:pPr>
            <w:r>
              <w:t xml:space="preserve">1.5% ( 2,601)</w:t>
            </w:r>
          </w:p>
        </w:tc>
        <w:tc>
          <w:tcPr/>
          <w:p>
            <w:pPr>
              <w:pStyle w:val="Compact"/>
              <w:jc w:val="left"/>
            </w:pPr>
            <w:r>
              <w:t xml:space="preserve">2.3% ( 1,013)</w:t>
            </w:r>
          </w:p>
        </w:tc>
        <w:tc>
          <w:tcPr/>
          <w:p>
            <w:pPr>
              <w:pStyle w:val="Compact"/>
              <w:jc w:val="left"/>
            </w:pPr>
            <w:r>
              <w:t xml:space="preserve">2.7% ( 422)</w:t>
            </w:r>
          </w:p>
        </w:tc>
        <w:tc>
          <w:tcPr/>
          <w:p>
            <w:pPr>
              <w:pStyle w:val="Compact"/>
              <w:jc w:val="left"/>
            </w:pPr>
            <w:r>
              <w:t xml:space="preserve">1.2% ( 93)</w:t>
            </w:r>
          </w:p>
        </w:tc>
        <w:tc>
          <w:tcPr/>
          <w:p>
            <w:pPr>
              <w:pStyle w:val="Compact"/>
              <w:jc w:val="left"/>
            </w:pPr>
            <w:r>
              <w:t xml:space="preserve">0.9% ( 413)</w:t>
            </w:r>
          </w:p>
        </w:tc>
        <w:tc>
          <w:tcPr/>
          <w:p>
            <w:pPr>
              <w:pStyle w:val="Compact"/>
              <w:jc w:val="left"/>
            </w:pPr>
            <w:r>
              <w:t xml:space="preserve">0.9% ( 137)</w:t>
            </w:r>
          </w:p>
        </w:tc>
        <w:tc>
          <w:tcPr/>
          <w:p>
            <w:pPr>
              <w:pStyle w:val="Compact"/>
              <w:jc w:val="left"/>
            </w:pPr>
            <w:r>
              <w:t xml:space="preserve">1.3% ( 93)</w:t>
            </w:r>
          </w:p>
        </w:tc>
        <w:tc>
          <w:tcPr/>
          <w:p>
            <w:pPr>
              <w:pStyle w:val="Compact"/>
              <w:jc w:val="left"/>
            </w:pPr>
            <w:r>
              <w:t xml:space="preserve">6.8% (145)</w:t>
            </w:r>
          </w:p>
        </w:tc>
        <w:tc>
          <w:tcPr/>
          <w:p>
            <w:pPr>
              <w:pStyle w:val="Compact"/>
              <w:jc w:val="left"/>
            </w:pPr>
            <w:r>
              <w:t xml:space="preserve">0.8% ( 285)</w:t>
            </w:r>
          </w:p>
        </w:tc>
        <w:tc>
          <w:tcPr/>
          <w:p>
            <w:pPr>
              <w:pStyle w:val="Compact"/>
              <w:jc w:val="left"/>
            </w:pPr>
            <w:r>
              <w:t xml:space="preserve">&lt;0.001</w:t>
            </w:r>
          </w:p>
        </w:tc>
        <w:tc>
          <w:tcPr/>
          <w:p>
            <w:pPr>
              <w:pStyle w:val="Compact"/>
              <w:jc w:val="left"/>
            </w:pPr>
            <w:r>
              <w:t xml:space="preserve">&lt;0.001</w:t>
            </w:r>
          </w:p>
        </w:tc>
      </w:tr>
      <w:tr>
        <w:tc>
          <w:tcPr/>
          <w:p>
            <w:pPr>
              <w:pStyle w:val="Compact"/>
              <w:jc w:val="left"/>
            </w:pPr>
            <w:r>
              <w:t xml:space="preserve">Other</w:t>
            </w:r>
          </w:p>
        </w:tc>
        <w:tc>
          <w:tcPr/>
          <w:p>
            <w:pPr>
              <w:pStyle w:val="Compact"/>
              <w:jc w:val="left"/>
            </w:pPr>
            <w:r>
              <w:t xml:space="preserve">37.7% (66,047)</w:t>
            </w:r>
          </w:p>
        </w:tc>
        <w:tc>
          <w:tcPr/>
          <w:p>
            <w:pPr>
              <w:pStyle w:val="Compact"/>
              <w:jc w:val="left"/>
            </w:pPr>
            <w:r>
              <w:t xml:space="preserve">38.5% (16,586)</w:t>
            </w:r>
          </w:p>
        </w:tc>
        <w:tc>
          <w:tcPr/>
          <w:p>
            <w:pPr>
              <w:pStyle w:val="Compact"/>
              <w:jc w:val="left"/>
            </w:pPr>
            <w:r>
              <w:t xml:space="preserve">44.7% (6,923)</w:t>
            </w:r>
          </w:p>
        </w:tc>
        <w:tc>
          <w:tcPr/>
          <w:p>
            <w:pPr>
              <w:pStyle w:val="Compact"/>
              <w:jc w:val="left"/>
            </w:pPr>
            <w:r>
              <w:t xml:space="preserve">40.3% (3,475)</w:t>
            </w:r>
          </w:p>
        </w:tc>
        <w:tc>
          <w:tcPr/>
          <w:p>
            <w:pPr>
              <w:pStyle w:val="Compact"/>
              <w:jc w:val="left"/>
            </w:pPr>
            <w:r>
              <w:t xml:space="preserve">32.8% (15,793)</w:t>
            </w:r>
          </w:p>
        </w:tc>
        <w:tc>
          <w:tcPr/>
          <w:p>
            <w:pPr>
              <w:pStyle w:val="Compact"/>
              <w:jc w:val="left"/>
            </w:pPr>
            <w:r>
              <w:t xml:space="preserve">34.1% (5,003)</w:t>
            </w:r>
          </w:p>
        </w:tc>
        <w:tc>
          <w:tcPr/>
          <w:p>
            <w:pPr>
              <w:pStyle w:val="Compact"/>
              <w:jc w:val="left"/>
            </w:pPr>
            <w:r>
              <w:t xml:space="preserve">46.2% (3,124)</w:t>
            </w:r>
          </w:p>
        </w:tc>
        <w:tc>
          <w:tcPr/>
          <w:p>
            <w:pPr>
              <w:pStyle w:val="Compact"/>
              <w:jc w:val="left"/>
            </w:pPr>
            <w:r>
              <w:t xml:space="preserve">43.3% (939)</w:t>
            </w:r>
          </w:p>
        </w:tc>
        <w:tc>
          <w:tcPr/>
          <w:p>
            <w:pPr>
              <w:pStyle w:val="Compact"/>
              <w:jc w:val="left"/>
            </w:pPr>
            <w:r>
              <w:t xml:space="preserve">39.4% (14,204)</w:t>
            </w:r>
          </w:p>
        </w:tc>
        <w:tc>
          <w:tcPr/>
          <w:p>
            <w:pPr>
              <w:pStyle w:val="Compact"/>
              <w:jc w:val="left"/>
            </w:pPr>
            <w:r>
              <w:t xml:space="preserve">&lt;0.001</w:t>
            </w:r>
          </w:p>
        </w:tc>
        <w:tc>
          <w:tcPr/>
          <w:p>
            <w:pPr>
              <w:pStyle w:val="Compact"/>
              <w:jc w:val="left"/>
            </w:pPr>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Based on 175,312 unweighted 30-day readmissions with a recorded principal diagnosis, mapped to the AHRQ DXCCSR v2025.1 default inpatient category. 123 readmission principal diagnosis code(s) had no default CCSR assignment and are grouped under</w:t>
            </w:r>
            <w:r>
              <w:t xml:space="preserve"> </w:t>
            </w:r>
            <w:r>
              <w:t xml:space="preserve">‘Other’</w:t>
            </w:r>
            <w:r>
              <w:t xml:space="preserve">. The top 15 categories by overall weighted share are reported; all remaining categories are folded into</w:t>
            </w:r>
            <w:r>
              <w:t xml:space="preserve"> </w:t>
            </w:r>
            <w:r>
              <w:t xml:space="preserve">‘Other’</w:t>
            </w:r>
            <w:r>
              <w:t xml:space="preserve">, as are 0 categories that fell below the 11 unweighted discharge threshold in at least one precipitant class. Percentages are within-class shares of all readmissions in that class and therefore sum to 100% down each column. P values are design-based JOINT Wald tests across the whole eight-level precipitant block from survey-weighted logistic regression of the category indicator, not pairwise comparisons; q values are Benjamini-Hochberg adjusted across the reported categories. This table is descriptive; the pre-specified concordance endpoint in Table 5 is the analysis that answers whether patients return with their own precipitant.</w:t>
            </w:r>
          </w:p>
        </w:tc>
      </w:tr>
    </w:tbl>
    <w:p>
      <w:pPr>
        <w:pStyle w:val="CaptionedFigure"/>
      </w:pPr>
      <w:r>
        <w:drawing>
          <wp:inline>
            <wp:extent cx="5334000" cy="4000500"/>
            <wp:effectExtent b="0" l="0" r="0" t="0"/>
            <wp:docPr descr="Figure 7. Cause of readmission by precipitating illness class, with design-based 95% CIs." title="" id="46" name="Picture"/>
            <a:graphic>
              <a:graphicData uri="http://schemas.openxmlformats.org/drawingml/2006/picture">
                <pic:pic>
                  <pic:nvPicPr>
                    <pic:cNvPr descr="C:/Users/saada/Documents/Biostatistics/AliFam-Nerds/RCOP_NRD/NRD_Saad_T2MI_Precip/figures/Figure7_readmission_causes.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Figure 7. Cause of readmission by precipitating illness class, with design-based 95% CIs.</w:t>
      </w:r>
    </w:p>
    <w:p>
      <w:pPr>
        <w:pStyle w:val="CaptionedFigure"/>
      </w:pPr>
      <w:r>
        <w:drawing>
          <wp:inline>
            <wp:extent cx="5334000" cy="3228473"/>
            <wp:effectExtent b="0" l="0" r="0" t="0"/>
            <wp:docPr descr="Figure 6. Cumulative incidence of first readmission among discharge survivors." title="" id="49" name="Picture"/>
            <a:graphic>
              <a:graphicData uri="http://schemas.openxmlformats.org/drawingml/2006/picture">
                <pic:pic>
                  <pic:nvPicPr>
                    <pic:cNvPr descr="C:/Users/saada/Documents/Biostatistics/AliFam-Nerds/RCOP_NRD/NRD_Saad_T2MI_Precip/figures/Figure6_cumulative_incidence.png" id="50" name="Picture"/>
                    <pic:cNvPicPr>
                      <a:picLocks noChangeArrowheads="1" noChangeAspect="1"/>
                    </pic:cNvPicPr>
                  </pic:nvPicPr>
                  <pic:blipFill>
                    <a:blip r:embed="rId48"/>
                    <a:stretch>
                      <a:fillRect/>
                    </a:stretch>
                  </pic:blipFill>
                  <pic:spPr bwMode="auto">
                    <a:xfrm>
                      <a:off x="0" y="0"/>
                      <a:ext cx="5334000" cy="3228473"/>
                    </a:xfrm>
                    <a:prstGeom prst="rect">
                      <a:avLst/>
                    </a:prstGeom>
                    <a:noFill/>
                    <a:ln w="9525">
                      <a:noFill/>
                      <a:headEnd/>
                      <a:tailEnd/>
                    </a:ln>
                  </pic:spPr>
                </pic:pic>
              </a:graphicData>
            </a:graphic>
          </wp:inline>
        </w:drawing>
      </w:r>
    </w:p>
    <w:p>
      <w:pPr>
        <w:pStyle w:val="ImageCaption"/>
      </w:pPr>
      <w:r>
        <w:t xml:space="preserve">Figure 6. Cumulative incidence of first readmission among discharge survivors.</w:t>
      </w:r>
    </w:p>
    <w:p>
      <w:pPr>
        <w:pStyle w:val="TableCaption"/>
      </w:pPr>
      <w:r>
        <w:t xml:space="preserve">Table 6b. Numbers at risk for Figure 6 (unweighted).</w:t>
      </w:r>
    </w:p>
    <w:tbl>
      <w:tblPr>
        <w:tblStyle w:val="Table"/>
        <w:tblW w:type="pct" w:w="5000"/>
        <w:tblLayout w:type="fixed"/>
        <w:tblLook w:firstRow="1" w:lastRow="0" w:firstColumn="0" w:lastColumn="0" w:noHBand="0" w:noVBand="0" w:val="0020"/>
        <w:tblCaption w:val="Table 6b. Numbers at risk for Figure 6 (unweighted)."/>
      </w:tblPr>
      <w:tblGrid>
        <w:gridCol w:w="2979"/>
        <w:gridCol w:w="1176"/>
        <w:gridCol w:w="1254"/>
        <w:gridCol w:w="1254"/>
        <w:gridCol w:w="1254"/>
      </w:tblGrid>
      <w:tr>
        <w:trPr>
          <w:tblHeader w:val="on"/>
        </w:trPr>
        <w:tc>
          <w:tcPr/>
          <w:p>
            <w:pPr>
              <w:pStyle w:val="Compact"/>
              <w:jc w:val="left"/>
            </w:pPr>
            <w:r>
              <w:t xml:space="preserve">Precipitant class</w:t>
            </w:r>
          </w:p>
        </w:tc>
        <w:tc>
          <w:tcPr/>
          <w:p>
            <w:pPr>
              <w:pStyle w:val="Compact"/>
              <w:jc w:val="left"/>
            </w:pPr>
            <w:r>
              <w:t xml:space="preserve">At risk, day 0</w:t>
            </w:r>
          </w:p>
        </w:tc>
        <w:tc>
          <w:tcPr/>
          <w:p>
            <w:pPr>
              <w:pStyle w:val="Compact"/>
              <w:jc w:val="left"/>
            </w:pPr>
            <w:r>
              <w:t xml:space="preserve">At risk, day 10</w:t>
            </w:r>
          </w:p>
        </w:tc>
        <w:tc>
          <w:tcPr/>
          <w:p>
            <w:pPr>
              <w:pStyle w:val="Compact"/>
              <w:jc w:val="left"/>
            </w:pPr>
            <w:r>
              <w:t xml:space="preserve">At risk, day 20</w:t>
            </w:r>
          </w:p>
        </w:tc>
        <w:tc>
          <w:tcPr/>
          <w:p>
            <w:pPr>
              <w:pStyle w:val="Compact"/>
              <w:jc w:val="left"/>
            </w:pPr>
            <w:r>
              <w:t xml:space="preserve">At risk, day 30</w:t>
            </w:r>
          </w:p>
        </w:tc>
      </w:tr>
      <w:tr>
        <w:tc>
          <w:tcPr/>
          <w:p>
            <w:pPr>
              <w:pStyle w:val="Compact"/>
              <w:jc w:val="left"/>
            </w:pPr>
            <w:r>
              <w:t xml:space="preserve">Sepsis or severe infection</w:t>
            </w:r>
          </w:p>
        </w:tc>
        <w:tc>
          <w:tcPr/>
          <w:p>
            <w:pPr>
              <w:pStyle w:val="Compact"/>
              <w:jc w:val="left"/>
            </w:pPr>
            <w:r>
              <w:t xml:space="preserve">212,755</w:t>
            </w:r>
          </w:p>
        </w:tc>
        <w:tc>
          <w:tcPr/>
          <w:p>
            <w:pPr>
              <w:pStyle w:val="Compact"/>
              <w:jc w:val="left"/>
            </w:pPr>
            <w:r>
              <w:t xml:space="preserve">192,811</w:t>
            </w:r>
          </w:p>
        </w:tc>
        <w:tc>
          <w:tcPr/>
          <w:p>
            <w:pPr>
              <w:pStyle w:val="Compact"/>
              <w:jc w:val="left"/>
            </w:pPr>
            <w:r>
              <w:t xml:space="preserve">179,257</w:t>
            </w:r>
          </w:p>
        </w:tc>
        <w:tc>
          <w:tcPr/>
          <w:p>
            <w:pPr>
              <w:pStyle w:val="Compact"/>
              <w:jc w:val="left"/>
            </w:pPr>
            <w:r>
              <w:t xml:space="preserve">169,961</w:t>
            </w:r>
          </w:p>
        </w:tc>
      </w:tr>
      <w:tr>
        <w:tc>
          <w:tcPr/>
          <w:p>
            <w:pPr>
              <w:pStyle w:val="Compact"/>
              <w:jc w:val="left"/>
            </w:pPr>
            <w:r>
              <w:t xml:space="preserve">Acute GI bleed or blood-loss anaemia</w:t>
            </w:r>
          </w:p>
        </w:tc>
        <w:tc>
          <w:tcPr/>
          <w:p>
            <w:pPr>
              <w:pStyle w:val="Compact"/>
              <w:jc w:val="left"/>
            </w:pPr>
            <w:r>
              <w:t xml:space="preserve">67,482</w:t>
            </w:r>
          </w:p>
        </w:tc>
        <w:tc>
          <w:tcPr/>
          <w:p>
            <w:pPr>
              <w:pStyle w:val="Compact"/>
              <w:jc w:val="left"/>
            </w:pPr>
            <w:r>
              <w:t xml:space="preserve">60,412</w:t>
            </w:r>
          </w:p>
        </w:tc>
        <w:tc>
          <w:tcPr/>
          <w:p>
            <w:pPr>
              <w:pStyle w:val="Compact"/>
              <w:jc w:val="left"/>
            </w:pPr>
            <w:r>
              <w:t xml:space="preserve">55,552</w:t>
            </w:r>
          </w:p>
        </w:tc>
        <w:tc>
          <w:tcPr/>
          <w:p>
            <w:pPr>
              <w:pStyle w:val="Compact"/>
              <w:jc w:val="left"/>
            </w:pPr>
            <w:r>
              <w:t xml:space="preserve">52,259</w:t>
            </w:r>
          </w:p>
        </w:tc>
      </w:tr>
      <w:tr>
        <w:tc>
          <w:tcPr/>
          <w:p>
            <w:pPr>
              <w:pStyle w:val="Compact"/>
              <w:jc w:val="left"/>
            </w:pPr>
            <w:r>
              <w:t xml:space="preserve">Hypertensive emergency</w:t>
            </w:r>
          </w:p>
        </w:tc>
        <w:tc>
          <w:tcPr/>
          <w:p>
            <w:pPr>
              <w:pStyle w:val="Compact"/>
              <w:jc w:val="left"/>
            </w:pPr>
            <w:r>
              <w:t xml:space="preserve">47,196</w:t>
            </w:r>
          </w:p>
        </w:tc>
        <w:tc>
          <w:tcPr/>
          <w:p>
            <w:pPr>
              <w:pStyle w:val="Compact"/>
              <w:jc w:val="left"/>
            </w:pPr>
            <w:r>
              <w:t xml:space="preserve">43,537</w:t>
            </w:r>
          </w:p>
        </w:tc>
        <w:tc>
          <w:tcPr/>
          <w:p>
            <w:pPr>
              <w:pStyle w:val="Compact"/>
              <w:jc w:val="left"/>
            </w:pPr>
            <w:r>
              <w:t xml:space="preserve">40,750</w:t>
            </w:r>
          </w:p>
        </w:tc>
        <w:tc>
          <w:tcPr/>
          <w:p>
            <w:pPr>
              <w:pStyle w:val="Compact"/>
              <w:jc w:val="left"/>
            </w:pPr>
            <w:r>
              <w:t xml:space="preserve">38,738</w:t>
            </w:r>
          </w:p>
        </w:tc>
      </w:tr>
      <w:tr>
        <w:tc>
          <w:tcPr/>
          <w:p>
            <w:pPr>
              <w:pStyle w:val="Compact"/>
              <w:jc w:val="left"/>
            </w:pPr>
            <w:r>
              <w:t xml:space="preserve">Tachyarrhythmia</w:t>
            </w:r>
          </w:p>
        </w:tc>
        <w:tc>
          <w:tcPr/>
          <w:p>
            <w:pPr>
              <w:pStyle w:val="Compact"/>
              <w:jc w:val="left"/>
            </w:pPr>
            <w:r>
              <w:t xml:space="preserve">228,176</w:t>
            </w:r>
          </w:p>
        </w:tc>
        <w:tc>
          <w:tcPr/>
          <w:p>
            <w:pPr>
              <w:pStyle w:val="Compact"/>
              <w:jc w:val="left"/>
            </w:pPr>
            <w:r>
              <w:t xml:space="preserve">207,252</w:t>
            </w:r>
          </w:p>
        </w:tc>
        <w:tc>
          <w:tcPr/>
          <w:p>
            <w:pPr>
              <w:pStyle w:val="Compact"/>
              <w:jc w:val="left"/>
            </w:pPr>
            <w:r>
              <w:t xml:space="preserve">191,728</w:t>
            </w:r>
          </w:p>
        </w:tc>
        <w:tc>
          <w:tcPr/>
          <w:p>
            <w:pPr>
              <w:pStyle w:val="Compact"/>
              <w:jc w:val="left"/>
            </w:pPr>
            <w:r>
              <w:t xml:space="preserve">180,950</w:t>
            </w:r>
          </w:p>
        </w:tc>
      </w:tr>
      <w:tr>
        <w:tc>
          <w:tcPr/>
          <w:p>
            <w:pPr>
              <w:pStyle w:val="Compact"/>
              <w:jc w:val="left"/>
            </w:pPr>
            <w:r>
              <w:t xml:space="preserve">Acute respiratory failure</w:t>
            </w:r>
          </w:p>
        </w:tc>
        <w:tc>
          <w:tcPr/>
          <w:p>
            <w:pPr>
              <w:pStyle w:val="Compact"/>
              <w:jc w:val="left"/>
            </w:pPr>
            <w:r>
              <w:t xml:space="preserve">77,718</w:t>
            </w:r>
          </w:p>
        </w:tc>
        <w:tc>
          <w:tcPr/>
          <w:p>
            <w:pPr>
              <w:pStyle w:val="Compact"/>
              <w:jc w:val="left"/>
            </w:pPr>
            <w:r>
              <w:t xml:space="preserve">71,217</w:t>
            </w:r>
          </w:p>
        </w:tc>
        <w:tc>
          <w:tcPr/>
          <w:p>
            <w:pPr>
              <w:pStyle w:val="Compact"/>
              <w:jc w:val="left"/>
            </w:pPr>
            <w:r>
              <w:t xml:space="preserve">66,529</w:t>
            </w:r>
          </w:p>
        </w:tc>
        <w:tc>
          <w:tcPr/>
          <w:p>
            <w:pPr>
              <w:pStyle w:val="Compact"/>
              <w:jc w:val="left"/>
            </w:pPr>
            <w:r>
              <w:t xml:space="preserve">63,290</w:t>
            </w:r>
          </w:p>
        </w:tc>
      </w:tr>
      <w:tr>
        <w:tc>
          <w:tcPr/>
          <w:p>
            <w:pPr>
              <w:pStyle w:val="Compact"/>
              <w:jc w:val="left"/>
            </w:pPr>
            <w:r>
              <w:t xml:space="preserve">Hypovolaemia or non-cardiogenic shock</w:t>
            </w:r>
          </w:p>
        </w:tc>
        <w:tc>
          <w:tcPr/>
          <w:p>
            <w:pPr>
              <w:pStyle w:val="Compact"/>
              <w:jc w:val="left"/>
            </w:pPr>
            <w:r>
              <w:t xml:space="preserve">37,854</w:t>
            </w:r>
          </w:p>
        </w:tc>
        <w:tc>
          <w:tcPr/>
          <w:p>
            <w:pPr>
              <w:pStyle w:val="Compact"/>
              <w:jc w:val="left"/>
            </w:pPr>
            <w:r>
              <w:t xml:space="preserve">34,852</w:t>
            </w:r>
          </w:p>
        </w:tc>
        <w:tc>
          <w:tcPr/>
          <w:p>
            <w:pPr>
              <w:pStyle w:val="Compact"/>
              <w:jc w:val="left"/>
            </w:pPr>
            <w:r>
              <w:t xml:space="preserve">32,792</w:t>
            </w:r>
          </w:p>
        </w:tc>
        <w:tc>
          <w:tcPr/>
          <w:p>
            <w:pPr>
              <w:pStyle w:val="Compact"/>
              <w:jc w:val="left"/>
            </w:pPr>
            <w:r>
              <w:t xml:space="preserve">31,228</w:t>
            </w:r>
          </w:p>
        </w:tc>
      </w:tr>
      <w:tr>
        <w:tc>
          <w:tcPr/>
          <w:p>
            <w:pPr>
              <w:pStyle w:val="Compact"/>
              <w:jc w:val="left"/>
            </w:pPr>
            <w:r>
              <w:t xml:space="preserve">Perioperative</w:t>
            </w:r>
          </w:p>
        </w:tc>
        <w:tc>
          <w:tcPr/>
          <w:p>
            <w:pPr>
              <w:pStyle w:val="Compact"/>
              <w:jc w:val="left"/>
            </w:pPr>
            <w:r>
              <w:t xml:space="preserve">11,520</w:t>
            </w:r>
          </w:p>
        </w:tc>
        <w:tc>
          <w:tcPr/>
          <w:p>
            <w:pPr>
              <w:pStyle w:val="Compact"/>
              <w:jc w:val="left"/>
            </w:pPr>
            <w:r>
              <w:t xml:space="preserve">10,530</w:t>
            </w:r>
          </w:p>
        </w:tc>
        <w:tc>
          <w:tcPr/>
          <w:p>
            <w:pPr>
              <w:pStyle w:val="Compact"/>
              <w:jc w:val="left"/>
            </w:pPr>
            <w:r>
              <w:t xml:space="preserve">9,845</w:t>
            </w:r>
          </w:p>
        </w:tc>
        <w:tc>
          <w:tcPr/>
          <w:p>
            <w:pPr>
              <w:pStyle w:val="Compact"/>
              <w:jc w:val="left"/>
            </w:pPr>
            <w:r>
              <w:t xml:space="preserve">9,389</w:t>
            </w:r>
          </w:p>
        </w:tc>
      </w:tr>
      <w:tr>
        <w:tc>
          <w:tcPr/>
          <w:p>
            <w:pPr>
              <w:pStyle w:val="Compact"/>
              <w:jc w:val="left"/>
            </w:pPr>
            <w:r>
              <w:t xml:space="preserve">None of the above</w:t>
            </w:r>
          </w:p>
        </w:tc>
        <w:tc>
          <w:tcPr/>
          <w:p>
            <w:pPr>
              <w:pStyle w:val="Compact"/>
              <w:jc w:val="left"/>
            </w:pPr>
            <w:r>
              <w:t xml:space="preserve">187,785</w:t>
            </w:r>
          </w:p>
        </w:tc>
        <w:tc>
          <w:tcPr/>
          <w:p>
            <w:pPr>
              <w:pStyle w:val="Compact"/>
              <w:jc w:val="left"/>
            </w:pPr>
            <w:r>
              <w:t xml:space="preserve">172,291</w:t>
            </w:r>
          </w:p>
        </w:tc>
        <w:tc>
          <w:tcPr/>
          <w:p>
            <w:pPr>
              <w:pStyle w:val="Compact"/>
              <w:jc w:val="left"/>
            </w:pPr>
            <w:r>
              <w:t xml:space="preserve">160,834</w:t>
            </w:r>
          </w:p>
        </w:tc>
        <w:tc>
          <w:tcPr/>
          <w:p>
            <w:pPr>
              <w:pStyle w:val="Compact"/>
              <w:jc w:val="left"/>
            </w:pPr>
            <w:r>
              <w:t xml:space="preserve">152,475</w:t>
            </w:r>
          </w:p>
        </w:tc>
      </w:tr>
    </w:tbl>
    <w:bookmarkEnd w:id="51"/>
    <w:bookmarkStart w:id="54" w:name="Xc9952e7b14b2c7f4f831fd8327378293df1323d"/>
    <w:p>
      <w:pPr>
        <w:pStyle w:val="Heading1"/>
      </w:pPr>
      <w:r>
        <w:t xml:space="preserve">9. Table 7. Type 2 versus type 1 myocardial infarction (descriptive, non-causal)</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C:\Users\saada\AppData\Local\Programs\Positron\resources\app\quarto\share\formats\docx\warning.png" id="53"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Descriptive and explicitly NON-CAUSAL</w:t>
            </w:r>
          </w:p>
        </w:tc>
      </w:tr>
      <w:tr>
        <w:trPr>
          <w:cantSplit/>
        </w:trPr>
        <w:tc>
          <w:tcPr>
            <w:tcMar>
              <w:top w:w="108" w:type="dxa"/>
              <w:bottom w:w="108" w:type="dxa"/>
            </w:tcMar>
          </w:tcPr>
          <w:p>
            <w:pPr>
              <w:pStyle w:val="BodyText"/>
            </w:pPr>
            <w:pPr>
              <w:spacing w:before="16" w:after="16"/>
            </w:pPr>
            <w:r>
              <w:t xml:space="preserve">Type 1 and type 2 myocardial infarction are not competing treatments. No patient could have been assigned to one rather than the other, and the</w:t>
            </w:r>
            <w:r>
              <w:t xml:space="preserve"> </w:t>
            </w:r>
            <w:r>
              <w:t xml:space="preserve">‘effect’</w:t>
            </w:r>
            <w:r>
              <w:t xml:space="preserve"> </w:t>
            </w:r>
            <w:r>
              <w:t xml:space="preserve">of being coded type 2 is not a quantity that exists. What follows is a case-mix-standardized</w:t>
            </w:r>
            <w:r>
              <w:t xml:space="preserve"> </w:t>
            </w:r>
            <w:r>
              <w:rPr>
                <w:b/>
                <w:bCs/>
              </w:rPr>
              <w:t xml:space="preserve">description</w:t>
            </w:r>
            <w:r>
              <w:t xml:space="preserve"> </w:t>
            </w:r>
            <w:r>
              <w:t xml:space="preserve">of how the two coded populations differ, and it must be described that way in the manuscript.</w:t>
            </w:r>
          </w:p>
          <w:p/>
        </w:tc>
      </w:tr>
    </w:tbl>
    <w:p>
      <w:pPr>
        <w:pStyle w:val="TableCaption"/>
      </w:pPr>
      <w:r>
        <w:t xml:space="preserve">Table 7. Type 2 versus type 1 myocardial infarction: cohort characteristics and crude 30-day readmission. DESCRIPTIVE AND NON-CAUSAL.</w:t>
      </w:r>
    </w:p>
    <w:tbl>
      <w:tblPr>
        <w:tblStyle w:val="Table"/>
        <w:tblW w:type="pct" w:w="5000"/>
        <w:tblLayout w:type="fixed"/>
        <w:tblLook w:firstRow="1" w:lastRow="0" w:firstColumn="0" w:lastColumn="0" w:noHBand="0" w:noVBand="0" w:val="0020"/>
        <w:tblCaption w:val="Table 7. Type 2 versus type 1 myocardial infarction: cohort characteristics and crude 30-day readmission. DESCRIPTIVE AND NON-CAUSAL."/>
      </w:tblPr>
      <w:tblGrid>
        <w:gridCol w:w="1516"/>
        <w:gridCol w:w="730"/>
        <w:gridCol w:w="617"/>
        <w:gridCol w:w="842"/>
        <w:gridCol w:w="1291"/>
        <w:gridCol w:w="2920"/>
      </w:tblGrid>
      <w:tr>
        <w:trPr>
          <w:tblHeader w:val="on"/>
        </w:trPr>
        <w:tc>
          <w:tcPr/>
          <w:p>
            <w:pPr>
              <w:pStyle w:val="Compact"/>
              <w:jc w:val="left"/>
            </w:pPr>
            <w:r>
              <w:t xml:space="preserve">Myocardial infarction type</w:t>
            </w:r>
          </w:p>
        </w:tc>
        <w:tc>
          <w:tcPr/>
          <w:p>
            <w:pPr>
              <w:pStyle w:val="Compact"/>
              <w:jc w:val="left"/>
            </w:pPr>
            <w:r>
              <w:t xml:space="preserve">Unweighted n</w:t>
            </w:r>
          </w:p>
        </w:tc>
        <w:tc>
          <w:tcPr/>
          <w:p>
            <w:pPr>
              <w:pStyle w:val="Compact"/>
              <w:jc w:val="left"/>
            </w:pPr>
            <w:r>
              <w:t xml:space="preserve">Weighted N</w:t>
            </w:r>
          </w:p>
        </w:tc>
        <w:tc>
          <w:tcPr/>
          <w:p>
            <w:pPr>
              <w:pStyle w:val="Compact"/>
              <w:jc w:val="left"/>
            </w:pPr>
            <w:r>
              <w:t xml:space="preserve">Age, mean (SD)</w:t>
            </w:r>
          </w:p>
        </w:tc>
        <w:tc>
          <w:tcPr/>
          <w:p>
            <w:pPr>
              <w:pStyle w:val="Compact"/>
              <w:jc w:val="left"/>
            </w:pPr>
            <w:r>
              <w:t xml:space="preserve">Elixhauser count, mean</w:t>
            </w:r>
          </w:p>
        </w:tc>
        <w:tc>
          <w:tcPr/>
          <w:p>
            <w:pPr>
              <w:pStyle w:val="Compact"/>
              <w:jc w:val="left"/>
            </w:pPr>
            <w:r>
              <w:t xml:space="preserve">Crude 30-day readmission, % (95% CI) [readmissions]</w:t>
            </w:r>
          </w:p>
        </w:tc>
      </w:tr>
      <w:tr>
        <w:tc>
          <w:tcPr/>
          <w:p>
            <w:pPr>
              <w:pStyle w:val="Compact"/>
              <w:jc w:val="left"/>
            </w:pPr>
            <w:r>
              <w:t xml:space="preserve">Type 1 MI</w:t>
            </w:r>
          </w:p>
        </w:tc>
        <w:tc>
          <w:tcPr/>
          <w:p>
            <w:pPr>
              <w:pStyle w:val="Compact"/>
              <w:jc w:val="left"/>
            </w:pPr>
            <w:r>
              <w:t xml:space="preserve">1,837,814</w:t>
            </w:r>
          </w:p>
        </w:tc>
        <w:tc>
          <w:tcPr/>
          <w:p>
            <w:pPr>
              <w:pStyle w:val="Compact"/>
              <w:jc w:val="left"/>
            </w:pPr>
            <w:r>
              <w:t xml:space="preserve">3,328,607</w:t>
            </w:r>
          </w:p>
        </w:tc>
        <w:tc>
          <w:tcPr/>
          <w:p>
            <w:pPr>
              <w:pStyle w:val="Compact"/>
              <w:jc w:val="left"/>
            </w:pPr>
            <w:r>
              <w:t xml:space="preserve">67.4 (13.5)</w:t>
            </w:r>
          </w:p>
        </w:tc>
        <w:tc>
          <w:tcPr/>
          <w:p>
            <w:pPr>
              <w:pStyle w:val="Compact"/>
              <w:jc w:val="left"/>
            </w:pPr>
            <w:r>
              <w:t xml:space="preserve">4.4</w:t>
            </w:r>
          </w:p>
        </w:tc>
        <w:tc>
          <w:tcPr/>
          <w:p>
            <w:pPr>
              <w:pStyle w:val="Compact"/>
              <w:jc w:val="left"/>
            </w:pPr>
            <w:r>
              <w:t xml:space="preserve">14.8% (14.7–14.9) [273,682]</w:t>
            </w:r>
          </w:p>
        </w:tc>
      </w:tr>
      <w:tr>
        <w:tc>
          <w:tcPr/>
          <w:p>
            <w:pPr>
              <w:pStyle w:val="Compact"/>
              <w:jc w:val="left"/>
            </w:pPr>
            <w:r>
              <w:t xml:space="preserve">Type 2 MI</w:t>
            </w:r>
          </w:p>
        </w:tc>
        <w:tc>
          <w:tcPr/>
          <w:p>
            <w:pPr>
              <w:pStyle w:val="Compact"/>
              <w:jc w:val="left"/>
            </w:pPr>
            <w:r>
              <w:t xml:space="preserve">871,136</w:t>
            </w:r>
          </w:p>
        </w:tc>
        <w:tc>
          <w:tcPr/>
          <w:p>
            <w:pPr>
              <w:pStyle w:val="Compact"/>
              <w:jc w:val="left"/>
            </w:pPr>
            <w:r>
              <w:t xml:space="preserve">1,528,841</w:t>
            </w:r>
          </w:p>
        </w:tc>
        <w:tc>
          <w:tcPr/>
          <w:p>
            <w:pPr>
              <w:pStyle w:val="Compact"/>
              <w:jc w:val="left"/>
            </w:pPr>
            <w:r>
              <w:t xml:space="preserve">70.4 (14.6)</w:t>
            </w:r>
          </w:p>
        </w:tc>
        <w:tc>
          <w:tcPr/>
          <w:p>
            <w:pPr>
              <w:pStyle w:val="Compact"/>
              <w:jc w:val="left"/>
            </w:pPr>
            <w:r>
              <w:t xml:space="preserve">5.6</w:t>
            </w:r>
          </w:p>
        </w:tc>
        <w:tc>
          <w:tcPr/>
          <w:p>
            <w:pPr>
              <w:pStyle w:val="Compact"/>
              <w:jc w:val="left"/>
            </w:pPr>
            <w:r>
              <w:t xml:space="preserve">20.0% (19.9–20.2) [175,411]</w:t>
            </w:r>
          </w:p>
        </w:tc>
      </w:tr>
    </w:tbl>
    <w:p>
      <w:pPr>
        <w:pStyle w:val="BodyText"/>
      </w:pPr>
      <w:r>
        <w:t xml:space="preserve"> </w:t>
      </w:r>
    </w:p>
    <w:p>
      <w:pPr>
        <w:pStyle w:val="TableCaption"/>
      </w:pPr>
      <w:r>
        <w:t xml:space="preserve">Table 7b. Case-mix-standardized description of type 2 versus type 1 MI. NON-CAUSAL: not an effect estimate.</w:t>
      </w:r>
    </w:p>
    <w:tbl>
      <w:tblPr>
        <w:tblStyle w:val="Table"/>
        <w:tblW w:type="pct" w:w="5000"/>
        <w:tblLayout w:type="fixed"/>
        <w:tblLook w:firstRow="1" w:lastRow="0" w:firstColumn="0" w:lastColumn="0" w:noHBand="0" w:noVBand="0" w:val="0020"/>
        <w:tblCaption w:val="Table 7b. Case-mix-standardized description of type 2 versus type 1 MI. NON-CAUSAL: not an effect estimate."/>
      </w:tblPr>
      <w:tblGrid>
        <w:gridCol w:w="6749"/>
        <w:gridCol w:w="1170"/>
      </w:tblGrid>
      <w:tr>
        <w:trPr>
          <w:tblHeader w:val="on"/>
        </w:trPr>
        <w:tc>
          <w:tcPr/>
          <w:p>
            <w:pPr>
              <w:pStyle w:val="Compact"/>
              <w:jc w:val="left"/>
            </w:pPr>
            <w:r>
              <w:t xml:space="preserve">Quantity</w:t>
            </w:r>
          </w:p>
        </w:tc>
        <w:tc>
          <w:tcPr/>
          <w:p>
            <w:pPr>
              <w:pStyle w:val="Compact"/>
              <w:jc w:val="left"/>
            </w:pPr>
            <w:r>
              <w:t xml:space="preserve">Estimate</w:t>
            </w:r>
          </w:p>
        </w:tc>
      </w:tr>
      <w:tr>
        <w:tc>
          <w:tcPr/>
          <w:p>
            <w:pPr>
              <w:pStyle w:val="Compact"/>
              <w:jc w:val="left"/>
            </w:pPr>
            <w:r>
              <w:t xml:space="preserve">Case-mix-standardized DESCRIPTION (non-causal): type 2 vs type 1, odds ratio (95% CI)</w:t>
            </w:r>
          </w:p>
        </w:tc>
        <w:tc>
          <w:tcPr/>
          <w:p>
            <w:pPr>
              <w:pStyle w:val="Compact"/>
              <w:jc w:val="left"/>
            </w:pPr>
            <w:r>
              <w:t xml:space="preserve">1.04 (1.03–1.05)</w:t>
            </w:r>
          </w:p>
        </w:tc>
      </w:tr>
      <w:tr>
        <w:tc>
          <w:tcPr/>
          <w:p>
            <w:pPr>
              <w:pStyle w:val="Compact"/>
              <w:jc w:val="left"/>
            </w:pPr>
            <w:r>
              <w:t xml:space="preserve">Case-mix-standardized DESCRIPTION (non-causal): type 2 minus type 1, risk difference, pp (95% CI)</w:t>
            </w:r>
          </w:p>
        </w:tc>
        <w:tc>
          <w:tcPr/>
          <w:p>
            <w:pPr>
              <w:pStyle w:val="Compact"/>
              <w:jc w:val="left"/>
            </w:pPr>
            <w:r>
              <w:t xml:space="preserve">0.46 (0.33–0.59)</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THIS COMPARISON IS DESCRIPTIVE AND IS NOT CAUSAL. Type 1 and type 2 myocardial infarction are not competing treatments; no patient could have been assigned to one rather than the other, and the</w:t>
            </w:r>
            <w:r>
              <w:t xml:space="preserve"> </w:t>
            </w:r>
            <w:r>
              <w:t xml:space="preserve">‘effect’</w:t>
            </w:r>
            <w:r>
              <w:t xml:space="preserve"> </w:t>
            </w:r>
            <w:r>
              <w:t xml:space="preserve">of being coded type 2 rather than type 1 is not a quantity that exists. The adjusted figure below is a case-mix-standardized DESCRIPTION of how the two coded populations differ, reported only because an unadjusted comparison between populations this dissimilar in age and comorbidity would be uninterpretable even descriptively. Standardized to the measured case mix of the combined cohort: adjusted OR 1.04 (1.03–1.05), adjusted risk difference 0.46 (0.33–0.59) percentage points. The precipitant class is deliberately absent from that model because it is undefined for the type 1 arm. Type 1 myocardial infarction was defined as any-listed I21.0-I21.4, I21.9 or I22.x WITHOUT I21.A1; 28,316 records carrying both a type 1 and a type 2 code were excluded from both arms, because such a record is uninterpretable as to which event drove the admission. A further 15,154 records coded I21.A9 (other myocardial infarction type) were excluded rather than pooled. The size of the type 1 / type 2 overlap is a finding in its own right and is worth a sentence in the Results.</w:t>
            </w:r>
          </w:p>
        </w:tc>
      </w:tr>
    </w:tbl>
    <w:bookmarkEnd w:id="54"/>
    <w:bookmarkStart w:id="58" w:name="table-8.-exploratory-subgroups"/>
    <w:p>
      <w:pPr>
        <w:pStyle w:val="Heading1"/>
      </w:pPr>
      <w:r>
        <w:t xml:space="preserve">10. Table 8. Exploratory subgroups</w:t>
      </w:r>
    </w:p>
    <w:p>
      <w:pPr>
        <w:pStyle w:val="TableCaption"/>
      </w:pPr>
      <w:r>
        <w:t xml:space="preserve">Table 8. Pre-specified subgroup analyses (EXPLORATORY; interaction tested on the whole block).</w:t>
      </w:r>
    </w:p>
    <w:tbl>
      <w:tblPr>
        <w:tblStyle w:val="Table"/>
        <w:tblW w:type="pct" w:w="5000"/>
        <w:tblLayout w:type="fixed"/>
        <w:tblLook w:firstRow="1" w:lastRow="0" w:firstColumn="0" w:lastColumn="0" w:noHBand="0" w:noVBand="0" w:val="0020"/>
        <w:tblCaption w:val="Table 8. Pre-specified subgroup analyses (EXPLORATORY; interaction tested on the whole block)."/>
      </w:tblPr>
      <w:tblGrid>
        <w:gridCol w:w="1702"/>
        <w:gridCol w:w="868"/>
        <w:gridCol w:w="451"/>
        <w:gridCol w:w="903"/>
        <w:gridCol w:w="1146"/>
        <w:gridCol w:w="2362"/>
        <w:gridCol w:w="486"/>
      </w:tblGrid>
      <w:tr>
        <w:trPr>
          <w:tblHeader w:val="on"/>
        </w:trPr>
        <w:tc>
          <w:tcPr/>
          <w:p>
            <w:pPr>
              <w:pStyle w:val="Compact"/>
              <w:jc w:val="left"/>
            </w:pPr>
            <w:r>
              <w:t xml:space="preserve">Subgroup</w:t>
            </w:r>
          </w:p>
        </w:tc>
        <w:tc>
          <w:tcPr/>
          <w:p>
            <w:pPr>
              <w:pStyle w:val="Compact"/>
              <w:jc w:val="left"/>
            </w:pPr>
            <w:r>
              <w:t xml:space="preserve">Level</w:t>
            </w:r>
          </w:p>
        </w:tc>
        <w:tc>
          <w:tcPr/>
          <w:p>
            <w:pPr>
              <w:pStyle w:val="Compact"/>
              <w:jc w:val="left"/>
            </w:pPr>
            <w:r>
              <w:t xml:space="preserve">Unweighted n</w:t>
            </w:r>
          </w:p>
        </w:tc>
        <w:tc>
          <w:tcPr/>
          <w:p>
            <w:pPr>
              <w:pStyle w:val="Compact"/>
              <w:jc w:val="left"/>
            </w:pPr>
            <w:r>
              <w:t xml:space="preserve">Readmissions (unweighted)</w:t>
            </w:r>
          </w:p>
        </w:tc>
        <w:tc>
          <w:tcPr/>
          <w:p>
            <w:pPr>
              <w:pStyle w:val="Compact"/>
              <w:jc w:val="left"/>
            </w:pPr>
            <w:r>
              <w:t xml:space="preserve">Joint Wald p (precipitant block)</w:t>
            </w:r>
          </w:p>
        </w:tc>
        <w:tc>
          <w:tcPr/>
          <w:p>
            <w:pPr>
              <w:pStyle w:val="Compact"/>
              <w:jc w:val="left"/>
            </w:pPr>
            <w:r>
              <w:t xml:space="preserve">Adjusted OR, Tachyarrhythmia vs Sepsis or severe infection (95% CI)</w:t>
            </w:r>
          </w:p>
        </w:tc>
        <w:tc>
          <w:tcPr/>
          <w:p>
            <w:pPr>
              <w:pStyle w:val="Compact"/>
              <w:jc w:val="left"/>
            </w:pPr>
            <w:r>
              <w:t xml:space="preserve">Interaction p</w:t>
            </w:r>
          </w:p>
        </w:tc>
      </w:tr>
      <w:tr>
        <w:tc>
          <w:tcPr/>
          <w:p>
            <w:pPr>
              <w:pStyle w:val="Compact"/>
              <w:jc w:val="left"/>
            </w:pPr>
            <w:r>
              <w:t xml:space="preserve">Overall (primary model)</w:t>
            </w:r>
          </w:p>
        </w:tc>
        <w:tc>
          <w:tcPr/>
          <w:p>
            <w:pPr>
              <w:pStyle w:val="Compact"/>
            </w:pPr>
          </w:p>
        </w:tc>
        <w:tc>
          <w:tcPr/>
          <w:p>
            <w:pPr>
              <w:pStyle w:val="Compact"/>
              <w:jc w:val="left"/>
            </w:pPr>
            <w:r>
              <w:t xml:space="preserve">870,486</w:t>
            </w:r>
          </w:p>
        </w:tc>
        <w:tc>
          <w:tcPr/>
          <w:p>
            <w:pPr>
              <w:pStyle w:val="Compact"/>
              <w:jc w:val="left"/>
            </w:pPr>
            <w:r>
              <w:t xml:space="preserve">175,312</w:t>
            </w:r>
          </w:p>
        </w:tc>
        <w:tc>
          <w:tcPr/>
          <w:p>
            <w:pPr>
              <w:pStyle w:val="Compact"/>
              <w:jc w:val="left"/>
            </w:pPr>
            <w:r>
              <w:t xml:space="preserve">&lt;0.001</w:t>
            </w:r>
          </w:p>
        </w:tc>
        <w:tc>
          <w:tcPr/>
          <w:p>
            <w:pPr>
              <w:pStyle w:val="Compact"/>
              <w:jc w:val="left"/>
            </w:pPr>
            <w:r>
              <w:t xml:space="preserve">1.03 (1.02–1.05)</w:t>
            </w:r>
          </w:p>
        </w:tc>
        <w:tc>
          <w:tcPr/>
          <w:p>
            <w:pPr>
              <w:pStyle w:val="Compact"/>
            </w:pPr>
          </w:p>
        </w:tc>
      </w:tr>
      <w:tr>
        <w:tc>
          <w:tcPr/>
          <w:p>
            <w:pPr>
              <w:pStyle w:val="Compact"/>
              <w:jc w:val="left"/>
            </w:pPr>
            <w:r>
              <w:t xml:space="preserve">Age &lt;65 vs ≥65 years</w:t>
            </w:r>
          </w:p>
        </w:tc>
        <w:tc>
          <w:tcPr/>
          <w:p>
            <w:pPr>
              <w:pStyle w:val="Compact"/>
              <w:jc w:val="left"/>
            </w:pPr>
            <w:r>
              <w:t xml:space="preserve">≥65 years</w:t>
            </w:r>
          </w:p>
        </w:tc>
        <w:tc>
          <w:tcPr/>
          <w:p>
            <w:pPr>
              <w:pStyle w:val="Compact"/>
              <w:jc w:val="left"/>
            </w:pPr>
            <w:r>
              <w:t xml:space="preserve">604,348</w:t>
            </w:r>
          </w:p>
        </w:tc>
        <w:tc>
          <w:tcPr/>
          <w:p>
            <w:pPr>
              <w:pStyle w:val="Compact"/>
              <w:jc w:val="left"/>
            </w:pPr>
            <w:r>
              <w:t xml:space="preserve">120,605</w:t>
            </w:r>
          </w:p>
        </w:tc>
        <w:tc>
          <w:tcPr/>
          <w:p>
            <w:pPr>
              <w:pStyle w:val="Compact"/>
              <w:jc w:val="left"/>
            </w:pPr>
            <w:r>
              <w:t xml:space="preserve">&lt;0.001</w:t>
            </w:r>
          </w:p>
        </w:tc>
        <w:tc>
          <w:tcPr/>
          <w:p>
            <w:pPr>
              <w:pStyle w:val="Compact"/>
              <w:jc w:val="left"/>
            </w:pPr>
            <w:r>
              <w:t xml:space="preserve">1.05 (1.03–1.07)</w:t>
            </w:r>
          </w:p>
        </w:tc>
        <w:tc>
          <w:tcPr/>
          <w:p>
            <w:pPr>
              <w:pStyle w:val="Compact"/>
              <w:jc w:val="left"/>
            </w:pPr>
            <w:r>
              <w:t xml:space="preserve">&lt;0.001</w:t>
            </w:r>
          </w:p>
        </w:tc>
      </w:tr>
      <w:tr>
        <w:tc>
          <w:tcPr/>
          <w:p>
            <w:pPr>
              <w:pStyle w:val="Compact"/>
            </w:pPr>
          </w:p>
        </w:tc>
        <w:tc>
          <w:tcPr/>
          <w:p>
            <w:pPr>
              <w:pStyle w:val="Compact"/>
              <w:jc w:val="left"/>
            </w:pPr>
            <w:r>
              <w:t xml:space="preserve">&lt;65 years</w:t>
            </w:r>
          </w:p>
        </w:tc>
        <w:tc>
          <w:tcPr/>
          <w:p>
            <w:pPr>
              <w:pStyle w:val="Compact"/>
              <w:jc w:val="left"/>
            </w:pPr>
            <w:r>
              <w:t xml:space="preserve">266,138</w:t>
            </w:r>
          </w:p>
        </w:tc>
        <w:tc>
          <w:tcPr/>
          <w:p>
            <w:pPr>
              <w:pStyle w:val="Compact"/>
              <w:jc w:val="left"/>
            </w:pPr>
            <w:r>
              <w:t xml:space="preserve">54,707</w:t>
            </w:r>
          </w:p>
        </w:tc>
        <w:tc>
          <w:tcPr/>
          <w:p>
            <w:pPr>
              <w:pStyle w:val="Compact"/>
              <w:jc w:val="left"/>
            </w:pPr>
            <w:r>
              <w:t xml:space="preserve">&lt;0.001</w:t>
            </w:r>
          </w:p>
        </w:tc>
        <w:tc>
          <w:tcPr/>
          <w:p>
            <w:pPr>
              <w:pStyle w:val="Compact"/>
              <w:jc w:val="left"/>
            </w:pPr>
            <w:r>
              <w:t xml:space="preserve">0.98 (0.95–1.02)</w:t>
            </w:r>
          </w:p>
        </w:tc>
        <w:tc>
          <w:tcPr/>
          <w:p>
            <w:pPr>
              <w:pStyle w:val="Compact"/>
            </w:pPr>
          </w:p>
        </w:tc>
      </w:tr>
      <w:tr>
        <w:tc>
          <w:tcPr/>
          <w:p>
            <w:pPr>
              <w:pStyle w:val="Compact"/>
              <w:jc w:val="left"/>
            </w:pPr>
            <w:r>
              <w:t xml:space="preserve">Chronic kidney disease vs none</w:t>
            </w:r>
          </w:p>
        </w:tc>
        <w:tc>
          <w:tcPr/>
          <w:p>
            <w:pPr>
              <w:pStyle w:val="Compact"/>
              <w:jc w:val="left"/>
            </w:pPr>
            <w:r>
              <w:t xml:space="preserve">No coded CKD</w:t>
            </w:r>
          </w:p>
        </w:tc>
        <w:tc>
          <w:tcPr/>
          <w:p>
            <w:pPr>
              <w:pStyle w:val="Compact"/>
              <w:jc w:val="left"/>
            </w:pPr>
            <w:r>
              <w:t xml:space="preserve">512,297</w:t>
            </w:r>
          </w:p>
        </w:tc>
        <w:tc>
          <w:tcPr/>
          <w:p>
            <w:pPr>
              <w:pStyle w:val="Compact"/>
              <w:jc w:val="left"/>
            </w:pPr>
            <w:r>
              <w:t xml:space="preserve">87,523</w:t>
            </w:r>
          </w:p>
        </w:tc>
        <w:tc>
          <w:tcPr/>
          <w:p>
            <w:pPr>
              <w:pStyle w:val="Compact"/>
              <w:jc w:val="left"/>
            </w:pPr>
            <w:r>
              <w:t xml:space="preserve">&lt;0.001</w:t>
            </w:r>
          </w:p>
        </w:tc>
        <w:tc>
          <w:tcPr/>
          <w:p>
            <w:pPr>
              <w:pStyle w:val="Compact"/>
              <w:jc w:val="left"/>
            </w:pPr>
            <w:r>
              <w:t xml:space="preserve">1.00 (0.97–1.02)</w:t>
            </w:r>
          </w:p>
        </w:tc>
        <w:tc>
          <w:tcPr/>
          <w:p>
            <w:pPr>
              <w:pStyle w:val="Compact"/>
              <w:jc w:val="left"/>
            </w:pPr>
            <w:r>
              <w:t xml:space="preserve">&lt;0.001</w:t>
            </w:r>
          </w:p>
        </w:tc>
      </w:tr>
      <w:tr>
        <w:tc>
          <w:tcPr/>
          <w:p>
            <w:pPr>
              <w:pStyle w:val="Compact"/>
            </w:pPr>
          </w:p>
        </w:tc>
        <w:tc>
          <w:tcPr/>
          <w:p>
            <w:pPr>
              <w:pStyle w:val="Compact"/>
              <w:jc w:val="left"/>
            </w:pPr>
            <w:r>
              <w:t xml:space="preserve">Chronic kidney disease</w:t>
            </w:r>
          </w:p>
        </w:tc>
        <w:tc>
          <w:tcPr/>
          <w:p>
            <w:pPr>
              <w:pStyle w:val="Compact"/>
              <w:jc w:val="left"/>
            </w:pPr>
            <w:r>
              <w:t xml:space="preserve">358,189</w:t>
            </w:r>
          </w:p>
        </w:tc>
        <w:tc>
          <w:tcPr/>
          <w:p>
            <w:pPr>
              <w:pStyle w:val="Compact"/>
              <w:jc w:val="left"/>
            </w:pPr>
            <w:r>
              <w:t xml:space="preserve">87,789</w:t>
            </w:r>
          </w:p>
        </w:tc>
        <w:tc>
          <w:tcPr/>
          <w:p>
            <w:pPr>
              <w:pStyle w:val="Compact"/>
              <w:jc w:val="left"/>
            </w:pPr>
            <w:r>
              <w:t xml:space="preserve">&lt;0.001</w:t>
            </w:r>
          </w:p>
        </w:tc>
        <w:tc>
          <w:tcPr/>
          <w:p>
            <w:pPr>
              <w:pStyle w:val="Compact"/>
              <w:jc w:val="left"/>
            </w:pPr>
            <w:r>
              <w:t xml:space="preserve">1.07 (1.04–1.10)</w:t>
            </w:r>
          </w:p>
        </w:tc>
        <w:tc>
          <w:tcPr/>
          <w:p>
            <w:pPr>
              <w:pStyle w:val="Compact"/>
            </w:pPr>
          </w:p>
        </w:tc>
      </w:tr>
      <w:tr>
        <w:tc>
          <w:tcPr/>
          <w:p>
            <w:pPr>
              <w:pStyle w:val="Compact"/>
              <w:jc w:val="left"/>
            </w:pPr>
            <w:r>
              <w:t xml:space="preserve">Pre-pandemic (2018-2019) vs pandemic (2020-2022)</w:t>
            </w:r>
          </w:p>
        </w:tc>
        <w:tc>
          <w:tcPr/>
          <w:p>
            <w:pPr>
              <w:pStyle w:val="Compact"/>
              <w:jc w:val="left"/>
            </w:pPr>
            <w:r>
              <w:t xml:space="preserve">Pre-pandemic (2018-2019)</w:t>
            </w:r>
          </w:p>
        </w:tc>
        <w:tc>
          <w:tcPr/>
          <w:p>
            <w:pPr>
              <w:pStyle w:val="Compact"/>
              <w:jc w:val="left"/>
            </w:pPr>
            <w:r>
              <w:t xml:space="preserve">254,812</w:t>
            </w:r>
          </w:p>
        </w:tc>
        <w:tc>
          <w:tcPr/>
          <w:p>
            <w:pPr>
              <w:pStyle w:val="Compact"/>
              <w:jc w:val="left"/>
            </w:pPr>
            <w:r>
              <w:t xml:space="preserve">52,854</w:t>
            </w:r>
          </w:p>
        </w:tc>
        <w:tc>
          <w:tcPr/>
          <w:p>
            <w:pPr>
              <w:pStyle w:val="Compact"/>
              <w:jc w:val="left"/>
            </w:pPr>
            <w:r>
              <w:t xml:space="preserve">&lt;0.001</w:t>
            </w:r>
          </w:p>
        </w:tc>
        <w:tc>
          <w:tcPr/>
          <w:p>
            <w:pPr>
              <w:pStyle w:val="Compact"/>
              <w:jc w:val="left"/>
            </w:pPr>
            <w:r>
              <w:t xml:space="preserve">1.04 (1.00–1.07)</w:t>
            </w:r>
          </w:p>
        </w:tc>
        <w:tc>
          <w:tcPr/>
          <w:p>
            <w:pPr>
              <w:pStyle w:val="Compact"/>
              <w:jc w:val="left"/>
            </w:pPr>
            <w:r>
              <w:t xml:space="preserve">0.063</w:t>
            </w:r>
          </w:p>
        </w:tc>
      </w:tr>
      <w:tr>
        <w:tc>
          <w:tcPr/>
          <w:p>
            <w:pPr>
              <w:pStyle w:val="Compact"/>
            </w:pPr>
          </w:p>
        </w:tc>
        <w:tc>
          <w:tcPr/>
          <w:p>
            <w:pPr>
              <w:pStyle w:val="Compact"/>
              <w:jc w:val="left"/>
            </w:pPr>
            <w:r>
              <w:t xml:space="preserve">Pandemic (2020-2022)</w:t>
            </w:r>
          </w:p>
        </w:tc>
        <w:tc>
          <w:tcPr/>
          <w:p>
            <w:pPr>
              <w:pStyle w:val="Compact"/>
              <w:jc w:val="left"/>
            </w:pPr>
            <w:r>
              <w:t xml:space="preserve">615,674</w:t>
            </w:r>
          </w:p>
        </w:tc>
        <w:tc>
          <w:tcPr/>
          <w:p>
            <w:pPr>
              <w:pStyle w:val="Compact"/>
              <w:jc w:val="left"/>
            </w:pPr>
            <w:r>
              <w:t xml:space="preserve">122,458</w:t>
            </w:r>
          </w:p>
        </w:tc>
        <w:tc>
          <w:tcPr/>
          <w:p>
            <w:pPr>
              <w:pStyle w:val="Compact"/>
              <w:jc w:val="left"/>
            </w:pPr>
            <w:r>
              <w:t xml:space="preserve">&lt;0.001</w:t>
            </w:r>
          </w:p>
        </w:tc>
        <w:tc>
          <w:tcPr/>
          <w:p>
            <w:pPr>
              <w:pStyle w:val="Compact"/>
              <w:jc w:val="left"/>
            </w:pPr>
            <w:r>
              <w:t xml:space="preserve">1.03 (1.01–1.05)</w:t>
            </w:r>
          </w:p>
        </w:tc>
        <w:tc>
          <w:tcPr/>
          <w:p>
            <w:pPr>
              <w:pStyle w:val="Compact"/>
            </w:pP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ALL SUBGROUP RESULTS ARE EXPLORATORY and are not adjusted for multiplicity. Within each subgroup the primary model was refitted on the primary covariate block, and two quantities are reported: the design-based JOINT Wald test across the whole eight-level precipitant block, which is the substantive question in that subgroup, and the pre-specified headline contrast (Tachyarrhythmia versus Sepsis or severe infection), which is shown so that the direction of the association is visible. Effect modification is assessed by a design-based Wald test on the WHOLE interaction block, fitted on the rows with a non-missing modifier, with the modifier’s deterministic parent covariate removed from that model so that no coefficient is aliased (chronic kidney disease stage for the CKD grouping, discharge year for the pandemic-era grouping). Non-overlapping subgroup confidence intervals are NOT evidence of interaction and are not interpreted as such. Terms that became constant or sparse inside a subgroup were dropped from that fit and are listed in the run log. No subgroup finding appears in the Conclusions.</w:t>
            </w:r>
          </w:p>
        </w:tc>
      </w:tr>
    </w:tbl>
    <w:p>
      <w:pPr>
        <w:pStyle w:val="CaptionedFigure"/>
      </w:pPr>
      <w:r>
        <w:drawing>
          <wp:inline>
            <wp:extent cx="5334000" cy="8634112"/>
            <wp:effectExtent b="0" l="0" r="0" t="0"/>
            <wp:docPr descr="Figure 4. Exploratory subgroup analyses." title="" id="56" name="Picture"/>
            <a:graphic>
              <a:graphicData uri="http://schemas.openxmlformats.org/drawingml/2006/picture">
                <pic:pic>
                  <pic:nvPicPr>
                    <pic:cNvPr descr="C:/Users/saada/Documents/Biostatistics/AliFam-Nerds/RCOP_NRD/NRD_Saad_T2MI_Precip/figures/Figure4_subgroups.png" id="57" name="Picture"/>
                    <pic:cNvPicPr>
                      <a:picLocks noChangeArrowheads="1" noChangeAspect="1"/>
                    </pic:cNvPicPr>
                  </pic:nvPicPr>
                  <pic:blipFill>
                    <a:blip r:embed="rId55"/>
                    <a:stretch>
                      <a:fillRect/>
                    </a:stretch>
                  </pic:blipFill>
                  <pic:spPr bwMode="auto">
                    <a:xfrm>
                      <a:off x="0" y="0"/>
                      <a:ext cx="5334000" cy="8634112"/>
                    </a:xfrm>
                    <a:prstGeom prst="rect">
                      <a:avLst/>
                    </a:prstGeom>
                    <a:noFill/>
                    <a:ln w="9525">
                      <a:noFill/>
                      <a:headEnd/>
                      <a:tailEnd/>
                    </a:ln>
                  </pic:spPr>
                </pic:pic>
              </a:graphicData>
            </a:graphic>
          </wp:inline>
        </w:drawing>
      </w:r>
    </w:p>
    <w:p>
      <w:pPr>
        <w:pStyle w:val="ImageCaption"/>
      </w:pPr>
      <w:r>
        <w:t xml:space="preserve">Figure 4. Exploratory subgroup analyses.</w:t>
      </w:r>
    </w:p>
    <w:bookmarkEnd w:id="58"/>
    <w:bookmarkStart w:id="67" w:name="temporal-trends"/>
    <w:p>
      <w:pPr>
        <w:pStyle w:val="Heading1"/>
      </w:pPr>
      <w:r>
        <w:t xml:space="preserve">11. Temporal trends</w:t>
      </w:r>
    </w:p>
    <w:p>
      <w:pPr>
        <w:pStyle w:val="TableCaption"/>
      </w:pPr>
      <w:r>
        <w:t xml:space="preserve">Table S3. Weighted national volume and 30-day readmission rate by discharge year.</w:t>
      </w:r>
    </w:p>
    <w:tbl>
      <w:tblPr>
        <w:tblStyle w:val="Table"/>
        <w:tblW w:type="pct" w:w="5000"/>
        <w:tblLayout w:type="fixed"/>
        <w:tblLook w:firstRow="1" w:lastRow="0" w:firstColumn="0" w:lastColumn="0" w:noHBand="0" w:noVBand="0" w:val="0020"/>
        <w:tblCaption w:val="Table S3. Weighted national volume and 30-day readmission rate by discharge year."/>
      </w:tblPr>
      <w:tblGrid>
        <w:gridCol w:w="400"/>
        <w:gridCol w:w="2240"/>
        <w:gridCol w:w="2800"/>
        <w:gridCol w:w="2480"/>
      </w:tblGrid>
      <w:tr>
        <w:trPr>
          <w:tblHeader w:val="on"/>
        </w:trPr>
        <w:tc>
          <w:tcPr/>
          <w:p>
            <w:pPr>
              <w:pStyle w:val="Compact"/>
              <w:jc w:val="left"/>
            </w:pPr>
            <w:r>
              <w:t xml:space="preserve">Year</w:t>
            </w:r>
          </w:p>
        </w:tc>
        <w:tc>
          <w:tcPr/>
          <w:p>
            <w:pPr>
              <w:pStyle w:val="Compact"/>
              <w:jc w:val="left"/>
            </w:pPr>
            <w:r>
              <w:t xml:space="preserve">Unweighted index admissions</w:t>
            </w:r>
          </w:p>
        </w:tc>
        <w:tc>
          <w:tcPr/>
          <w:p>
            <w:pPr>
              <w:pStyle w:val="Compact"/>
              <w:jc w:val="left"/>
            </w:pPr>
            <w:r>
              <w:t xml:space="preserve">Weighted national index admissions</w:t>
            </w:r>
          </w:p>
        </w:tc>
        <w:tc>
          <w:tcPr/>
          <w:p>
            <w:pPr>
              <w:pStyle w:val="Compact"/>
              <w:jc w:val="left"/>
            </w:pPr>
            <w:r>
              <w:t xml:space="preserve">30-day readmission, % (95% CI)</w:t>
            </w:r>
          </w:p>
        </w:tc>
      </w:tr>
      <w:tr>
        <w:tc>
          <w:tcPr/>
          <w:p>
            <w:pPr>
              <w:pStyle w:val="Compact"/>
              <w:jc w:val="left"/>
            </w:pPr>
            <w:r>
              <w:t xml:space="preserve">2018</w:t>
            </w:r>
          </w:p>
        </w:tc>
        <w:tc>
          <w:tcPr/>
          <w:p>
            <w:pPr>
              <w:pStyle w:val="Compact"/>
              <w:jc w:val="left"/>
            </w:pPr>
            <w:r>
              <w:t xml:space="preserve">113,899</w:t>
            </w:r>
          </w:p>
        </w:tc>
        <w:tc>
          <w:tcPr/>
          <w:p>
            <w:pPr>
              <w:pStyle w:val="Compact"/>
              <w:jc w:val="left"/>
            </w:pPr>
            <w:r>
              <w:t xml:space="preserve">204,897</w:t>
            </w:r>
          </w:p>
        </w:tc>
        <w:tc>
          <w:tcPr/>
          <w:p>
            <w:pPr>
              <w:pStyle w:val="Compact"/>
              <w:jc w:val="left"/>
            </w:pPr>
            <w:r>
              <w:t xml:space="preserve">20.8% (20.4–21.2)</w:t>
            </w:r>
          </w:p>
        </w:tc>
      </w:tr>
      <w:tr>
        <w:tc>
          <w:tcPr/>
          <w:p>
            <w:pPr>
              <w:pStyle w:val="Compact"/>
              <w:jc w:val="left"/>
            </w:pPr>
            <w:r>
              <w:t xml:space="preserve">2019</w:t>
            </w:r>
          </w:p>
        </w:tc>
        <w:tc>
          <w:tcPr/>
          <w:p>
            <w:pPr>
              <w:pStyle w:val="Compact"/>
              <w:jc w:val="left"/>
            </w:pPr>
            <w:r>
              <w:t xml:space="preserve">140,913</w:t>
            </w:r>
          </w:p>
        </w:tc>
        <w:tc>
          <w:tcPr/>
          <w:p>
            <w:pPr>
              <w:pStyle w:val="Compact"/>
              <w:jc w:val="left"/>
            </w:pPr>
            <w:r>
              <w:t xml:space="preserve">245,383</w:t>
            </w:r>
          </w:p>
        </w:tc>
        <w:tc>
          <w:tcPr/>
          <w:p>
            <w:pPr>
              <w:pStyle w:val="Compact"/>
              <w:jc w:val="left"/>
            </w:pPr>
            <w:r>
              <w:t xml:space="preserve">20.4% (20.0–20.7)</w:t>
            </w:r>
          </w:p>
        </w:tc>
      </w:tr>
      <w:tr>
        <w:tc>
          <w:tcPr/>
          <w:p>
            <w:pPr>
              <w:pStyle w:val="Compact"/>
              <w:jc w:val="left"/>
            </w:pPr>
            <w:r>
              <w:t xml:space="preserve">2020</w:t>
            </w:r>
          </w:p>
        </w:tc>
        <w:tc>
          <w:tcPr/>
          <w:p>
            <w:pPr>
              <w:pStyle w:val="Compact"/>
              <w:jc w:val="left"/>
            </w:pPr>
            <w:r>
              <w:t xml:space="preserve">173,245</w:t>
            </w:r>
          </w:p>
        </w:tc>
        <w:tc>
          <w:tcPr/>
          <w:p>
            <w:pPr>
              <w:pStyle w:val="Compact"/>
              <w:jc w:val="left"/>
            </w:pPr>
            <w:r>
              <w:t xml:space="preserve">297,784</w:t>
            </w:r>
          </w:p>
        </w:tc>
        <w:tc>
          <w:tcPr/>
          <w:p>
            <w:pPr>
              <w:pStyle w:val="Compact"/>
              <w:jc w:val="left"/>
            </w:pPr>
            <w:r>
              <w:t xml:space="preserve">19.9% (19.6–20.2)</w:t>
            </w:r>
          </w:p>
        </w:tc>
      </w:tr>
      <w:tr>
        <w:tc>
          <w:tcPr/>
          <w:p>
            <w:pPr>
              <w:pStyle w:val="Compact"/>
              <w:jc w:val="left"/>
            </w:pPr>
            <w:r>
              <w:t xml:space="preserve">2021</w:t>
            </w:r>
          </w:p>
        </w:tc>
        <w:tc>
          <w:tcPr/>
          <w:p>
            <w:pPr>
              <w:pStyle w:val="Compact"/>
              <w:jc w:val="left"/>
            </w:pPr>
            <w:r>
              <w:t xml:space="preserve">205,508</w:t>
            </w:r>
          </w:p>
        </w:tc>
        <w:tc>
          <w:tcPr/>
          <w:p>
            <w:pPr>
              <w:pStyle w:val="Compact"/>
              <w:jc w:val="left"/>
            </w:pPr>
            <w:r>
              <w:t xml:space="preserve">362,215</w:t>
            </w:r>
          </w:p>
        </w:tc>
        <w:tc>
          <w:tcPr/>
          <w:p>
            <w:pPr>
              <w:pStyle w:val="Compact"/>
              <w:jc w:val="left"/>
            </w:pPr>
            <w:r>
              <w:t xml:space="preserve">19.8% (19.5–20.1)</w:t>
            </w:r>
          </w:p>
        </w:tc>
      </w:tr>
      <w:tr>
        <w:tc>
          <w:tcPr/>
          <w:p>
            <w:pPr>
              <w:pStyle w:val="Compact"/>
              <w:jc w:val="left"/>
            </w:pPr>
            <w:r>
              <w:t xml:space="preserve">2022</w:t>
            </w:r>
          </w:p>
        </w:tc>
        <w:tc>
          <w:tcPr/>
          <w:p>
            <w:pPr>
              <w:pStyle w:val="Compact"/>
              <w:jc w:val="left"/>
            </w:pPr>
            <w:r>
              <w:t xml:space="preserve">236,921</w:t>
            </w:r>
          </w:p>
        </w:tc>
        <w:tc>
          <w:tcPr/>
          <w:p>
            <w:pPr>
              <w:pStyle w:val="Compact"/>
              <w:jc w:val="left"/>
            </w:pPr>
            <w:r>
              <w:t xml:space="preserve">417,295</w:t>
            </w:r>
          </w:p>
        </w:tc>
        <w:tc>
          <w:tcPr/>
          <w:p>
            <w:pPr>
              <w:pStyle w:val="Compact"/>
              <w:jc w:val="left"/>
            </w:pPr>
            <w:r>
              <w:t xml:space="preserve">19.7% (19.4–20.0)</w:t>
            </w:r>
          </w:p>
        </w:tc>
      </w:tr>
    </w:tbl>
    <w:p>
      <w:pPr>
        <w:pStyle w:val="BodyText"/>
      </w:pPr>
      <w:r>
        <w:rPr>
          <w:b/>
          <w:bCs/>
        </w:rPr>
        <w:t xml:space="preserve">Design-based linear trend in the outcome:</w:t>
      </w:r>
      <w:r>
        <w:t xml:space="preserve"> </w:t>
      </w:r>
      <w:r>
        <w:t xml:space="preserve">0.98 (0.98–0.99) per calendar year (p &lt;0.001)</w:t>
      </w:r>
    </w:p>
    <w:p>
      <w:pPr>
        <w:pStyle w:val="TableCaption"/>
      </w:pPr>
      <w:r>
        <w:t xml:space="preserve">Table S3b. 30-day readmission by discharge year within each precipitant class, % (95% CI) [readmissions].</w:t>
      </w:r>
    </w:p>
    <w:tbl>
      <w:tblPr>
        <w:tblStyle w:val="Table"/>
        <w:tblW w:type="pct" w:w="5000"/>
        <w:tblLayout w:type="fixed"/>
        <w:tblLook w:firstRow="1" w:lastRow="0" w:firstColumn="0" w:lastColumn="0" w:noHBand="0" w:noVBand="0" w:val="0020"/>
        <w:tblCaption w:val="Table S3b. 30-day readmission by discharge year within each precipitant class, % (95% CI) [readmissions]."/>
      </w:tblPr>
      <w:tblGrid>
        <w:gridCol w:w="1739"/>
        <w:gridCol w:w="1236"/>
        <w:gridCol w:w="1236"/>
        <w:gridCol w:w="1236"/>
        <w:gridCol w:w="1236"/>
        <w:gridCol w:w="1236"/>
      </w:tblGrid>
      <w:tr>
        <w:trPr>
          <w:tblHeader w:val="on"/>
        </w:trPr>
        <w:tc>
          <w:tcPr/>
          <w:p>
            <w:pPr>
              <w:pStyle w:val="Compact"/>
              <w:jc w:val="left"/>
            </w:pPr>
            <w:r>
              <w:t xml:space="preserve">Precipitant class</w:t>
            </w:r>
          </w:p>
        </w:tc>
        <w:tc>
          <w:tcPr/>
          <w:p>
            <w:pPr>
              <w:pStyle w:val="Compact"/>
              <w:jc w:val="left"/>
            </w:pPr>
            <w:r>
              <w:t xml:space="preserve">2018</w:t>
            </w:r>
          </w:p>
        </w:tc>
        <w:tc>
          <w:tcPr/>
          <w:p>
            <w:pPr>
              <w:pStyle w:val="Compact"/>
              <w:jc w:val="left"/>
            </w:pPr>
            <w:r>
              <w:t xml:space="preserve">2019</w:t>
            </w:r>
          </w:p>
        </w:tc>
        <w:tc>
          <w:tcPr/>
          <w:p>
            <w:pPr>
              <w:pStyle w:val="Compact"/>
              <w:jc w:val="left"/>
            </w:pPr>
            <w:r>
              <w:t xml:space="preserve">2020</w:t>
            </w:r>
          </w:p>
        </w:tc>
        <w:tc>
          <w:tcPr/>
          <w:p>
            <w:pPr>
              <w:pStyle w:val="Compact"/>
              <w:jc w:val="left"/>
            </w:pPr>
            <w:r>
              <w:t xml:space="preserve">2021</w:t>
            </w:r>
          </w:p>
        </w:tc>
        <w:tc>
          <w:tcPr/>
          <w:p>
            <w:pPr>
              <w:pStyle w:val="Compact"/>
              <w:jc w:val="left"/>
            </w:pPr>
            <w:r>
              <w:t xml:space="preserve">2022</w:t>
            </w:r>
          </w:p>
        </w:tc>
      </w:tr>
      <w:tr>
        <w:tc>
          <w:tcPr/>
          <w:p>
            <w:pPr>
              <w:pStyle w:val="Compact"/>
              <w:jc w:val="left"/>
            </w:pPr>
            <w:r>
              <w:t xml:space="preserve">Sepsis or severe infection</w:t>
            </w:r>
          </w:p>
        </w:tc>
        <w:tc>
          <w:tcPr/>
          <w:p>
            <w:pPr>
              <w:pStyle w:val="Compact"/>
              <w:jc w:val="left"/>
            </w:pPr>
            <w:r>
              <w:t xml:space="preserve">21.3% (20.7–21.9) [ 6,020]</w:t>
            </w:r>
          </w:p>
        </w:tc>
        <w:tc>
          <w:tcPr/>
          <w:p>
            <w:pPr>
              <w:pStyle w:val="Compact"/>
              <w:jc w:val="left"/>
            </w:pPr>
            <w:r>
              <w:t xml:space="preserve">20.9% (20.4–21.4) [ 7,243]</w:t>
            </w:r>
          </w:p>
        </w:tc>
        <w:tc>
          <w:tcPr/>
          <w:p>
            <w:pPr>
              <w:pStyle w:val="Compact"/>
              <w:jc w:val="left"/>
            </w:pPr>
            <w:r>
              <w:t xml:space="preserve">19.9% (19.4–20.3) [ 8,863]</w:t>
            </w:r>
          </w:p>
        </w:tc>
        <w:tc>
          <w:tcPr/>
          <w:p>
            <w:pPr>
              <w:pStyle w:val="Compact"/>
              <w:jc w:val="left"/>
            </w:pPr>
            <w:r>
              <w:t xml:space="preserve">20.2% (19.7–20.6) [ 9,986]</w:t>
            </w:r>
          </w:p>
        </w:tc>
        <w:tc>
          <w:tcPr/>
          <w:p>
            <w:pPr>
              <w:pStyle w:val="Compact"/>
              <w:jc w:val="left"/>
            </w:pPr>
            <w:r>
              <w:t xml:space="preserve">20.2% (19.8–20.6) [11,396]</w:t>
            </w:r>
          </w:p>
        </w:tc>
      </w:tr>
      <w:tr>
        <w:tc>
          <w:tcPr/>
          <w:p>
            <w:pPr>
              <w:pStyle w:val="Compact"/>
              <w:jc w:val="left"/>
            </w:pPr>
            <w:r>
              <w:t xml:space="preserve">Acute GI bleed or blood-loss anaemia</w:t>
            </w:r>
          </w:p>
        </w:tc>
        <w:tc>
          <w:tcPr/>
          <w:p>
            <w:pPr>
              <w:pStyle w:val="Compact"/>
              <w:jc w:val="left"/>
            </w:pPr>
            <w:r>
              <w:t xml:space="preserve">23.7% (22.9–24.6) [2,360]</w:t>
            </w:r>
          </w:p>
        </w:tc>
        <w:tc>
          <w:tcPr/>
          <w:p>
            <w:pPr>
              <w:pStyle w:val="Compact"/>
              <w:jc w:val="left"/>
            </w:pPr>
            <w:r>
              <w:t xml:space="preserve">22.9% (22.0–23.7) [2,662]</w:t>
            </w:r>
          </w:p>
        </w:tc>
        <w:tc>
          <w:tcPr/>
          <w:p>
            <w:pPr>
              <w:pStyle w:val="Compact"/>
              <w:jc w:val="left"/>
            </w:pPr>
            <w:r>
              <w:t xml:space="preserve">22.5% (21.7–23.3) [3,161]</w:t>
            </w:r>
          </w:p>
        </w:tc>
        <w:tc>
          <w:tcPr/>
          <w:p>
            <w:pPr>
              <w:pStyle w:val="Compact"/>
              <w:jc w:val="left"/>
            </w:pPr>
            <w:r>
              <w:t xml:space="preserve">22.3% (21.6–23.0) [3,557]</w:t>
            </w:r>
          </w:p>
        </w:tc>
        <w:tc>
          <w:tcPr/>
          <w:p>
            <w:pPr>
              <w:pStyle w:val="Compact"/>
              <w:jc w:val="left"/>
            </w:pPr>
            <w:r>
              <w:t xml:space="preserve">22.8% (22.0–23.5) [3,746]</w:t>
            </w:r>
          </w:p>
        </w:tc>
      </w:tr>
      <w:tr>
        <w:tc>
          <w:tcPr/>
          <w:p>
            <w:pPr>
              <w:pStyle w:val="Compact"/>
              <w:jc w:val="left"/>
            </w:pPr>
            <w:r>
              <w:t xml:space="preserve">Hypertensive emergency</w:t>
            </w:r>
          </w:p>
        </w:tc>
        <w:tc>
          <w:tcPr/>
          <w:p>
            <w:pPr>
              <w:pStyle w:val="Compact"/>
              <w:jc w:val="left"/>
            </w:pPr>
            <w:r>
              <w:t xml:space="preserve">18.4% (17.2–19.6) [1,006]</w:t>
            </w:r>
          </w:p>
        </w:tc>
        <w:tc>
          <w:tcPr/>
          <w:p>
            <w:pPr>
              <w:pStyle w:val="Compact"/>
              <w:jc w:val="left"/>
            </w:pPr>
            <w:r>
              <w:t xml:space="preserve">18.3% (17.3–19.3) [1,313]</w:t>
            </w:r>
          </w:p>
        </w:tc>
        <w:tc>
          <w:tcPr/>
          <w:p>
            <w:pPr>
              <w:pStyle w:val="Compact"/>
              <w:jc w:val="left"/>
            </w:pPr>
            <w:r>
              <w:t xml:space="preserve">18.2% (17.3–19.2) [1,679]</w:t>
            </w:r>
          </w:p>
        </w:tc>
        <w:tc>
          <w:tcPr/>
          <w:p>
            <w:pPr>
              <w:pStyle w:val="Compact"/>
              <w:jc w:val="left"/>
            </w:pPr>
            <w:r>
              <w:t xml:space="preserve">17.9% (17.2–18.7) [2,075]</w:t>
            </w:r>
          </w:p>
        </w:tc>
        <w:tc>
          <w:tcPr/>
          <w:p>
            <w:pPr>
              <w:pStyle w:val="Compact"/>
              <w:jc w:val="left"/>
            </w:pPr>
            <w:r>
              <w:t xml:space="preserve">17.9% (17.1–18.6) [2,543]</w:t>
            </w:r>
          </w:p>
        </w:tc>
      </w:tr>
      <w:tr>
        <w:tc>
          <w:tcPr/>
          <w:p>
            <w:pPr>
              <w:pStyle w:val="Compact"/>
              <w:jc w:val="left"/>
            </w:pPr>
            <w:r>
              <w:t xml:space="preserve">Tachyarrhythmia</w:t>
            </w:r>
          </w:p>
        </w:tc>
        <w:tc>
          <w:tcPr/>
          <w:p>
            <w:pPr>
              <w:pStyle w:val="Compact"/>
              <w:jc w:val="left"/>
            </w:pPr>
            <w:r>
              <w:t xml:space="preserve">21.6% (20.9–22.2) [ 6,527]</w:t>
            </w:r>
          </w:p>
        </w:tc>
        <w:tc>
          <w:tcPr/>
          <w:p>
            <w:pPr>
              <w:pStyle w:val="Compact"/>
              <w:jc w:val="left"/>
            </w:pPr>
            <w:r>
              <w:t xml:space="preserve">21.2% (20.7–21.7) [ 8,055]</w:t>
            </w:r>
          </w:p>
        </w:tc>
        <w:tc>
          <w:tcPr/>
          <w:p>
            <w:pPr>
              <w:pStyle w:val="Compact"/>
              <w:jc w:val="left"/>
            </w:pPr>
            <w:r>
              <w:t xml:space="preserve">20.9% (20.4–21.4) [ 9,217]</w:t>
            </w:r>
          </w:p>
        </w:tc>
        <w:tc>
          <w:tcPr/>
          <w:p>
            <w:pPr>
              <w:pStyle w:val="Compact"/>
              <w:jc w:val="left"/>
            </w:pPr>
            <w:r>
              <w:t xml:space="preserve">21.0% (20.5–21.4) [11,361]</w:t>
            </w:r>
          </w:p>
        </w:tc>
        <w:tc>
          <w:tcPr/>
          <w:p>
            <w:pPr>
              <w:pStyle w:val="Compact"/>
              <w:jc w:val="left"/>
            </w:pPr>
            <w:r>
              <w:t xml:space="preserve">20.6% (20.2–21.0) [12,943]</w:t>
            </w:r>
          </w:p>
        </w:tc>
      </w:tr>
      <w:tr>
        <w:tc>
          <w:tcPr/>
          <w:p>
            <w:pPr>
              <w:pStyle w:val="Compact"/>
              <w:jc w:val="left"/>
            </w:pPr>
            <w:r>
              <w:t xml:space="preserve">Acute respiratory failure</w:t>
            </w:r>
          </w:p>
        </w:tc>
        <w:tc>
          <w:tcPr/>
          <w:p>
            <w:pPr>
              <w:pStyle w:val="Compact"/>
              <w:jc w:val="left"/>
            </w:pPr>
            <w:r>
              <w:t xml:space="preserve">19.8% (18.9–20.7) [1,769]</w:t>
            </w:r>
          </w:p>
        </w:tc>
        <w:tc>
          <w:tcPr/>
          <w:p>
            <w:pPr>
              <w:pStyle w:val="Compact"/>
              <w:jc w:val="left"/>
            </w:pPr>
            <w:r>
              <w:t xml:space="preserve">19.1% (18.3–20.0) [2,192]</w:t>
            </w:r>
          </w:p>
        </w:tc>
        <w:tc>
          <w:tcPr/>
          <w:p>
            <w:pPr>
              <w:pStyle w:val="Compact"/>
              <w:jc w:val="left"/>
            </w:pPr>
            <w:r>
              <w:t xml:space="preserve">18.5% (17.8–19.2) [2,853]</w:t>
            </w:r>
          </w:p>
        </w:tc>
        <w:tc>
          <w:tcPr/>
          <w:p>
            <w:pPr>
              <w:pStyle w:val="Compact"/>
              <w:jc w:val="left"/>
            </w:pPr>
            <w:r>
              <w:t xml:space="preserve">17.8% (17.2–18.4) [3,591]</w:t>
            </w:r>
          </w:p>
        </w:tc>
        <w:tc>
          <w:tcPr/>
          <w:p>
            <w:pPr>
              <w:pStyle w:val="Compact"/>
              <w:jc w:val="left"/>
            </w:pPr>
            <w:r>
              <w:t xml:space="preserve">19.1% (18.4–19.7) [4,281]</w:t>
            </w:r>
          </w:p>
        </w:tc>
      </w:tr>
      <w:tr>
        <w:tc>
          <w:tcPr/>
          <w:p>
            <w:pPr>
              <w:pStyle w:val="Compact"/>
              <w:jc w:val="left"/>
            </w:pPr>
            <w:r>
              <w:t xml:space="preserve">Hypovolaemia or non-cardiogenic shock</w:t>
            </w:r>
          </w:p>
        </w:tc>
        <w:tc>
          <w:tcPr/>
          <w:p>
            <w:pPr>
              <w:pStyle w:val="Compact"/>
              <w:jc w:val="left"/>
            </w:pPr>
            <w:r>
              <w:t xml:space="preserve">17.7% (16.7–18.8) [ 945]</w:t>
            </w:r>
          </w:p>
        </w:tc>
        <w:tc>
          <w:tcPr/>
          <w:p>
            <w:pPr>
              <w:pStyle w:val="Compact"/>
              <w:jc w:val="left"/>
            </w:pPr>
            <w:r>
              <w:t xml:space="preserve">16.9% (15.9–17.9) [1,031]</w:t>
            </w:r>
          </w:p>
        </w:tc>
        <w:tc>
          <w:tcPr/>
          <w:p>
            <w:pPr>
              <w:pStyle w:val="Compact"/>
              <w:jc w:val="left"/>
            </w:pPr>
            <w:r>
              <w:t xml:space="preserve">18.5% (17.5–19.5) [1,404]</w:t>
            </w:r>
          </w:p>
        </w:tc>
        <w:tc>
          <w:tcPr/>
          <w:p>
            <w:pPr>
              <w:pStyle w:val="Compact"/>
              <w:jc w:val="left"/>
            </w:pPr>
            <w:r>
              <w:t xml:space="preserve">18.1% (17.3–19.0) [1,543]</w:t>
            </w:r>
          </w:p>
        </w:tc>
        <w:tc>
          <w:tcPr/>
          <w:p>
            <w:pPr>
              <w:pStyle w:val="Compact"/>
              <w:jc w:val="left"/>
            </w:pPr>
            <w:r>
              <w:t xml:space="preserve">17.6% (16.8–18.4) [1,827]</w:t>
            </w:r>
          </w:p>
        </w:tc>
      </w:tr>
      <w:tr>
        <w:tc>
          <w:tcPr/>
          <w:p>
            <w:pPr>
              <w:pStyle w:val="Compact"/>
              <w:jc w:val="left"/>
            </w:pPr>
            <w:r>
              <w:t xml:space="preserve">Perioperative</w:t>
            </w:r>
          </w:p>
        </w:tc>
        <w:tc>
          <w:tcPr/>
          <w:p>
            <w:pPr>
              <w:pStyle w:val="Compact"/>
              <w:jc w:val="left"/>
            </w:pPr>
            <w:r>
              <w:t xml:space="preserve">20.5% (18.4–22.7) [327]</w:t>
            </w:r>
          </w:p>
        </w:tc>
        <w:tc>
          <w:tcPr/>
          <w:p>
            <w:pPr>
              <w:pStyle w:val="Compact"/>
              <w:jc w:val="left"/>
            </w:pPr>
            <w:r>
              <w:t xml:space="preserve">20.1% (18.3–22.0) [379]</w:t>
            </w:r>
          </w:p>
        </w:tc>
        <w:tc>
          <w:tcPr/>
          <w:p>
            <w:pPr>
              <w:pStyle w:val="Compact"/>
              <w:jc w:val="left"/>
            </w:pPr>
            <w:r>
              <w:t xml:space="preserve">18.1% (16.5–19.7) [423]</w:t>
            </w:r>
          </w:p>
        </w:tc>
        <w:tc>
          <w:tcPr/>
          <w:p>
            <w:pPr>
              <w:pStyle w:val="Compact"/>
              <w:jc w:val="left"/>
            </w:pPr>
            <w:r>
              <w:t xml:space="preserve">18.7% (17.1–20.3) [515]</w:t>
            </w:r>
          </w:p>
        </w:tc>
        <w:tc>
          <w:tcPr/>
          <w:p>
            <w:pPr>
              <w:pStyle w:val="Compact"/>
              <w:jc w:val="left"/>
            </w:pPr>
            <w:r>
              <w:t xml:space="preserve">18.0% (16.4–19.5) [512]</w:t>
            </w:r>
          </w:p>
        </w:tc>
      </w:tr>
      <w:tr>
        <w:tc>
          <w:tcPr/>
          <w:p>
            <w:pPr>
              <w:pStyle w:val="Compact"/>
              <w:jc w:val="left"/>
            </w:pPr>
            <w:r>
              <w:t xml:space="preserve">None of the above</w:t>
            </w:r>
          </w:p>
        </w:tc>
        <w:tc>
          <w:tcPr/>
          <w:p>
            <w:pPr>
              <w:pStyle w:val="Compact"/>
              <w:jc w:val="left"/>
            </w:pPr>
            <w:r>
              <w:t xml:space="preserve">19.7% (19.0–20.3) [5,000]</w:t>
            </w:r>
          </w:p>
        </w:tc>
        <w:tc>
          <w:tcPr/>
          <w:p>
            <w:pPr>
              <w:pStyle w:val="Compact"/>
              <w:jc w:val="left"/>
            </w:pPr>
            <w:r>
              <w:t xml:space="preserve">19.5% (18.9–20.0) [6,025]</w:t>
            </w:r>
          </w:p>
        </w:tc>
        <w:tc>
          <w:tcPr/>
          <w:p>
            <w:pPr>
              <w:pStyle w:val="Compact"/>
              <w:jc w:val="left"/>
            </w:pPr>
            <w:r>
              <w:t xml:space="preserve">19.2% (18.6–19.7) [7,036]</w:t>
            </w:r>
          </w:p>
        </w:tc>
        <w:tc>
          <w:tcPr/>
          <w:p>
            <w:pPr>
              <w:pStyle w:val="Compact"/>
              <w:jc w:val="left"/>
            </w:pPr>
            <w:r>
              <w:t xml:space="preserve">19.0% (18.5–19.5) [8,247]</w:t>
            </w:r>
          </w:p>
        </w:tc>
        <w:tc>
          <w:tcPr/>
          <w:p>
            <w:pPr>
              <w:pStyle w:val="Compact"/>
              <w:jc w:val="left"/>
            </w:pPr>
            <w:r>
              <w:t xml:space="preserve">18.5% (18.1–19.0) [9,699]</w:t>
            </w:r>
          </w:p>
        </w:tc>
      </w:tr>
    </w:tbl>
    <w:p>
      <w:pPr>
        <w:pStyle w:val="BodyText"/>
      </w:pPr>
      <w:r>
        <w:t xml:space="preserve"> </w:t>
      </w:r>
    </w:p>
    <w:p>
      <w:pPr>
        <w:pStyle w:val="TableCaption"/>
      </w:pPr>
      <w:r>
        <w:t xml:space="preserve">Table S3c. Design-based linear trend in the prevalence of each precipitant class (descriptive).</w:t>
      </w:r>
    </w:p>
    <w:tbl>
      <w:tblPr>
        <w:tblStyle w:val="Table"/>
        <w:tblW w:type="pct" w:w="5000"/>
        <w:tblLayout w:type="fixed"/>
        <w:tblLook w:firstRow="1" w:lastRow="0" w:firstColumn="0" w:lastColumn="0" w:noHBand="0" w:noVBand="0" w:val="0020"/>
        <w:tblCaption w:val="Table S3c. Design-based linear trend in the prevalence of each precipitant class (descriptive)."/>
      </w:tblPr>
      <w:tblGrid>
        <w:gridCol w:w="3009"/>
        <w:gridCol w:w="4276"/>
        <w:gridCol w:w="633"/>
      </w:tblGrid>
      <w:tr>
        <w:trPr>
          <w:tblHeader w:val="on"/>
        </w:trPr>
        <w:tc>
          <w:tcPr/>
          <w:p>
            <w:pPr>
              <w:pStyle w:val="Compact"/>
              <w:jc w:val="left"/>
            </w:pPr>
            <w:r>
              <w:t xml:space="preserve">Precipitant class</w:t>
            </w:r>
          </w:p>
        </w:tc>
        <w:tc>
          <w:tcPr/>
          <w:p>
            <w:pPr>
              <w:pStyle w:val="Compact"/>
              <w:jc w:val="left"/>
            </w:pPr>
            <w:r>
              <w:t xml:space="preserve">OR per calendar year for being in this class (95% CI)</w:t>
            </w:r>
          </w:p>
        </w:tc>
        <w:tc>
          <w:tcPr/>
          <w:p>
            <w:pPr>
              <w:pStyle w:val="Compact"/>
              <w:jc w:val="left"/>
            </w:pPr>
            <w:r>
              <w:t xml:space="preserve">p value</w:t>
            </w:r>
          </w:p>
        </w:tc>
      </w:tr>
      <w:tr>
        <w:tc>
          <w:tcPr/>
          <w:p>
            <w:pPr>
              <w:pStyle w:val="Compact"/>
              <w:jc w:val="left"/>
            </w:pPr>
            <w:r>
              <w:t xml:space="preserve">Sepsis or severe infection</w:t>
            </w:r>
          </w:p>
        </w:tc>
        <w:tc>
          <w:tcPr/>
          <w:p>
            <w:pPr>
              <w:pStyle w:val="Compact"/>
              <w:jc w:val="left"/>
            </w:pPr>
            <w:r>
              <w:t xml:space="preserve">0.985 (0.975–0.995)</w:t>
            </w:r>
          </w:p>
        </w:tc>
        <w:tc>
          <w:tcPr/>
          <w:p>
            <w:pPr>
              <w:pStyle w:val="Compact"/>
              <w:jc w:val="left"/>
            </w:pPr>
            <w:r>
              <w:t xml:space="preserve">0.004</w:t>
            </w:r>
          </w:p>
        </w:tc>
      </w:tr>
      <w:tr>
        <w:tc>
          <w:tcPr/>
          <w:p>
            <w:pPr>
              <w:pStyle w:val="Compact"/>
              <w:jc w:val="left"/>
            </w:pPr>
            <w:r>
              <w:t xml:space="preserve">Acute GI bleed or blood-loss anaemia</w:t>
            </w:r>
          </w:p>
        </w:tc>
        <w:tc>
          <w:tcPr/>
          <w:p>
            <w:pPr>
              <w:pStyle w:val="Compact"/>
              <w:jc w:val="left"/>
            </w:pPr>
            <w:r>
              <w:t xml:space="preserve">0.948 (0.937–0.958)</w:t>
            </w:r>
          </w:p>
        </w:tc>
        <w:tc>
          <w:tcPr/>
          <w:p>
            <w:pPr>
              <w:pStyle w:val="Compact"/>
              <w:jc w:val="left"/>
            </w:pPr>
            <w:r>
              <w:t xml:space="preserve">&lt;0.001</w:t>
            </w:r>
          </w:p>
        </w:tc>
      </w:tr>
      <w:tr>
        <w:tc>
          <w:tcPr/>
          <w:p>
            <w:pPr>
              <w:pStyle w:val="Compact"/>
              <w:jc w:val="left"/>
            </w:pPr>
            <w:r>
              <w:t xml:space="preserve">Hypertensive emergency</w:t>
            </w:r>
          </w:p>
        </w:tc>
        <w:tc>
          <w:tcPr/>
          <w:p>
            <w:pPr>
              <w:pStyle w:val="Compact"/>
              <w:jc w:val="left"/>
            </w:pPr>
            <w:r>
              <w:t xml:space="preserve">1.061 (1.035–1.088)</w:t>
            </w:r>
          </w:p>
        </w:tc>
        <w:tc>
          <w:tcPr/>
          <w:p>
            <w:pPr>
              <w:pStyle w:val="Compact"/>
              <w:jc w:val="left"/>
            </w:pPr>
            <w:r>
              <w:t xml:space="preserve">&lt;0.001</w:t>
            </w:r>
          </w:p>
        </w:tc>
      </w:tr>
      <w:tr>
        <w:tc>
          <w:tcPr/>
          <w:p>
            <w:pPr>
              <w:pStyle w:val="Compact"/>
              <w:jc w:val="left"/>
            </w:pPr>
            <w:r>
              <w:t xml:space="preserve">Tachyarrhythmia</w:t>
            </w:r>
          </w:p>
        </w:tc>
        <w:tc>
          <w:tcPr/>
          <w:p>
            <w:pPr>
              <w:pStyle w:val="Compact"/>
              <w:jc w:val="left"/>
            </w:pPr>
            <w:r>
              <w:t xml:space="preserve">1.004 (0.995–1.013)</w:t>
            </w:r>
          </w:p>
        </w:tc>
        <w:tc>
          <w:tcPr/>
          <w:p>
            <w:pPr>
              <w:pStyle w:val="Compact"/>
              <w:jc w:val="left"/>
            </w:pPr>
            <w:r>
              <w:t xml:space="preserve">0.402</w:t>
            </w:r>
          </w:p>
        </w:tc>
      </w:tr>
      <w:tr>
        <w:tc>
          <w:tcPr/>
          <w:p>
            <w:pPr>
              <w:pStyle w:val="Compact"/>
              <w:jc w:val="left"/>
            </w:pPr>
            <w:r>
              <w:t xml:space="preserve">Acute respiratory failure</w:t>
            </w:r>
          </w:p>
        </w:tc>
        <w:tc>
          <w:tcPr/>
          <w:p>
            <w:pPr>
              <w:pStyle w:val="Compact"/>
              <w:jc w:val="left"/>
            </w:pPr>
            <w:r>
              <w:t xml:space="preserve">1.054 (1.043–1.065)</w:t>
            </w:r>
          </w:p>
        </w:tc>
        <w:tc>
          <w:tcPr/>
          <w:p>
            <w:pPr>
              <w:pStyle w:val="Compact"/>
              <w:jc w:val="left"/>
            </w:pPr>
            <w:r>
              <w:t xml:space="preserve">&lt;0.001</w:t>
            </w:r>
          </w:p>
        </w:tc>
      </w:tr>
      <w:tr>
        <w:tc>
          <w:tcPr/>
          <w:p>
            <w:pPr>
              <w:pStyle w:val="Compact"/>
              <w:jc w:val="left"/>
            </w:pPr>
            <w:r>
              <w:t xml:space="preserve">Hypovolaemia or non-cardiogenic shock</w:t>
            </w:r>
          </w:p>
        </w:tc>
        <w:tc>
          <w:tcPr/>
          <w:p>
            <w:pPr>
              <w:pStyle w:val="Compact"/>
              <w:jc w:val="left"/>
            </w:pPr>
            <w:r>
              <w:t xml:space="preserve">0.993 (0.981–1.005)</w:t>
            </w:r>
          </w:p>
        </w:tc>
        <w:tc>
          <w:tcPr/>
          <w:p>
            <w:pPr>
              <w:pStyle w:val="Compact"/>
              <w:jc w:val="left"/>
            </w:pPr>
            <w:r>
              <w:t xml:space="preserve">0.245</w:t>
            </w:r>
          </w:p>
        </w:tc>
      </w:tr>
      <w:tr>
        <w:tc>
          <w:tcPr/>
          <w:p>
            <w:pPr>
              <w:pStyle w:val="Compact"/>
              <w:jc w:val="left"/>
            </w:pPr>
            <w:r>
              <w:t xml:space="preserve">Perioperative</w:t>
            </w:r>
          </w:p>
        </w:tc>
        <w:tc>
          <w:tcPr/>
          <w:p>
            <w:pPr>
              <w:pStyle w:val="Compact"/>
              <w:jc w:val="left"/>
            </w:pPr>
            <w:r>
              <w:t xml:space="preserve">0.968 (0.952–0.984)</w:t>
            </w:r>
          </w:p>
        </w:tc>
        <w:tc>
          <w:tcPr/>
          <w:p>
            <w:pPr>
              <w:pStyle w:val="Compact"/>
              <w:jc w:val="left"/>
            </w:pPr>
            <w:r>
              <w:t xml:space="preserve">&lt;0.001</w:t>
            </w:r>
          </w:p>
        </w:tc>
      </w:tr>
      <w:tr>
        <w:tc>
          <w:tcPr/>
          <w:p>
            <w:pPr>
              <w:pStyle w:val="Compact"/>
              <w:jc w:val="left"/>
            </w:pPr>
            <w:r>
              <w:t xml:space="preserve">None of the above</w:t>
            </w:r>
          </w:p>
        </w:tc>
        <w:tc>
          <w:tcPr/>
          <w:p>
            <w:pPr>
              <w:pStyle w:val="Compact"/>
              <w:jc w:val="left"/>
            </w:pPr>
            <w:r>
              <w:t xml:space="preserve">0.996 (0.986–1.006)</w:t>
            </w:r>
          </w:p>
        </w:tc>
        <w:tc>
          <w:tcPr/>
          <w:p>
            <w:pPr>
              <w:pStyle w:val="Compact"/>
              <w:jc w:val="left"/>
            </w:pPr>
            <w:r>
              <w:t xml:space="preserve">0.435</w:t>
            </w:r>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C:\Users\saada\AppData\Local\Programs\Positron\resources\app\quarto\share\formats\docx\warning.png" id="60"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Read this before quoting any trend number</w:t>
            </w:r>
          </w:p>
        </w:tc>
      </w:tr>
      <w:tr>
        <w:trPr>
          <w:cantSplit/>
        </w:trPr>
        <w:tc>
          <w:tcPr>
            <w:tcMar>
              <w:top w:w="108" w:type="dxa"/>
              <w:bottom w:w="108" w:type="dxa"/>
            </w:tcMar>
          </w:tcPr>
          <w:p>
            <w:pPr>
              <w:pStyle w:val="BodyText"/>
            </w:pPr>
            <w:pPr>
              <w:spacing w:before="16" w:after="16"/>
            </w:pPr>
            <w:r>
              <w:t xml:space="preserve">Three qualifications apply to every trend result reported here and must appear alongside them in the manuscript. First, these are five independent annual cross-sections drawn from a partly changing hospital sample, not a longitudinal cohort; NRD patient linkage does not cross calendar years and hospital identifiers are reset each year. Second, and most importantly for this study, I21.A1 became effective on 1 October 2017 and was still diffusing into routine use across the study window, while high-sensitivity troponin assays were being adopted across US hospitals over the same period and the Fourth Universal Definition of Myocardial Infarction formalised the type 2 category in 2018. A rise in coded volume therefore reflects ASCERTAINMENT at least as much as incidence, and NO BIOLOGICAL TREND IS CLAIMED. Third, 2020 is anomalous because of pandemic admission avoidance, COVID-19 coding and capacity effects, and is examined in the leave-2020-out sensitivity analysis S2. The trend test enters discharge year as a continuous term replacing the year factor, which is a design-based test; Joinpoint and segmented regression on the annual point estimates are not appropriate because they ignore the survey design. Whether the association between precipitant class and readmission itself changed across the window was tested ONCE, as a single precipitant-by-year interaction (p 0.443), and not as five year-specific sets of estimates.</w:t>
            </w:r>
          </w:p>
          <w:p/>
        </w:tc>
      </w:tr>
    </w:tbl>
    <w:p>
      <w:pPr>
        <w:pStyle w:val="CaptionedFigure"/>
      </w:pPr>
      <w:r>
        <w:drawing>
          <wp:inline>
            <wp:extent cx="5334000" cy="3027405"/>
            <wp:effectExtent b="0" l="0" r="0" t="0"/>
            <wp:docPr descr="Figure S1. Temporal trends." title="" id="62" name="Picture"/>
            <a:graphic>
              <a:graphicData uri="http://schemas.openxmlformats.org/drawingml/2006/picture">
                <pic:pic>
                  <pic:nvPicPr>
                    <pic:cNvPr descr="C:/Users/saada/Documents/Biostatistics/AliFam-Nerds/RCOP_NRD/NRD_Saad_T2MI_Precip/figures/FigureS1_temporal_trends.png" id="63" name="Picture"/>
                    <pic:cNvPicPr>
                      <a:picLocks noChangeArrowheads="1" noChangeAspect="1"/>
                    </pic:cNvPicPr>
                  </pic:nvPicPr>
                  <pic:blipFill>
                    <a:blip r:embed="rId61"/>
                    <a:stretch>
                      <a:fillRect/>
                    </a:stretch>
                  </pic:blipFill>
                  <pic:spPr bwMode="auto">
                    <a:xfrm>
                      <a:off x="0" y="0"/>
                      <a:ext cx="5334000" cy="3027405"/>
                    </a:xfrm>
                    <a:prstGeom prst="rect">
                      <a:avLst/>
                    </a:prstGeom>
                    <a:noFill/>
                    <a:ln w="9525">
                      <a:noFill/>
                      <a:headEnd/>
                      <a:tailEnd/>
                    </a:ln>
                  </pic:spPr>
                </pic:pic>
              </a:graphicData>
            </a:graphic>
          </wp:inline>
        </w:drawing>
      </w:r>
    </w:p>
    <w:p>
      <w:pPr>
        <w:pStyle w:val="ImageCaption"/>
      </w:pPr>
      <w:r>
        <w:t xml:space="preserve">Figure S1. Temporal trends.</w:t>
      </w:r>
    </w:p>
    <w:p>
      <w:pPr>
        <w:pStyle w:val="CaptionedFigure"/>
      </w:pPr>
      <w:r>
        <w:drawing>
          <wp:inline>
            <wp:extent cx="5334000" cy="3088105"/>
            <wp:effectExtent b="0" l="0" r="0" t="0"/>
            <wp:docPr descr="Figure S2. Precipitating illness mix over time." title="" id="65" name="Picture"/>
            <a:graphic>
              <a:graphicData uri="http://schemas.openxmlformats.org/drawingml/2006/picture">
                <pic:pic>
                  <pic:nvPicPr>
                    <pic:cNvPr descr="C:/Users/saada/Documents/Biostatistics/AliFam-Nerds/RCOP_NRD/NRD_Saad_T2MI_Precip/figures/FigureS2_precipitant_mix.png" id="66" name="Picture"/>
                    <pic:cNvPicPr>
                      <a:picLocks noChangeArrowheads="1" noChangeAspect="1"/>
                    </pic:cNvPicPr>
                  </pic:nvPicPr>
                  <pic:blipFill>
                    <a:blip r:embed="rId64"/>
                    <a:stretch>
                      <a:fillRect/>
                    </a:stretch>
                  </pic:blipFill>
                  <pic:spPr bwMode="auto">
                    <a:xfrm>
                      <a:off x="0" y="0"/>
                      <a:ext cx="5334000" cy="3088105"/>
                    </a:xfrm>
                    <a:prstGeom prst="rect">
                      <a:avLst/>
                    </a:prstGeom>
                    <a:noFill/>
                    <a:ln w="9525">
                      <a:noFill/>
                      <a:headEnd/>
                      <a:tailEnd/>
                    </a:ln>
                  </pic:spPr>
                </pic:pic>
              </a:graphicData>
            </a:graphic>
          </wp:inline>
        </w:drawing>
      </w:r>
    </w:p>
    <w:p>
      <w:pPr>
        <w:pStyle w:val="ImageCaption"/>
      </w:pPr>
      <w:r>
        <w:t xml:space="preserve">Figure S2. Precipitating illness mix over time.</w:t>
      </w:r>
    </w:p>
    <w:bookmarkEnd w:id="67"/>
    <w:bookmarkStart w:id="71" w:name="sensitivity-analyses"/>
    <w:p>
      <w:pPr>
        <w:pStyle w:val="Heading1"/>
      </w:pPr>
      <w:r>
        <w:t xml:space="preserve">12. Sensitivity analyses</w:t>
      </w:r>
    </w:p>
    <w:p>
      <w:pPr>
        <w:pStyle w:val="TableCaption"/>
      </w:pPr>
      <w:r>
        <w:t xml:space="preserve">Table 9. Sensitivity analyses: joint test on the precipitant block and the pre-specified headline contrast.</w:t>
      </w:r>
    </w:p>
    <w:tbl>
      <w:tblPr>
        <w:tblStyle w:val="Table"/>
        <w:tblW w:type="pct" w:w="5000"/>
        <w:tblLayout w:type="fixed"/>
        <w:tblLook w:firstRow="1" w:lastRow="0" w:firstColumn="0" w:lastColumn="0" w:noHBand="0" w:noVBand="0" w:val="0020"/>
        <w:tblCaption w:val="Table 9. Sensitivity analyses: joint test on the precipitant block and the pre-specified headline contrast."/>
      </w:tblPr>
      <w:tblGrid>
        <w:gridCol w:w="1813"/>
        <w:gridCol w:w="2627"/>
        <w:gridCol w:w="2627"/>
        <w:gridCol w:w="148"/>
        <w:gridCol w:w="703"/>
      </w:tblGrid>
      <w:tr>
        <w:trPr>
          <w:tblHeader w:val="on"/>
        </w:trPr>
        <w:tc>
          <w:tcPr/>
          <w:p>
            <w:pPr>
              <w:pStyle w:val="Compact"/>
              <w:jc w:val="left"/>
            </w:pPr>
            <w:r>
              <w:t xml:space="preserve">Analysis</w:t>
            </w:r>
          </w:p>
        </w:tc>
        <w:tc>
          <w:tcPr/>
          <w:p>
            <w:pPr>
              <w:pStyle w:val="Compact"/>
              <w:jc w:val="left"/>
            </w:pPr>
            <w:r>
              <w:t xml:space="preserve">Joint Wald p (whole precipitant block)</w:t>
            </w:r>
          </w:p>
        </w:tc>
        <w:tc>
          <w:tcPr/>
          <w:p>
            <w:pPr>
              <w:pStyle w:val="Compact"/>
              <w:jc w:val="left"/>
            </w:pPr>
            <w:r>
              <w:t xml:space="preserve">Adjusted OR (95% CI)</w:t>
            </w:r>
          </w:p>
        </w:tc>
        <w:tc>
          <w:tcPr/>
          <w:p>
            <w:pPr>
              <w:pStyle w:val="Compact"/>
              <w:jc w:val="left"/>
            </w:pPr>
            <w:r>
              <w:t xml:space="preserve">p value</w:t>
            </w:r>
          </w:p>
        </w:tc>
        <w:tc>
          <w:tcPr/>
          <w:p>
            <w:pPr>
              <w:pStyle w:val="Compact"/>
              <w:jc w:val="left"/>
            </w:pPr>
            <w:r>
              <w:t xml:space="preserve">Adjusted risk difference, pp (95% CI)</w:t>
            </w:r>
          </w:p>
        </w:tc>
      </w:tr>
      <w:tr>
        <w:tc>
          <w:tcPr/>
          <w:p>
            <w:pPr>
              <w:pStyle w:val="Compact"/>
              <w:jc w:val="left"/>
            </w:pPr>
            <w:r>
              <w:t xml:space="preserve">Primary model (reference)</w:t>
            </w:r>
          </w:p>
        </w:tc>
        <w:tc>
          <w:tcPr/>
          <w:p>
            <w:pPr>
              <w:pStyle w:val="Compact"/>
              <w:jc w:val="left"/>
            </w:pPr>
            <w:r>
              <w:t xml:space="preserve">&lt;0.001</w:t>
            </w:r>
          </w:p>
        </w:tc>
        <w:tc>
          <w:tcPr/>
          <w:p>
            <w:pPr>
              <w:pStyle w:val="Compact"/>
              <w:jc w:val="left"/>
            </w:pPr>
            <w:r>
              <w:t xml:space="preserve">1.03 (1.02–1.05)</w:t>
            </w:r>
          </w:p>
        </w:tc>
        <w:tc>
          <w:tcPr/>
          <w:p>
            <w:pPr>
              <w:pStyle w:val="Compact"/>
              <w:jc w:val="left"/>
            </w:pPr>
            <w:r>
              <w:t xml:space="preserve">&lt;0.001</w:t>
            </w:r>
          </w:p>
        </w:tc>
        <w:tc>
          <w:tcPr/>
          <w:p>
            <w:pPr>
              <w:pStyle w:val="Compact"/>
              <w:jc w:val="left"/>
            </w:pPr>
            <w:r>
              <w:t xml:space="preserve">0.51 (0.24–0.78)</w:t>
            </w:r>
          </w:p>
        </w:tc>
      </w:tr>
      <w:tr>
        <w:tc>
          <w:tcPr/>
          <w:p>
            <w:pPr>
              <w:pStyle w:val="Compact"/>
              <w:jc w:val="left"/>
            </w:pPr>
            <w:r>
              <w:t xml:space="preserve">S1. First qualifying index admission per patient-year only</w:t>
            </w:r>
          </w:p>
        </w:tc>
        <w:tc>
          <w:tcPr/>
          <w:p>
            <w:pPr>
              <w:pStyle w:val="Compact"/>
              <w:jc w:val="left"/>
            </w:pPr>
            <w:r>
              <w:t xml:space="preserve">&lt;0.001</w:t>
            </w:r>
          </w:p>
        </w:tc>
        <w:tc>
          <w:tcPr/>
          <w:p>
            <w:pPr>
              <w:pStyle w:val="Compact"/>
              <w:jc w:val="left"/>
            </w:pPr>
            <w:r>
              <w:t xml:space="preserve">1.02 (1.00–1.04)</w:t>
            </w:r>
          </w:p>
        </w:tc>
        <w:tc>
          <w:tcPr/>
          <w:p>
            <w:pPr>
              <w:pStyle w:val="Compact"/>
              <w:jc w:val="left"/>
            </w:pPr>
            <w:r>
              <w:t xml:space="preserve">0.055</w:t>
            </w:r>
          </w:p>
        </w:tc>
        <w:tc>
          <w:tcPr/>
          <w:p>
            <w:pPr>
              <w:pStyle w:val="Compact"/>
              <w:jc w:val="left"/>
            </w:pPr>
            <w:r>
              <w:t xml:space="preserve">0.27 (-0.01–0.54)</w:t>
            </w:r>
          </w:p>
        </w:tc>
      </w:tr>
      <w:tr>
        <w:tc>
          <w:tcPr/>
          <w:p>
            <w:pPr>
              <w:pStyle w:val="Compact"/>
              <w:jc w:val="left"/>
            </w:pPr>
            <w:r>
              <w:t xml:space="preserve">S2/S7. Leave-2020-out (common S2; also the SAP B3.5 S7, exclude 2020)</w:t>
            </w:r>
          </w:p>
        </w:tc>
        <w:tc>
          <w:tcPr/>
          <w:p>
            <w:pPr>
              <w:pStyle w:val="Compact"/>
              <w:jc w:val="left"/>
            </w:pPr>
            <w:r>
              <w:t xml:space="preserve">&lt;0.001</w:t>
            </w:r>
          </w:p>
        </w:tc>
        <w:tc>
          <w:tcPr/>
          <w:p>
            <w:pPr>
              <w:pStyle w:val="Compact"/>
              <w:jc w:val="left"/>
            </w:pPr>
            <w:r>
              <w:t xml:space="preserve">1.03 (1.01–1.05)</w:t>
            </w:r>
          </w:p>
        </w:tc>
        <w:tc>
          <w:tcPr/>
          <w:p>
            <w:pPr>
              <w:pStyle w:val="Compact"/>
              <w:jc w:val="left"/>
            </w:pPr>
            <w:r>
              <w:t xml:space="preserve">0.004</w:t>
            </w:r>
          </w:p>
        </w:tc>
        <w:tc>
          <w:tcPr/>
          <w:p>
            <w:pPr>
              <w:pStyle w:val="Compact"/>
              <w:jc w:val="left"/>
            </w:pPr>
            <w:r>
              <w:t xml:space="preserve">0.45 (0.14–0.76)</w:t>
            </w:r>
          </w:p>
        </w:tc>
      </w:tr>
      <w:tr>
        <w:tc>
          <w:tcPr/>
          <w:p>
            <w:pPr>
              <w:pStyle w:val="Compact"/>
              <w:jc w:val="left"/>
            </w:pPr>
            <w:r>
              <w:t xml:space="preserve">S3. Propensity-score overlap-weighted (ATO), pairwise versus sepsis</w:t>
            </w:r>
          </w:p>
        </w:tc>
        <w:tc>
          <w:tcPr/>
          <w:p>
            <w:pPr>
              <w:pStyle w:val="Compact"/>
              <w:jc w:val="left"/>
            </w:pPr>
            <w:r>
              <w:t xml:space="preserve">Not applicable (pairwise estimator)</w:t>
            </w:r>
          </w:p>
        </w:tc>
        <w:tc>
          <w:tcPr/>
          <w:p>
            <w:pPr>
              <w:pStyle w:val="Compact"/>
              <w:jc w:val="left"/>
            </w:pPr>
            <w:r>
              <w:t xml:space="preserve">1.03 (1.01–1.05)</w:t>
            </w:r>
          </w:p>
        </w:tc>
        <w:tc>
          <w:tcPr/>
          <w:p>
            <w:pPr>
              <w:pStyle w:val="Compact"/>
              <w:jc w:val="left"/>
            </w:pPr>
            <w:r>
              <w:t xml:space="preserve">0.002</w:t>
            </w:r>
          </w:p>
        </w:tc>
        <w:tc>
          <w:tcPr/>
          <w:p>
            <w:pPr>
              <w:pStyle w:val="Compact"/>
              <w:jc w:val="left"/>
            </w:pPr>
            <w:r>
              <w:t xml:space="preserve">0.44 (0.16–0.72)</w:t>
            </w:r>
          </w:p>
        </w:tc>
      </w:tr>
      <w:tr>
        <w:tc>
          <w:tcPr/>
          <w:p>
            <w:pPr>
              <w:pStyle w:val="Compact"/>
              <w:jc w:val="left"/>
            </w:pPr>
            <w:r>
              <w:t xml:space="preserve">S4. Cox model, administrative censoring at day 30, full cohort</w:t>
            </w:r>
          </w:p>
        </w:tc>
        <w:tc>
          <w:tcPr/>
          <w:p>
            <w:pPr>
              <w:pStyle w:val="Compact"/>
              <w:jc w:val="left"/>
            </w:pPr>
            <w:r>
              <w:t xml:space="preserve">&lt;0.001</w:t>
            </w:r>
          </w:p>
        </w:tc>
        <w:tc>
          <w:tcPr/>
          <w:p>
            <w:pPr>
              <w:pStyle w:val="Compact"/>
              <w:jc w:val="left"/>
            </w:pPr>
            <w:r>
              <w:t xml:space="preserve">HR 1.03 (1.01–1.04)</w:t>
            </w:r>
          </w:p>
        </w:tc>
        <w:tc>
          <w:tcPr/>
          <w:p>
            <w:pPr>
              <w:pStyle w:val="Compact"/>
              <w:jc w:val="left"/>
            </w:pPr>
            <w:r>
              <w:t xml:space="preserve">&lt;0.001</w:t>
            </w:r>
          </w:p>
        </w:tc>
        <w:tc>
          <w:tcPr/>
          <w:p>
            <w:pPr>
              <w:pStyle w:val="Compact"/>
              <w:jc w:val="left"/>
            </w:pPr>
            <w:r>
              <w:t xml:space="preserve">Not applicable (hazard scale)</w:t>
            </w:r>
          </w:p>
        </w:tc>
      </w:tr>
      <w:tr>
        <w:tc>
          <w:tcPr/>
          <w:p>
            <w:pPr>
              <w:pStyle w:val="Compact"/>
              <w:jc w:val="left"/>
            </w:pPr>
            <w:r>
              <w:t xml:space="preserve">S5. I21.A1 as the principal diagnosis (DX1) only</w:t>
            </w:r>
          </w:p>
        </w:tc>
        <w:tc>
          <w:tcPr/>
          <w:p>
            <w:pPr>
              <w:pStyle w:val="Compact"/>
              <w:jc w:val="left"/>
            </w:pPr>
            <w:r>
              <w:t xml:space="preserve">&lt;0.001</w:t>
            </w:r>
          </w:p>
        </w:tc>
        <w:tc>
          <w:tcPr/>
          <w:p>
            <w:pPr>
              <w:pStyle w:val="Compact"/>
              <w:jc w:val="left"/>
            </w:pPr>
            <w:r>
              <w:t xml:space="preserve">0.97 (0.81–1.18)</w:t>
            </w:r>
          </w:p>
        </w:tc>
        <w:tc>
          <w:tcPr/>
          <w:p>
            <w:pPr>
              <w:pStyle w:val="Compact"/>
              <w:jc w:val="left"/>
            </w:pPr>
            <w:r>
              <w:t xml:space="preserve">0.784</w:t>
            </w:r>
          </w:p>
        </w:tc>
        <w:tc>
          <w:tcPr/>
          <w:p>
            <w:pPr>
              <w:pStyle w:val="Compact"/>
              <w:jc w:val="left"/>
            </w:pPr>
            <w:r>
              <w:t xml:space="preserve">-0.38 (-3.10–2.35)</w:t>
            </w:r>
          </w:p>
        </w:tc>
      </w:tr>
      <w:tr>
        <w:tc>
          <w:tcPr/>
          <w:p>
            <w:pPr>
              <w:pStyle w:val="Compact"/>
              <w:jc w:val="left"/>
            </w:pPr>
            <w:r>
              <w:t xml:space="preserve">S6. Present-on-admission-restricted precipitant assignment</w:t>
            </w:r>
          </w:p>
        </w:tc>
        <w:tc>
          <w:tcPr/>
          <w:p>
            <w:pPr>
              <w:pStyle w:val="Compact"/>
              <w:jc w:val="left"/>
            </w:pPr>
            <w:r>
              <w:t xml:space="preserve">Not estimable: no present-on-admission indicator exists in any NRD data year 2016-2022</w:t>
            </w:r>
          </w:p>
        </w:tc>
        <w:tc>
          <w:tcPr/>
          <w:p>
            <w:pPr>
              <w:pStyle w:val="Compact"/>
              <w:jc w:val="left"/>
            </w:pPr>
            <w:r>
              <w:t xml:space="preserve">Not estimable: no present-on-admission indicator exists in any NRD data year 2016-2022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S6b. Precipitant assigned from the principal diagnosis only (closest estimable substitute for S6)</w:t>
            </w:r>
          </w:p>
        </w:tc>
        <w:tc>
          <w:tcPr/>
          <w:p>
            <w:pPr>
              <w:pStyle w:val="Compact"/>
              <w:jc w:val="left"/>
            </w:pPr>
            <w:r>
              <w:t xml:space="preserve">&lt;0.001</w:t>
            </w:r>
          </w:p>
        </w:tc>
        <w:tc>
          <w:tcPr/>
          <w:p>
            <w:pPr>
              <w:pStyle w:val="Compact"/>
              <w:jc w:val="left"/>
            </w:pPr>
            <w:r>
              <w:t xml:space="preserve">0.95 (0.92–0.97)</w:t>
            </w:r>
          </w:p>
        </w:tc>
        <w:tc>
          <w:tcPr/>
          <w:p>
            <w:pPr>
              <w:pStyle w:val="Compact"/>
              <w:jc w:val="left"/>
            </w:pPr>
            <w:r>
              <w:t xml:space="preserve">&lt;0.001</w:t>
            </w:r>
          </w:p>
        </w:tc>
        <w:tc>
          <w:tcPr/>
          <w:p>
            <w:pPr>
              <w:pStyle w:val="Compact"/>
              <w:jc w:val="left"/>
            </w:pPr>
            <w:r>
              <w:t xml:space="preserve">-0.84 (-1.27–-0.41)</w:t>
            </w:r>
          </w:p>
        </w:tc>
      </w:tr>
      <w:tr>
        <w:tc>
          <w:tcPr/>
          <w:p>
            <w:pPr>
              <w:pStyle w:val="Compact"/>
              <w:jc w:val="left"/>
            </w:pPr>
            <w:r>
              <w:t xml:space="preserve">DXF. Type 2 MI ascertained from I10_DX1-I10_DX30 only (uniform field depth)</w:t>
            </w:r>
          </w:p>
        </w:tc>
        <w:tc>
          <w:tcPr/>
          <w:p>
            <w:pPr>
              <w:pStyle w:val="Compact"/>
              <w:jc w:val="left"/>
            </w:pPr>
            <w:r>
              <w:t xml:space="preserve">Not applicable: the year audit shows 40 diagnosis fields populated in every year 2018-2022, so the SAP A6.6 condition for this row is not met</w:t>
            </w:r>
          </w:p>
        </w:tc>
        <w:tc>
          <w:tcPr/>
          <w:p>
            <w:pPr>
              <w:pStyle w:val="Compact"/>
              <w:jc w:val="left"/>
            </w:pPr>
            <w:r>
              <w:t xml:space="preserve">Not applicable: the year audit shows 40 diagnosis fields populated in every year 2018-2022, so the SAP A6.6 condition for this row is not met</w:t>
            </w:r>
          </w:p>
        </w:tc>
        <w:tc>
          <w:tcPr/>
          <w:p>
            <w:pPr>
              <w:pStyle w:val="Compact"/>
              <w:jc w:val="left"/>
            </w:pPr>
            <w:r>
              <w:t xml:space="preserve">—</w:t>
            </w:r>
          </w:p>
        </w:tc>
        <w:tc>
          <w:tcPr/>
          <w:p>
            <w:pPr>
              <w:pStyle w:val="Compact"/>
              <w:jc w:val="left"/>
            </w:pPr>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Sensitivity analyses are consistency checks and are NOT corrected for multiplicity; they are judged on whether the point estimate moves, not on whether a p-value crosses 0.05. Every subset was taken with subset() on the survey design constructed ONCE on the full cohort. Each row reports the design-based joint Wald test across the whole precipitant block together with the pre-specified headline contrast (Tachyarrhythmia versus Sepsis or severe infection); all seven contrasts under every analysis are in Table 9b. S6, the PRESENT-ON-ADMISSION-RESTRICTED precipitant assignment pre-specified in SAP B3.5, is NOT ESTIMABLE: no NRD file in the 2016-2022 series carries a present-on-admission indicator. It is reported as such, and S6b (assignment from the principal diagnosis only) is shown beside it as the closest estimable substitute. The SAP’s study-specific S7 (exclude 2020) is the common leave-2020-out analysis and is reported once, as S2/S7. Overlap weighting is applied PAIRWISE; each estimate is the average treatment effect in the overlap population of that pair, with the propensity score fitted within the pair and the outcome model refitted on the pair’s subset of the full-cohort design re-weighted by the overlap weight. The design-based variance treats the estimated weights as fixed. Estimates derived from any class-by-outcome cell with fewer than 11 unweighted discharges are suppressed. The Cox model in S4 is a sensitivity analysis only, fitted on the full cohort with non-events retained and censored at day 30. The Cox design matrix was of full rank and required no further removals.</w:t>
            </w:r>
          </w:p>
        </w:tc>
      </w:tr>
    </w:tbl>
    <w:p>
      <w:pPr>
        <w:pStyle w:val="TableCaption"/>
      </w:pPr>
      <w:r>
        <w:t xml:space="preserve">Table 9b. All seven contrasts under every sensitivity analysis (supplement).</w:t>
      </w:r>
    </w:p>
    <w:tbl>
      <w:tblPr>
        <w:tblStyle w:val="Table"/>
        <w:tblW w:type="pct" w:w="5000"/>
        <w:tblLayout w:type="fixed"/>
        <w:tblLook w:firstRow="1" w:lastRow="0" w:firstColumn="0" w:lastColumn="0" w:noHBand="0" w:noVBand="0" w:val="0020"/>
        <w:tblCaption w:val="Table 9b. All seven contrasts under every sensitivity analysis (supplement)."/>
      </w:tblPr>
      <w:tblGrid>
        <w:gridCol w:w="4943"/>
        <w:gridCol w:w="1916"/>
        <w:gridCol w:w="1059"/>
      </w:tblGrid>
      <w:tr>
        <w:trPr>
          <w:tblHeader w:val="on"/>
        </w:trPr>
        <w:tc>
          <w:tcPr/>
          <w:p>
            <w:pPr>
              <w:pStyle w:val="Compact"/>
              <w:jc w:val="left"/>
            </w:pPr>
            <w:r>
              <w:t xml:space="preserve">Analysis</w:t>
            </w:r>
          </w:p>
        </w:tc>
        <w:tc>
          <w:tcPr/>
          <w:p>
            <w:pPr>
              <w:pStyle w:val="Compact"/>
              <w:jc w:val="left"/>
            </w:pPr>
            <w:r>
              <w:t xml:space="preserve">Precipitant class</w:t>
            </w:r>
          </w:p>
        </w:tc>
        <w:tc>
          <w:tcPr/>
          <w:p>
            <w:pPr>
              <w:pStyle w:val="Compact"/>
              <w:jc w:val="left"/>
            </w:pPr>
            <w:r>
              <w:t xml:space="preserve">Adjusted OR (95% CI)</w:t>
            </w:r>
          </w:p>
        </w:tc>
      </w:tr>
      <w:tr>
        <w:tc>
          <w:tcPr/>
          <w:p>
            <w:pPr>
              <w:pStyle w:val="Compact"/>
              <w:jc w:val="left"/>
            </w:pPr>
            <w:r>
              <w:t xml:space="preserve">Primary model (reference)</w:t>
            </w:r>
          </w:p>
        </w:tc>
        <w:tc>
          <w:tcPr/>
          <w:p>
            <w:pPr>
              <w:pStyle w:val="Compact"/>
              <w:jc w:val="left"/>
            </w:pPr>
            <w:r>
              <w:t xml:space="preserve">Acute GI bleed or blood-loss anaemia</w:t>
            </w:r>
          </w:p>
        </w:tc>
        <w:tc>
          <w:tcPr/>
          <w:p>
            <w:pPr>
              <w:pStyle w:val="Compact"/>
              <w:jc w:val="left"/>
            </w:pPr>
            <w:r>
              <w:t xml:space="preserve">1.12 (1.09–1.14)</w:t>
            </w:r>
          </w:p>
        </w:tc>
      </w:tr>
      <w:tr>
        <w:tc>
          <w:tcPr/>
          <w:p>
            <w:pPr>
              <w:pStyle w:val="Compact"/>
              <w:jc w:val="left"/>
            </w:pPr>
            <w:r>
              <w:t xml:space="preserve">Primary model (reference)</w:t>
            </w:r>
          </w:p>
        </w:tc>
        <w:tc>
          <w:tcPr/>
          <w:p>
            <w:pPr>
              <w:pStyle w:val="Compact"/>
              <w:jc w:val="left"/>
            </w:pPr>
            <w:r>
              <w:t xml:space="preserve">Hypertensive emergency</w:t>
            </w:r>
          </w:p>
        </w:tc>
        <w:tc>
          <w:tcPr/>
          <w:p>
            <w:pPr>
              <w:pStyle w:val="Compact"/>
              <w:jc w:val="left"/>
            </w:pPr>
            <w:r>
              <w:t xml:space="preserve">0.79 (0.77–0.82)</w:t>
            </w:r>
          </w:p>
        </w:tc>
      </w:tr>
      <w:tr>
        <w:tc>
          <w:tcPr/>
          <w:p>
            <w:pPr>
              <w:pStyle w:val="Compact"/>
              <w:jc w:val="left"/>
            </w:pPr>
            <w:r>
              <w:t xml:space="preserve">Primary model (reference)</w:t>
            </w:r>
          </w:p>
        </w:tc>
        <w:tc>
          <w:tcPr/>
          <w:p>
            <w:pPr>
              <w:pStyle w:val="Compact"/>
              <w:jc w:val="left"/>
            </w:pPr>
            <w:r>
              <w:t xml:space="preserve">Tachyarrhythmia</w:t>
            </w:r>
          </w:p>
        </w:tc>
        <w:tc>
          <w:tcPr/>
          <w:p>
            <w:pPr>
              <w:pStyle w:val="Compact"/>
              <w:jc w:val="left"/>
            </w:pPr>
            <w:r>
              <w:t xml:space="preserve">1.03 (1.02–1.05)</w:t>
            </w:r>
          </w:p>
        </w:tc>
      </w:tr>
      <w:tr>
        <w:tc>
          <w:tcPr/>
          <w:p>
            <w:pPr>
              <w:pStyle w:val="Compact"/>
              <w:jc w:val="left"/>
            </w:pPr>
            <w:r>
              <w:t xml:space="preserve">Primary model (reference)</w:t>
            </w:r>
          </w:p>
        </w:tc>
        <w:tc>
          <w:tcPr/>
          <w:p>
            <w:pPr>
              <w:pStyle w:val="Compact"/>
              <w:jc w:val="left"/>
            </w:pPr>
            <w:r>
              <w:t xml:space="preserve">Acute respiratory failure</w:t>
            </w:r>
          </w:p>
        </w:tc>
        <w:tc>
          <w:tcPr/>
          <w:p>
            <w:pPr>
              <w:pStyle w:val="Compact"/>
              <w:jc w:val="left"/>
            </w:pPr>
            <w:r>
              <w:t xml:space="preserve">0.88 (0.86–0.90)</w:t>
            </w:r>
          </w:p>
        </w:tc>
      </w:tr>
      <w:tr>
        <w:tc>
          <w:tcPr/>
          <w:p>
            <w:pPr>
              <w:pStyle w:val="Compact"/>
              <w:jc w:val="left"/>
            </w:pPr>
            <w:r>
              <w:t xml:space="preserve">Primary model (reference)</w:t>
            </w:r>
          </w:p>
        </w:tc>
        <w:tc>
          <w:tcPr/>
          <w:p>
            <w:pPr>
              <w:pStyle w:val="Compact"/>
              <w:jc w:val="left"/>
            </w:pPr>
            <w:r>
              <w:t xml:space="preserve">Hypovolaemia or non-cardiogenic shock</w:t>
            </w:r>
          </w:p>
        </w:tc>
        <w:tc>
          <w:tcPr/>
          <w:p>
            <w:pPr>
              <w:pStyle w:val="Compact"/>
              <w:jc w:val="left"/>
            </w:pPr>
            <w:r>
              <w:t xml:space="preserve">0.92 (0.89–0.95)</w:t>
            </w:r>
          </w:p>
        </w:tc>
      </w:tr>
      <w:tr>
        <w:tc>
          <w:tcPr/>
          <w:p>
            <w:pPr>
              <w:pStyle w:val="Compact"/>
              <w:jc w:val="left"/>
            </w:pPr>
            <w:r>
              <w:t xml:space="preserve">Primary model (reference)</w:t>
            </w:r>
          </w:p>
        </w:tc>
        <w:tc>
          <w:tcPr/>
          <w:p>
            <w:pPr>
              <w:pStyle w:val="Compact"/>
              <w:jc w:val="left"/>
            </w:pPr>
            <w:r>
              <w:t xml:space="preserve">Perioperative</w:t>
            </w:r>
          </w:p>
        </w:tc>
        <w:tc>
          <w:tcPr/>
          <w:p>
            <w:pPr>
              <w:pStyle w:val="Compact"/>
              <w:jc w:val="left"/>
            </w:pPr>
            <w:r>
              <w:t xml:space="preserve">0.94 (0.89–0.99)</w:t>
            </w:r>
          </w:p>
        </w:tc>
      </w:tr>
      <w:tr>
        <w:tc>
          <w:tcPr/>
          <w:p>
            <w:pPr>
              <w:pStyle w:val="Compact"/>
              <w:jc w:val="left"/>
            </w:pPr>
            <w:r>
              <w:t xml:space="preserve">Primary model (reference)</w:t>
            </w:r>
          </w:p>
        </w:tc>
        <w:tc>
          <w:tcPr/>
          <w:p>
            <w:pPr>
              <w:pStyle w:val="Compact"/>
              <w:jc w:val="left"/>
            </w:pPr>
            <w:r>
              <w:t xml:space="preserve">None of the above</w:t>
            </w:r>
          </w:p>
        </w:tc>
        <w:tc>
          <w:tcPr/>
          <w:p>
            <w:pPr>
              <w:pStyle w:val="Compact"/>
              <w:jc w:val="left"/>
            </w:pPr>
            <w:r>
              <w:t xml:space="preserve">0.93 (0.91–0.95)</w:t>
            </w:r>
          </w:p>
        </w:tc>
      </w:tr>
      <w:tr>
        <w:tc>
          <w:tcPr/>
          <w:p>
            <w:pPr>
              <w:pStyle w:val="Compact"/>
              <w:jc w:val="left"/>
            </w:pPr>
            <w:r>
              <w:t xml:space="preserve">S1. First qualifying index admission per patient-year only</w:t>
            </w:r>
          </w:p>
        </w:tc>
        <w:tc>
          <w:tcPr/>
          <w:p>
            <w:pPr>
              <w:pStyle w:val="Compact"/>
              <w:jc w:val="left"/>
            </w:pPr>
            <w:r>
              <w:t xml:space="preserve">Acute GI bleed or blood-loss anaemia</w:t>
            </w:r>
          </w:p>
        </w:tc>
        <w:tc>
          <w:tcPr/>
          <w:p>
            <w:pPr>
              <w:pStyle w:val="Compact"/>
              <w:jc w:val="left"/>
            </w:pPr>
            <w:r>
              <w:t xml:space="preserve">1.12 (1.09–1.14)</w:t>
            </w:r>
          </w:p>
        </w:tc>
      </w:tr>
      <w:tr>
        <w:tc>
          <w:tcPr/>
          <w:p>
            <w:pPr>
              <w:pStyle w:val="Compact"/>
              <w:jc w:val="left"/>
            </w:pPr>
            <w:r>
              <w:t xml:space="preserve">S1. First qualifying index admission per patient-year only</w:t>
            </w:r>
          </w:p>
        </w:tc>
        <w:tc>
          <w:tcPr/>
          <w:p>
            <w:pPr>
              <w:pStyle w:val="Compact"/>
              <w:jc w:val="left"/>
            </w:pPr>
            <w:r>
              <w:t xml:space="preserve">Hypertensive emergency</w:t>
            </w:r>
          </w:p>
        </w:tc>
        <w:tc>
          <w:tcPr/>
          <w:p>
            <w:pPr>
              <w:pStyle w:val="Compact"/>
              <w:jc w:val="left"/>
            </w:pPr>
            <w:r>
              <w:t xml:space="preserve">0.78 (0.75–0.80)</w:t>
            </w:r>
          </w:p>
        </w:tc>
      </w:tr>
      <w:tr>
        <w:tc>
          <w:tcPr/>
          <w:p>
            <w:pPr>
              <w:pStyle w:val="Compact"/>
              <w:jc w:val="left"/>
            </w:pPr>
            <w:r>
              <w:t xml:space="preserve">S1. First qualifying index admission per patient-year only</w:t>
            </w:r>
          </w:p>
        </w:tc>
        <w:tc>
          <w:tcPr/>
          <w:p>
            <w:pPr>
              <w:pStyle w:val="Compact"/>
              <w:jc w:val="left"/>
            </w:pPr>
            <w:r>
              <w:t xml:space="preserve">Tachyarrhythmia</w:t>
            </w:r>
          </w:p>
        </w:tc>
        <w:tc>
          <w:tcPr/>
          <w:p>
            <w:pPr>
              <w:pStyle w:val="Compact"/>
              <w:jc w:val="left"/>
            </w:pPr>
            <w:r>
              <w:t xml:space="preserve">1.02 (1.00–1.04)</w:t>
            </w:r>
          </w:p>
        </w:tc>
      </w:tr>
      <w:tr>
        <w:tc>
          <w:tcPr/>
          <w:p>
            <w:pPr>
              <w:pStyle w:val="Compact"/>
              <w:jc w:val="left"/>
            </w:pPr>
            <w:r>
              <w:t xml:space="preserve">S1. First qualifying index admission per patient-year only</w:t>
            </w:r>
          </w:p>
        </w:tc>
        <w:tc>
          <w:tcPr/>
          <w:p>
            <w:pPr>
              <w:pStyle w:val="Compact"/>
              <w:jc w:val="left"/>
            </w:pPr>
            <w:r>
              <w:t xml:space="preserve">Acute respiratory failure</w:t>
            </w:r>
          </w:p>
        </w:tc>
        <w:tc>
          <w:tcPr/>
          <w:p>
            <w:pPr>
              <w:pStyle w:val="Compact"/>
              <w:jc w:val="left"/>
            </w:pPr>
            <w:r>
              <w:t xml:space="preserve">0.88 (0.86–0.90)</w:t>
            </w:r>
          </w:p>
        </w:tc>
      </w:tr>
      <w:tr>
        <w:tc>
          <w:tcPr/>
          <w:p>
            <w:pPr>
              <w:pStyle w:val="Compact"/>
              <w:jc w:val="left"/>
            </w:pPr>
            <w:r>
              <w:t xml:space="preserve">S1. First qualifying index admission per patient-year only</w:t>
            </w:r>
          </w:p>
        </w:tc>
        <w:tc>
          <w:tcPr/>
          <w:p>
            <w:pPr>
              <w:pStyle w:val="Compact"/>
              <w:jc w:val="left"/>
            </w:pPr>
            <w:r>
              <w:t xml:space="preserve">Hypovolaemia or non-cardiogenic shock</w:t>
            </w:r>
          </w:p>
        </w:tc>
        <w:tc>
          <w:tcPr/>
          <w:p>
            <w:pPr>
              <w:pStyle w:val="Compact"/>
              <w:jc w:val="left"/>
            </w:pPr>
            <w:r>
              <w:t xml:space="preserve">0.91 (0.88–0.94)</w:t>
            </w:r>
          </w:p>
        </w:tc>
      </w:tr>
      <w:tr>
        <w:tc>
          <w:tcPr/>
          <w:p>
            <w:pPr>
              <w:pStyle w:val="Compact"/>
              <w:jc w:val="left"/>
            </w:pPr>
            <w:r>
              <w:t xml:space="preserve">S1. First qualifying index admission per patient-year only</w:t>
            </w:r>
          </w:p>
        </w:tc>
        <w:tc>
          <w:tcPr/>
          <w:p>
            <w:pPr>
              <w:pStyle w:val="Compact"/>
              <w:jc w:val="left"/>
            </w:pPr>
            <w:r>
              <w:t xml:space="preserve">Perioperative</w:t>
            </w:r>
          </w:p>
        </w:tc>
        <w:tc>
          <w:tcPr/>
          <w:p>
            <w:pPr>
              <w:pStyle w:val="Compact"/>
              <w:jc w:val="left"/>
            </w:pPr>
            <w:r>
              <w:t xml:space="preserve">0.93 (0.88–0.98)</w:t>
            </w:r>
          </w:p>
        </w:tc>
      </w:tr>
      <w:tr>
        <w:tc>
          <w:tcPr/>
          <w:p>
            <w:pPr>
              <w:pStyle w:val="Compact"/>
              <w:jc w:val="left"/>
            </w:pPr>
            <w:r>
              <w:t xml:space="preserve">S1. First qualifying index admission per patient-year only</w:t>
            </w:r>
          </w:p>
        </w:tc>
        <w:tc>
          <w:tcPr/>
          <w:p>
            <w:pPr>
              <w:pStyle w:val="Compact"/>
              <w:jc w:val="left"/>
            </w:pPr>
            <w:r>
              <w:t xml:space="preserve">None of the above</w:t>
            </w:r>
          </w:p>
        </w:tc>
        <w:tc>
          <w:tcPr/>
          <w:p>
            <w:pPr>
              <w:pStyle w:val="Compact"/>
              <w:jc w:val="left"/>
            </w:pPr>
            <w:r>
              <w:t xml:space="preserve">0.92 (0.90–0.93)</w:t>
            </w:r>
          </w:p>
        </w:tc>
      </w:tr>
      <w:tr>
        <w:tc>
          <w:tcPr/>
          <w:p>
            <w:pPr>
              <w:pStyle w:val="Compact"/>
              <w:jc w:val="left"/>
            </w:pPr>
            <w:r>
              <w:t xml:space="preserve">S2/S7. Leave-2020-out (common S2; also the SAP B3.5 S7, exclude 2020)</w:t>
            </w:r>
          </w:p>
        </w:tc>
        <w:tc>
          <w:tcPr/>
          <w:p>
            <w:pPr>
              <w:pStyle w:val="Compact"/>
              <w:jc w:val="left"/>
            </w:pPr>
            <w:r>
              <w:t xml:space="preserve">Acute GI bleed or blood-loss anaemia</w:t>
            </w:r>
          </w:p>
        </w:tc>
        <w:tc>
          <w:tcPr/>
          <w:p>
            <w:pPr>
              <w:pStyle w:val="Compact"/>
              <w:jc w:val="left"/>
            </w:pPr>
            <w:r>
              <w:t xml:space="preserve">1.11 (1.08–1.14)</w:t>
            </w:r>
          </w:p>
        </w:tc>
      </w:tr>
      <w:tr>
        <w:tc>
          <w:tcPr/>
          <w:p>
            <w:pPr>
              <w:pStyle w:val="Compact"/>
              <w:jc w:val="left"/>
            </w:pPr>
            <w:r>
              <w:t xml:space="preserve">S2/S7. Leave-2020-out (common S2; also the SAP B3.5 S7, exclude 2020)</w:t>
            </w:r>
          </w:p>
        </w:tc>
        <w:tc>
          <w:tcPr/>
          <w:p>
            <w:pPr>
              <w:pStyle w:val="Compact"/>
              <w:jc w:val="left"/>
            </w:pPr>
            <w:r>
              <w:t xml:space="preserve">Hypertensive emergency</w:t>
            </w:r>
          </w:p>
        </w:tc>
        <w:tc>
          <w:tcPr/>
          <w:p>
            <w:pPr>
              <w:pStyle w:val="Compact"/>
              <w:jc w:val="left"/>
            </w:pPr>
            <w:r>
              <w:t xml:space="preserve">0.79 (0.76–0.81)</w:t>
            </w:r>
          </w:p>
        </w:tc>
      </w:tr>
      <w:tr>
        <w:tc>
          <w:tcPr/>
          <w:p>
            <w:pPr>
              <w:pStyle w:val="Compact"/>
              <w:jc w:val="left"/>
            </w:pPr>
            <w:r>
              <w:t xml:space="preserve">S2/S7. Leave-2020-out (common S2; also the SAP B3.5 S7, exclude 2020)</w:t>
            </w:r>
          </w:p>
        </w:tc>
        <w:tc>
          <w:tcPr/>
          <w:p>
            <w:pPr>
              <w:pStyle w:val="Compact"/>
              <w:jc w:val="left"/>
            </w:pPr>
            <w:r>
              <w:t xml:space="preserve">Tachyarrhythmia</w:t>
            </w:r>
          </w:p>
        </w:tc>
        <w:tc>
          <w:tcPr/>
          <w:p>
            <w:pPr>
              <w:pStyle w:val="Compact"/>
              <w:jc w:val="left"/>
            </w:pPr>
            <w:r>
              <w:t xml:space="preserve">1.03 (1.01–1.05)</w:t>
            </w:r>
          </w:p>
        </w:tc>
      </w:tr>
      <w:tr>
        <w:tc>
          <w:tcPr/>
          <w:p>
            <w:pPr>
              <w:pStyle w:val="Compact"/>
              <w:jc w:val="left"/>
            </w:pPr>
            <w:r>
              <w:t xml:space="preserve">S2/S7. Leave-2020-out (common S2; also the SAP B3.5 S7, exclude 2020)</w:t>
            </w:r>
          </w:p>
        </w:tc>
        <w:tc>
          <w:tcPr/>
          <w:p>
            <w:pPr>
              <w:pStyle w:val="Compact"/>
              <w:jc w:val="left"/>
            </w:pPr>
            <w:r>
              <w:t xml:space="preserve">Acute respiratory failure</w:t>
            </w:r>
          </w:p>
        </w:tc>
        <w:tc>
          <w:tcPr/>
          <w:p>
            <w:pPr>
              <w:pStyle w:val="Compact"/>
              <w:jc w:val="left"/>
            </w:pPr>
            <w:r>
              <w:t xml:space="preserve">0.88 (0.86–0.90)</w:t>
            </w:r>
          </w:p>
        </w:tc>
      </w:tr>
      <w:tr>
        <w:tc>
          <w:tcPr/>
          <w:p>
            <w:pPr>
              <w:pStyle w:val="Compact"/>
              <w:jc w:val="left"/>
            </w:pPr>
            <w:r>
              <w:t xml:space="preserve">S2/S7. Leave-2020-out (common S2; also the SAP B3.5 S7, exclude 2020)</w:t>
            </w:r>
          </w:p>
        </w:tc>
        <w:tc>
          <w:tcPr/>
          <w:p>
            <w:pPr>
              <w:pStyle w:val="Compact"/>
              <w:jc w:val="left"/>
            </w:pPr>
            <w:r>
              <w:t xml:space="preserve">Hypovolaemia or non-cardiogenic shock</w:t>
            </w:r>
          </w:p>
        </w:tc>
        <w:tc>
          <w:tcPr/>
          <w:p>
            <w:pPr>
              <w:pStyle w:val="Compact"/>
              <w:jc w:val="left"/>
            </w:pPr>
            <w:r>
              <w:t xml:space="preserve">0.90 (0.87–0.93)</w:t>
            </w:r>
          </w:p>
        </w:tc>
      </w:tr>
      <w:tr>
        <w:tc>
          <w:tcPr/>
          <w:p>
            <w:pPr>
              <w:pStyle w:val="Compact"/>
              <w:jc w:val="left"/>
            </w:pPr>
            <w:r>
              <w:t xml:space="preserve">S2/S7. Leave-2020-out (common S2; also the SAP B3.5 S7, exclude 2020)</w:t>
            </w:r>
          </w:p>
        </w:tc>
        <w:tc>
          <w:tcPr/>
          <w:p>
            <w:pPr>
              <w:pStyle w:val="Compact"/>
              <w:jc w:val="left"/>
            </w:pPr>
            <w:r>
              <w:t xml:space="preserve">Perioperative</w:t>
            </w:r>
          </w:p>
        </w:tc>
        <w:tc>
          <w:tcPr/>
          <w:p>
            <w:pPr>
              <w:pStyle w:val="Compact"/>
              <w:jc w:val="left"/>
            </w:pPr>
            <w:r>
              <w:t xml:space="preserve">0.94 (0.89–1.00)</w:t>
            </w:r>
          </w:p>
        </w:tc>
      </w:tr>
      <w:tr>
        <w:tc>
          <w:tcPr/>
          <w:p>
            <w:pPr>
              <w:pStyle w:val="Compact"/>
              <w:jc w:val="left"/>
            </w:pPr>
            <w:r>
              <w:t xml:space="preserve">S2/S7. Leave-2020-out (common S2; also the SAP B3.5 S7, exclude 2020)</w:t>
            </w:r>
          </w:p>
        </w:tc>
        <w:tc>
          <w:tcPr/>
          <w:p>
            <w:pPr>
              <w:pStyle w:val="Compact"/>
              <w:jc w:val="left"/>
            </w:pPr>
            <w:r>
              <w:t xml:space="preserve">None of the above</w:t>
            </w:r>
          </w:p>
        </w:tc>
        <w:tc>
          <w:tcPr/>
          <w:p>
            <w:pPr>
              <w:pStyle w:val="Compact"/>
              <w:jc w:val="left"/>
            </w:pPr>
            <w:r>
              <w:t xml:space="preserve">0.93 (0.91–0.95)</w:t>
            </w:r>
          </w:p>
        </w:tc>
      </w:tr>
      <w:tr>
        <w:tc>
          <w:tcPr/>
          <w:p>
            <w:pPr>
              <w:pStyle w:val="Compact"/>
              <w:jc w:val="left"/>
            </w:pPr>
            <w:r>
              <w:t xml:space="preserve">S5. I21.A1 as the principal diagnosis (DX1) only</w:t>
            </w:r>
          </w:p>
        </w:tc>
        <w:tc>
          <w:tcPr/>
          <w:p>
            <w:pPr>
              <w:pStyle w:val="Compact"/>
              <w:jc w:val="left"/>
            </w:pPr>
            <w:r>
              <w:t xml:space="preserve">Acute GI bleed or blood-loss anaemia</w:t>
            </w:r>
          </w:p>
        </w:tc>
        <w:tc>
          <w:tcPr/>
          <w:p>
            <w:pPr>
              <w:pStyle w:val="Compact"/>
              <w:jc w:val="left"/>
            </w:pPr>
            <w:r>
              <w:t xml:space="preserve">1.24 (1.00–1.53)</w:t>
            </w:r>
          </w:p>
        </w:tc>
      </w:tr>
      <w:tr>
        <w:tc>
          <w:tcPr/>
          <w:p>
            <w:pPr>
              <w:pStyle w:val="Compact"/>
              <w:jc w:val="left"/>
            </w:pPr>
            <w:r>
              <w:t xml:space="preserve">S5. I21.A1 as the principal diagnosis (DX1) only</w:t>
            </w:r>
          </w:p>
        </w:tc>
        <w:tc>
          <w:tcPr/>
          <w:p>
            <w:pPr>
              <w:pStyle w:val="Compact"/>
              <w:jc w:val="left"/>
            </w:pPr>
            <w:r>
              <w:t xml:space="preserve">Hypertensive emergency</w:t>
            </w:r>
          </w:p>
        </w:tc>
        <w:tc>
          <w:tcPr/>
          <w:p>
            <w:pPr>
              <w:pStyle w:val="Compact"/>
              <w:jc w:val="left"/>
            </w:pPr>
            <w:r>
              <w:t xml:space="preserve">0.82 (0.67–1.01)</w:t>
            </w:r>
          </w:p>
        </w:tc>
      </w:tr>
      <w:tr>
        <w:tc>
          <w:tcPr/>
          <w:p>
            <w:pPr>
              <w:pStyle w:val="Compact"/>
              <w:jc w:val="left"/>
            </w:pPr>
            <w:r>
              <w:t xml:space="preserve">S5. I21.A1 as the principal diagnosis (DX1) only</w:t>
            </w:r>
          </w:p>
        </w:tc>
        <w:tc>
          <w:tcPr/>
          <w:p>
            <w:pPr>
              <w:pStyle w:val="Compact"/>
              <w:jc w:val="left"/>
            </w:pPr>
            <w:r>
              <w:t xml:space="preserve">Tachyarrhythmia</w:t>
            </w:r>
          </w:p>
        </w:tc>
        <w:tc>
          <w:tcPr/>
          <w:p>
            <w:pPr>
              <w:pStyle w:val="Compact"/>
              <w:jc w:val="left"/>
            </w:pPr>
            <w:r>
              <w:t xml:space="preserve">0.97 (0.81–1.18)</w:t>
            </w:r>
          </w:p>
        </w:tc>
      </w:tr>
      <w:tr>
        <w:tc>
          <w:tcPr/>
          <w:p>
            <w:pPr>
              <w:pStyle w:val="Compact"/>
              <w:jc w:val="left"/>
            </w:pPr>
            <w:r>
              <w:t xml:space="preserve">S5. I21.A1 as the principal diagnosis (DX1) only</w:t>
            </w:r>
          </w:p>
        </w:tc>
        <w:tc>
          <w:tcPr/>
          <w:p>
            <w:pPr>
              <w:pStyle w:val="Compact"/>
              <w:jc w:val="left"/>
            </w:pPr>
            <w:r>
              <w:t xml:space="preserve">Acute respiratory failure</w:t>
            </w:r>
          </w:p>
        </w:tc>
        <w:tc>
          <w:tcPr/>
          <w:p>
            <w:pPr>
              <w:pStyle w:val="Compact"/>
              <w:jc w:val="left"/>
            </w:pPr>
            <w:r>
              <w:t xml:space="preserve">0.91 (0.74–1.12)</w:t>
            </w:r>
          </w:p>
        </w:tc>
      </w:tr>
      <w:tr>
        <w:tc>
          <w:tcPr/>
          <w:p>
            <w:pPr>
              <w:pStyle w:val="Compact"/>
              <w:jc w:val="left"/>
            </w:pPr>
            <w:r>
              <w:t xml:space="preserve">S5. I21.A1 as the principal diagnosis (DX1) only</w:t>
            </w:r>
          </w:p>
        </w:tc>
        <w:tc>
          <w:tcPr/>
          <w:p>
            <w:pPr>
              <w:pStyle w:val="Compact"/>
              <w:jc w:val="left"/>
            </w:pPr>
            <w:r>
              <w:t xml:space="preserve">Hypovolaemia or non-cardiogenic shock</w:t>
            </w:r>
          </w:p>
        </w:tc>
        <w:tc>
          <w:tcPr/>
          <w:p>
            <w:pPr>
              <w:pStyle w:val="Compact"/>
              <w:jc w:val="left"/>
            </w:pPr>
            <w:r>
              <w:t xml:space="preserve">0.88 (0.71–1.10)</w:t>
            </w:r>
          </w:p>
        </w:tc>
      </w:tr>
      <w:tr>
        <w:tc>
          <w:tcPr/>
          <w:p>
            <w:pPr>
              <w:pStyle w:val="Compact"/>
              <w:jc w:val="left"/>
            </w:pPr>
            <w:r>
              <w:t xml:space="preserve">S5. I21.A1 as the principal diagnosis (DX1) only</w:t>
            </w:r>
          </w:p>
        </w:tc>
        <w:tc>
          <w:tcPr/>
          <w:p>
            <w:pPr>
              <w:pStyle w:val="Compact"/>
              <w:jc w:val="left"/>
            </w:pPr>
            <w:r>
              <w:t xml:space="preserve">Perioperative</w:t>
            </w:r>
          </w:p>
        </w:tc>
        <w:tc>
          <w:tcPr/>
          <w:p>
            <w:pPr>
              <w:pStyle w:val="Compact"/>
              <w:jc w:val="left"/>
            </w:pPr>
            <w:r>
              <w:t xml:space="preserve">0.95 (0.64–1.41)</w:t>
            </w:r>
          </w:p>
        </w:tc>
      </w:tr>
      <w:tr>
        <w:tc>
          <w:tcPr/>
          <w:p>
            <w:pPr>
              <w:pStyle w:val="Compact"/>
              <w:jc w:val="left"/>
            </w:pPr>
            <w:r>
              <w:t xml:space="preserve">S5. I21.A1 as the principal diagnosis (DX1) only</w:t>
            </w:r>
          </w:p>
        </w:tc>
        <w:tc>
          <w:tcPr/>
          <w:p>
            <w:pPr>
              <w:pStyle w:val="Compact"/>
              <w:jc w:val="left"/>
            </w:pPr>
            <w:r>
              <w:t xml:space="preserve">None of the above</w:t>
            </w:r>
          </w:p>
        </w:tc>
        <w:tc>
          <w:tcPr/>
          <w:p>
            <w:pPr>
              <w:pStyle w:val="Compact"/>
              <w:jc w:val="left"/>
            </w:pPr>
            <w:r>
              <w:t xml:space="preserve">0.87 (0.72–1.05)</w:t>
            </w:r>
          </w:p>
        </w:tc>
      </w:tr>
      <w:tr>
        <w:tc>
          <w:tcPr/>
          <w:p>
            <w:pPr>
              <w:pStyle w:val="Compact"/>
              <w:jc w:val="left"/>
            </w:pPr>
            <w:r>
              <w:t xml:space="preserve">S6b. Precipitant assigned from the principal diagnosis only (closest estimable substitute for S6)</w:t>
            </w:r>
          </w:p>
        </w:tc>
        <w:tc>
          <w:tcPr/>
          <w:p>
            <w:pPr>
              <w:pStyle w:val="Compact"/>
              <w:jc w:val="left"/>
            </w:pPr>
            <w:r>
              <w:t xml:space="preserve">Acute GI bleed or blood-loss anaemia</w:t>
            </w:r>
          </w:p>
        </w:tc>
        <w:tc>
          <w:tcPr/>
          <w:p>
            <w:pPr>
              <w:pStyle w:val="Compact"/>
              <w:jc w:val="left"/>
            </w:pPr>
            <w:r>
              <w:t xml:space="preserve">1.13 (1.08–1.18)</w:t>
            </w:r>
          </w:p>
        </w:tc>
      </w:tr>
      <w:tr>
        <w:tc>
          <w:tcPr/>
          <w:p>
            <w:pPr>
              <w:pStyle w:val="Compact"/>
              <w:jc w:val="left"/>
            </w:pPr>
            <w:r>
              <w:t xml:space="preserve">S6b. Precipitant assigned from the principal diagnosis only (closest estimable substitute for S6)</w:t>
            </w:r>
          </w:p>
        </w:tc>
        <w:tc>
          <w:tcPr/>
          <w:p>
            <w:pPr>
              <w:pStyle w:val="Compact"/>
              <w:jc w:val="left"/>
            </w:pPr>
            <w:r>
              <w:t xml:space="preserve">Hypertensive emergency</w:t>
            </w:r>
          </w:p>
        </w:tc>
        <w:tc>
          <w:tcPr/>
          <w:p>
            <w:pPr>
              <w:pStyle w:val="Compact"/>
              <w:jc w:val="left"/>
            </w:pPr>
            <w:r>
              <w:t xml:space="preserve">0.77 (0.74–0.81)</w:t>
            </w:r>
          </w:p>
        </w:tc>
      </w:tr>
      <w:tr>
        <w:tc>
          <w:tcPr/>
          <w:p>
            <w:pPr>
              <w:pStyle w:val="Compact"/>
              <w:jc w:val="left"/>
            </w:pPr>
            <w:r>
              <w:t xml:space="preserve">S6b. Precipitant assigned from the principal diagnosis only (closest estimable substitute for S6)</w:t>
            </w:r>
          </w:p>
        </w:tc>
        <w:tc>
          <w:tcPr/>
          <w:p>
            <w:pPr>
              <w:pStyle w:val="Compact"/>
              <w:jc w:val="left"/>
            </w:pPr>
            <w:r>
              <w:t xml:space="preserve">Tachyarrhythmia</w:t>
            </w:r>
          </w:p>
        </w:tc>
        <w:tc>
          <w:tcPr/>
          <w:p>
            <w:pPr>
              <w:pStyle w:val="Compact"/>
              <w:jc w:val="left"/>
            </w:pPr>
            <w:r>
              <w:t xml:space="preserve">0.95 (0.92–0.97)</w:t>
            </w:r>
          </w:p>
        </w:tc>
      </w:tr>
      <w:tr>
        <w:tc>
          <w:tcPr/>
          <w:p>
            <w:pPr>
              <w:pStyle w:val="Compact"/>
              <w:jc w:val="left"/>
            </w:pPr>
            <w:r>
              <w:t xml:space="preserve">S6b. Precipitant assigned from the principal diagnosis only (closest estimable substitute for S6)</w:t>
            </w:r>
          </w:p>
        </w:tc>
        <w:tc>
          <w:tcPr/>
          <w:p>
            <w:pPr>
              <w:pStyle w:val="Compact"/>
              <w:jc w:val="left"/>
            </w:pPr>
            <w:r>
              <w:t xml:space="preserve">Acute respiratory failure</w:t>
            </w:r>
          </w:p>
        </w:tc>
        <w:tc>
          <w:tcPr/>
          <w:p>
            <w:pPr>
              <w:pStyle w:val="Compact"/>
              <w:jc w:val="left"/>
            </w:pPr>
            <w:r>
              <w:t xml:space="preserve">0.92 (0.88–0.97)</w:t>
            </w:r>
          </w:p>
        </w:tc>
      </w:tr>
      <w:tr>
        <w:tc>
          <w:tcPr/>
          <w:p>
            <w:pPr>
              <w:pStyle w:val="Compact"/>
              <w:jc w:val="left"/>
            </w:pPr>
            <w:r>
              <w:t xml:space="preserve">S6b. Precipitant assigned from the principal diagnosis only (closest estimable substitute for S6)</w:t>
            </w:r>
          </w:p>
        </w:tc>
        <w:tc>
          <w:tcPr/>
          <w:p>
            <w:pPr>
              <w:pStyle w:val="Compact"/>
              <w:jc w:val="left"/>
            </w:pPr>
            <w:r>
              <w:t xml:space="preserve">Hypovolaemia or non-cardiogenic shock</w:t>
            </w:r>
          </w:p>
        </w:tc>
        <w:tc>
          <w:tcPr/>
          <w:p>
            <w:pPr>
              <w:pStyle w:val="Compact"/>
              <w:jc w:val="left"/>
            </w:pPr>
            <w:r>
              <w:t xml:space="preserve">0.89 (0.80–0.98)</w:t>
            </w:r>
          </w:p>
        </w:tc>
      </w:tr>
      <w:tr>
        <w:tc>
          <w:tcPr/>
          <w:p>
            <w:pPr>
              <w:pStyle w:val="Compact"/>
              <w:jc w:val="left"/>
            </w:pPr>
            <w:r>
              <w:t xml:space="preserve">S6b. Precipitant assigned from the principal diagnosis only (closest estimable substitute for S6)</w:t>
            </w:r>
          </w:p>
        </w:tc>
        <w:tc>
          <w:tcPr/>
          <w:p>
            <w:pPr>
              <w:pStyle w:val="Compact"/>
              <w:jc w:val="left"/>
            </w:pPr>
            <w:r>
              <w:t xml:space="preserve">Perioperative</w:t>
            </w:r>
          </w:p>
        </w:tc>
        <w:tc>
          <w:tcPr/>
          <w:p>
            <w:pPr>
              <w:pStyle w:val="Compact"/>
              <w:jc w:val="left"/>
            </w:pPr>
            <w:r>
              <w:t xml:space="preserve">1.09 (1.06–1.12)</w:t>
            </w:r>
          </w:p>
        </w:tc>
      </w:tr>
      <w:tr>
        <w:tc>
          <w:tcPr/>
          <w:p>
            <w:pPr>
              <w:pStyle w:val="Compact"/>
              <w:jc w:val="left"/>
            </w:pPr>
            <w:r>
              <w:t xml:space="preserve">S6b. Precipitant assigned from the principal diagnosis only (closest estimable substitute for S6)</w:t>
            </w:r>
          </w:p>
        </w:tc>
        <w:tc>
          <w:tcPr/>
          <w:p>
            <w:pPr>
              <w:pStyle w:val="Compact"/>
              <w:jc w:val="left"/>
            </w:pPr>
            <w:r>
              <w:t xml:space="preserve">None of the above</w:t>
            </w:r>
          </w:p>
        </w:tc>
        <w:tc>
          <w:tcPr/>
          <w:p>
            <w:pPr>
              <w:pStyle w:val="Compact"/>
              <w:jc w:val="left"/>
            </w:pPr>
            <w:r>
              <w:t xml:space="preserve">1.00 (0.99–1.02)</w:t>
            </w:r>
          </w:p>
        </w:tc>
      </w:tr>
    </w:tbl>
    <w:p>
      <w:pPr>
        <w:pStyle w:val="BodyText"/>
      </w:pPr>
      <w:r>
        <w:t xml:space="preserve"> </w:t>
      </w:r>
    </w:p>
    <w:p>
      <w:pPr>
        <w:pStyle w:val="TableCaption"/>
      </w:pPr>
      <w:r>
        <w:t xml:space="preserve">Table 9c. Pre-specified negative control outcome.</w:t>
      </w:r>
    </w:p>
    <w:tbl>
      <w:tblPr>
        <w:tblStyle w:val="Table"/>
        <w:tblW w:type="pct" w:w="5000"/>
        <w:tblLayout w:type="fixed"/>
        <w:tblLook w:firstRow="1" w:lastRow="0" w:firstColumn="0" w:lastColumn="0" w:noHBand="0" w:noVBand="0" w:val="0020"/>
        <w:tblCaption w:val="Table 9c. Pre-specified negative control outcome."/>
      </w:tblPr>
      <w:tblGrid>
        <w:gridCol w:w="2082"/>
        <w:gridCol w:w="1808"/>
        <w:gridCol w:w="4028"/>
      </w:tblGrid>
      <w:tr>
        <w:trPr>
          <w:tblHeader w:val="on"/>
        </w:trPr>
        <w:tc>
          <w:tcPr/>
          <w:p>
            <w:pPr>
              <w:pStyle w:val="Compact"/>
              <w:jc w:val="left"/>
            </w:pPr>
            <w:r>
              <w:t xml:space="preserve">Analysis</w:t>
            </w:r>
          </w:p>
        </w:tc>
        <w:tc>
          <w:tcPr/>
          <w:p>
            <w:pPr>
              <w:pStyle w:val="Compact"/>
              <w:jc w:val="left"/>
            </w:pPr>
            <w:r>
              <w:t xml:space="preserve">Joint Wald p (precipitant block)</w:t>
            </w:r>
          </w:p>
        </w:tc>
        <w:tc>
          <w:tcPr/>
          <w:p>
            <w:pPr>
              <w:pStyle w:val="Compact"/>
              <w:jc w:val="left"/>
            </w:pPr>
            <w:r>
              <w:t xml:space="preserve">Interpretation</w:t>
            </w:r>
          </w:p>
        </w:tc>
      </w:tr>
      <w:tr>
        <w:tc>
          <w:tcPr/>
          <w:p>
            <w:pPr>
              <w:pStyle w:val="Compact"/>
              <w:jc w:val="left"/>
            </w:pPr>
            <w:r>
              <w:t xml:space="preserve">Negative control: 30-day readmission with an eye or ear principal diagnosis</w:t>
            </w:r>
          </w:p>
        </w:tc>
        <w:tc>
          <w:tcPr/>
          <w:p>
            <w:pPr>
              <w:pStyle w:val="Compact"/>
              <w:jc w:val="left"/>
            </w:pPr>
            <w:r>
              <w:t xml:space="preserve">Suppressed (&lt;11 unweighted discharges in a class-by-outcome cell)</w:t>
            </w:r>
          </w:p>
        </w:tc>
        <w:tc>
          <w:tcPr/>
          <w:p>
            <w:pPr>
              <w:pStyle w:val="Compact"/>
              <w:jc w:val="left"/>
            </w:pPr>
            <w:r>
              <w:t xml:space="preserve">Uninformative: at least one precipitant class has fewer than 11 unweighted eye/ear readmissions, so the joint test is withheld under the HCUP DUA.</w:t>
            </w:r>
          </w:p>
        </w:tc>
      </w:tr>
    </w:tbl>
    <w:p>
      <w:pPr>
        <w:pStyle w:val="BodyText"/>
      </w:pPr>
      <w:r>
        <w:t xml:space="preserve"> </w:t>
      </w:r>
    </w:p>
    <w:p>
      <w:pPr>
        <w:pStyle w:val="TableCaption"/>
      </w:pPr>
      <w:r>
        <w:t xml:space="preserve">Table S6. Covariate balance before and after overlap weighting, headline pair.</w:t>
      </w:r>
    </w:p>
    <w:tbl>
      <w:tblPr>
        <w:tblStyle w:val="Table"/>
        <w:tblW w:type="pct" w:w="5000"/>
        <w:tblLayout w:type="fixed"/>
        <w:tblLook w:firstRow="1" w:lastRow="0" w:firstColumn="0" w:lastColumn="0" w:noHBand="0" w:noVBand="0" w:val="0020"/>
        <w:tblCaption w:val="Table S6. Covariate balance before and after overlap weighting, headline pair."/>
      </w:tblPr>
      <w:tblGrid>
        <w:gridCol w:w="3499"/>
        <w:gridCol w:w="1289"/>
        <w:gridCol w:w="1227"/>
        <w:gridCol w:w="1903"/>
      </w:tblGrid>
      <w:tr>
        <w:trPr>
          <w:tblHeader w:val="on"/>
        </w:trPr>
        <w:tc>
          <w:tcPr/>
          <w:p>
            <w:pPr>
              <w:pStyle w:val="Compact"/>
              <w:jc w:val="left"/>
            </w:pPr>
            <w:r>
              <w:t xml:space="preserve">Variable</w:t>
            </w:r>
          </w:p>
        </w:tc>
        <w:tc>
          <w:tcPr/>
          <w:p>
            <w:pPr>
              <w:pStyle w:val="Compact"/>
              <w:jc w:val="left"/>
            </w:pPr>
            <w:r>
              <w:t xml:space="preserve">SMD before weighting</w:t>
            </w:r>
          </w:p>
        </w:tc>
        <w:tc>
          <w:tcPr/>
          <w:p>
            <w:pPr>
              <w:pStyle w:val="Compact"/>
              <w:jc w:val="left"/>
            </w:pPr>
            <w:r>
              <w:t xml:space="preserve">SMD after weighting</w:t>
            </w:r>
          </w:p>
        </w:tc>
        <w:tc>
          <w:tcPr/>
          <w:p>
            <w:pPr>
              <w:pStyle w:val="Compact"/>
              <w:jc w:val="left"/>
            </w:pPr>
            <w:r>
              <w:t xml:space="preserve">Balanced (absolute SMD &lt; 0.10)</w:t>
            </w:r>
          </w:p>
        </w:tc>
      </w:tr>
      <w:tr>
        <w:tc>
          <w:tcPr/>
          <w:p>
            <w:pPr>
              <w:pStyle w:val="Compact"/>
              <w:jc w:val="left"/>
            </w:pPr>
            <w:r>
              <w:t xml:space="preserve">Age, years</w:t>
            </w:r>
          </w:p>
        </w:tc>
        <w:tc>
          <w:tcPr/>
          <w:p>
            <w:pPr>
              <w:pStyle w:val="Compact"/>
              <w:jc w:val="left"/>
            </w:pPr>
            <w:r>
              <w:t xml:space="preserve">0.238</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Sex</w:t>
            </w:r>
          </w:p>
        </w:tc>
        <w:tc>
          <w:tcPr/>
          <w:p>
            <w:pPr>
              <w:pStyle w:val="Compact"/>
              <w:jc w:val="left"/>
            </w:pPr>
            <w:r>
              <w:t xml:space="preserve">0.037</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Primary expected payer</w:t>
            </w:r>
          </w:p>
        </w:tc>
        <w:tc>
          <w:tcPr/>
          <w:p>
            <w:pPr>
              <w:pStyle w:val="Compact"/>
              <w:jc w:val="left"/>
            </w:pPr>
            <w:r>
              <w:t xml:space="preserve">0.098</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Median household income quartile (patient ZIP code)</w:t>
            </w:r>
          </w:p>
        </w:tc>
        <w:tc>
          <w:tcPr/>
          <w:p>
            <w:pPr>
              <w:pStyle w:val="Compact"/>
              <w:jc w:val="left"/>
            </w:pPr>
            <w:r>
              <w:t xml:space="preserve">0.013</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Patient residence (NCHS urban-rural classification)</w:t>
            </w:r>
          </w:p>
        </w:tc>
        <w:tc>
          <w:tcPr/>
          <w:p>
            <w:pPr>
              <w:pStyle w:val="Compact"/>
              <w:jc w:val="left"/>
            </w:pPr>
            <w:r>
              <w:t xml:space="preserve">0.055</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Admission day</w:t>
            </w:r>
          </w:p>
        </w:tc>
        <w:tc>
          <w:tcPr/>
          <w:p>
            <w:pPr>
              <w:pStyle w:val="Compact"/>
              <w:jc w:val="left"/>
            </w:pPr>
            <w:r>
              <w:t xml:space="preserve">0.043</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Admission type</w:t>
            </w:r>
          </w:p>
        </w:tc>
        <w:tc>
          <w:tcPr/>
          <w:p>
            <w:pPr>
              <w:pStyle w:val="Compact"/>
              <w:jc w:val="left"/>
            </w:pPr>
            <w:r>
              <w:t xml:space="preserve">0.032</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Hospital bed size</w:t>
            </w:r>
          </w:p>
        </w:tc>
        <w:tc>
          <w:tcPr/>
          <w:p>
            <w:pPr>
              <w:pStyle w:val="Compact"/>
              <w:jc w:val="left"/>
            </w:pPr>
            <w:r>
              <w:t xml:space="preserve">0.002</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Hospital location and teaching status</w:t>
            </w:r>
          </w:p>
        </w:tc>
        <w:tc>
          <w:tcPr/>
          <w:p>
            <w:pPr>
              <w:pStyle w:val="Compact"/>
              <w:jc w:val="left"/>
            </w:pPr>
            <w:r>
              <w:t xml:space="preserve">0.015</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Hospital ownership</w:t>
            </w:r>
          </w:p>
        </w:tc>
        <w:tc>
          <w:tcPr/>
          <w:p>
            <w:pPr>
              <w:pStyle w:val="Compact"/>
              <w:jc w:val="left"/>
            </w:pPr>
            <w:r>
              <w:t xml:space="preserve">0.026</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Discharge year</w:t>
            </w:r>
          </w:p>
        </w:tc>
        <w:tc>
          <w:tcPr/>
          <w:p>
            <w:pPr>
              <w:pStyle w:val="Compact"/>
              <w:jc w:val="left"/>
            </w:pPr>
            <w:r>
              <w:t xml:space="preserve">0.041</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Congestive heart failure</w:t>
            </w:r>
          </w:p>
        </w:tc>
        <w:tc>
          <w:tcPr/>
          <w:p>
            <w:pPr>
              <w:pStyle w:val="Compact"/>
              <w:jc w:val="left"/>
            </w:pPr>
            <w:r>
              <w:t xml:space="preserve">0.375</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Valvular disease</w:t>
            </w:r>
          </w:p>
        </w:tc>
        <w:tc>
          <w:tcPr/>
          <w:p>
            <w:pPr>
              <w:pStyle w:val="Compact"/>
              <w:jc w:val="left"/>
            </w:pPr>
            <w:r>
              <w:t xml:space="preserve">0.316</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Pulmonary circulation disorders</w:t>
            </w:r>
          </w:p>
        </w:tc>
        <w:tc>
          <w:tcPr/>
          <w:p>
            <w:pPr>
              <w:pStyle w:val="Compact"/>
              <w:jc w:val="left"/>
            </w:pPr>
            <w:r>
              <w:t xml:space="preserve">0.161</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Peripheral vascular disorders</w:t>
            </w:r>
          </w:p>
        </w:tc>
        <w:tc>
          <w:tcPr/>
          <w:p>
            <w:pPr>
              <w:pStyle w:val="Compact"/>
              <w:jc w:val="left"/>
            </w:pPr>
            <w:r>
              <w:t xml:space="preserve">0.162</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Hypertension, uncomplicated</w:t>
            </w:r>
          </w:p>
        </w:tc>
        <w:tc>
          <w:tcPr/>
          <w:p>
            <w:pPr>
              <w:pStyle w:val="Compact"/>
              <w:jc w:val="left"/>
            </w:pPr>
            <w:r>
              <w:t xml:space="preserve">0.101</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Paralysis</w:t>
            </w:r>
          </w:p>
        </w:tc>
        <w:tc>
          <w:tcPr/>
          <w:p>
            <w:pPr>
              <w:pStyle w:val="Compact"/>
              <w:jc w:val="left"/>
            </w:pPr>
            <w:r>
              <w:t xml:space="preserve">0.047</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Other neurological disorders</w:t>
            </w:r>
          </w:p>
        </w:tc>
        <w:tc>
          <w:tcPr/>
          <w:p>
            <w:pPr>
              <w:pStyle w:val="Compact"/>
              <w:jc w:val="left"/>
            </w:pPr>
            <w:r>
              <w:t xml:space="preserve">0.481</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Chronic pulmonary disease</w:t>
            </w:r>
          </w:p>
        </w:tc>
        <w:tc>
          <w:tcPr/>
          <w:p>
            <w:pPr>
              <w:pStyle w:val="Compact"/>
              <w:jc w:val="left"/>
            </w:pPr>
            <w:r>
              <w:t xml:space="preserve">0.051</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Diabetes, uncomplicated</w:t>
            </w:r>
          </w:p>
        </w:tc>
        <w:tc>
          <w:tcPr/>
          <w:p>
            <w:pPr>
              <w:pStyle w:val="Compact"/>
              <w:jc w:val="left"/>
            </w:pPr>
            <w:r>
              <w:t xml:space="preserve">0.037</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Diabetes, complicated</w:t>
            </w:r>
          </w:p>
        </w:tc>
        <w:tc>
          <w:tcPr/>
          <w:p>
            <w:pPr>
              <w:pStyle w:val="Compact"/>
              <w:jc w:val="left"/>
            </w:pPr>
            <w:r>
              <w:t xml:space="preserve">0.067</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Hypothyroidism</w:t>
            </w:r>
          </w:p>
        </w:tc>
        <w:tc>
          <w:tcPr/>
          <w:p>
            <w:pPr>
              <w:pStyle w:val="Compact"/>
              <w:jc w:val="left"/>
            </w:pPr>
            <w:r>
              <w:t xml:space="preserve">0.083</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Liver disease</w:t>
            </w:r>
          </w:p>
        </w:tc>
        <w:tc>
          <w:tcPr/>
          <w:p>
            <w:pPr>
              <w:pStyle w:val="Compact"/>
              <w:jc w:val="left"/>
            </w:pPr>
            <w:r>
              <w:t xml:space="preserve">0.195</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Peptic ulcer disease</w:t>
            </w:r>
          </w:p>
        </w:tc>
        <w:tc>
          <w:tcPr/>
          <w:p>
            <w:pPr>
              <w:pStyle w:val="Compact"/>
              <w:jc w:val="left"/>
            </w:pPr>
            <w:r>
              <w:t xml:space="preserve">0.018</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HIV/AIDS</w:t>
            </w:r>
          </w:p>
        </w:tc>
        <w:tc>
          <w:tcPr/>
          <w:p>
            <w:pPr>
              <w:pStyle w:val="Compact"/>
              <w:jc w:val="left"/>
            </w:pPr>
            <w:r>
              <w:t xml:space="preserve">0.052</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Lymphoma</w:t>
            </w:r>
          </w:p>
        </w:tc>
        <w:tc>
          <w:tcPr/>
          <w:p>
            <w:pPr>
              <w:pStyle w:val="Compact"/>
              <w:jc w:val="left"/>
            </w:pPr>
            <w:r>
              <w:t xml:space="preserve">0.029</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Metastatic cancer</w:t>
            </w:r>
          </w:p>
        </w:tc>
        <w:tc>
          <w:tcPr/>
          <w:p>
            <w:pPr>
              <w:pStyle w:val="Compact"/>
              <w:jc w:val="left"/>
            </w:pPr>
            <w:r>
              <w:t xml:space="preserve">0.080</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Solid tumour without metastasis</w:t>
            </w:r>
          </w:p>
        </w:tc>
        <w:tc>
          <w:tcPr/>
          <w:p>
            <w:pPr>
              <w:pStyle w:val="Compact"/>
              <w:jc w:val="left"/>
            </w:pPr>
            <w:r>
              <w:t xml:space="preserve">0.080</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Rheumatoid arthritis / collagen vascular disease</w:t>
            </w:r>
          </w:p>
        </w:tc>
        <w:tc>
          <w:tcPr/>
          <w:p>
            <w:pPr>
              <w:pStyle w:val="Compact"/>
              <w:jc w:val="left"/>
            </w:pPr>
            <w:r>
              <w:t xml:space="preserve">0.016</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Coagulopathy</w:t>
            </w:r>
          </w:p>
        </w:tc>
        <w:tc>
          <w:tcPr/>
          <w:p>
            <w:pPr>
              <w:pStyle w:val="Compact"/>
              <w:jc w:val="left"/>
            </w:pPr>
            <w:r>
              <w:t xml:space="preserve">0.251</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Obesity</w:t>
            </w:r>
          </w:p>
        </w:tc>
        <w:tc>
          <w:tcPr/>
          <w:p>
            <w:pPr>
              <w:pStyle w:val="Compact"/>
              <w:jc w:val="left"/>
            </w:pPr>
            <w:r>
              <w:t xml:space="preserve">0.034</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Weight loss</w:t>
            </w:r>
          </w:p>
        </w:tc>
        <w:tc>
          <w:tcPr/>
          <w:p>
            <w:pPr>
              <w:pStyle w:val="Compact"/>
              <w:jc w:val="left"/>
            </w:pPr>
            <w:r>
              <w:t xml:space="preserve">0.285</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Alcohol abuse</w:t>
            </w:r>
          </w:p>
        </w:tc>
        <w:tc>
          <w:tcPr/>
          <w:p>
            <w:pPr>
              <w:pStyle w:val="Compact"/>
              <w:jc w:val="left"/>
            </w:pPr>
            <w:r>
              <w:t xml:space="preserve">0.013</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Drug abuse</w:t>
            </w:r>
          </w:p>
        </w:tc>
        <w:tc>
          <w:tcPr/>
          <w:p>
            <w:pPr>
              <w:pStyle w:val="Compact"/>
              <w:jc w:val="left"/>
            </w:pPr>
            <w:r>
              <w:t xml:space="preserve">0.063</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Psychoses</w:t>
            </w:r>
          </w:p>
        </w:tc>
        <w:tc>
          <w:tcPr/>
          <w:p>
            <w:pPr>
              <w:pStyle w:val="Compact"/>
              <w:jc w:val="left"/>
            </w:pPr>
            <w:r>
              <w:t xml:space="preserve">0.072</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Depression</w:t>
            </w:r>
          </w:p>
        </w:tc>
        <w:tc>
          <w:tcPr/>
          <w:p>
            <w:pPr>
              <w:pStyle w:val="Compact"/>
              <w:jc w:val="left"/>
            </w:pPr>
            <w:r>
              <w:t xml:space="preserve">0.022</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Hypertension, complicated</w:t>
            </w:r>
          </w:p>
        </w:tc>
        <w:tc>
          <w:tcPr/>
          <w:p>
            <w:pPr>
              <w:pStyle w:val="Compact"/>
              <w:jc w:val="left"/>
            </w:pPr>
            <w:r>
              <w:t xml:space="preserve">0.315</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Cardiogenic shock at index</w:t>
            </w:r>
          </w:p>
        </w:tc>
        <w:tc>
          <w:tcPr/>
          <w:p>
            <w:pPr>
              <w:pStyle w:val="Compact"/>
              <w:jc w:val="left"/>
            </w:pPr>
            <w:r>
              <w:t xml:space="preserve">0.063</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Invasive mechanical ventilation at index</w:t>
            </w:r>
          </w:p>
        </w:tc>
        <w:tc>
          <w:tcPr/>
          <w:p>
            <w:pPr>
              <w:pStyle w:val="Compact"/>
              <w:jc w:val="left"/>
            </w:pPr>
            <w:r>
              <w:t xml:space="preserve">0.499</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Chronic kidney disease stage</w:t>
            </w:r>
          </w:p>
        </w:tc>
        <w:tc>
          <w:tcPr/>
          <w:p>
            <w:pPr>
              <w:pStyle w:val="Compact"/>
              <w:jc w:val="left"/>
            </w:pPr>
            <w:r>
              <w:t xml:space="preserve">0.149</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Known coronary artery disease (I25.1x/I25.7x)</w:t>
            </w:r>
          </w:p>
        </w:tc>
        <w:tc>
          <w:tcPr/>
          <w:p>
            <w:pPr>
              <w:pStyle w:val="Compact"/>
              <w:jc w:val="left"/>
            </w:pPr>
            <w:r>
              <w:t xml:space="preserve">0.356</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Prior revascularization (Z95.1/Z95.5)</w:t>
            </w:r>
          </w:p>
        </w:tc>
        <w:tc>
          <w:tcPr/>
          <w:p>
            <w:pPr>
              <w:pStyle w:val="Compact"/>
              <w:jc w:val="left"/>
            </w:pPr>
            <w:r>
              <w:t xml:space="preserve">0.254</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Coronary angiography or cardiac catheterization at index</w:t>
            </w:r>
          </w:p>
        </w:tc>
        <w:tc>
          <w:tcPr/>
          <w:p>
            <w:pPr>
              <w:pStyle w:val="Compact"/>
              <w:jc w:val="left"/>
            </w:pPr>
            <w:r>
              <w:t xml:space="preserve">0.296</w:t>
            </w:r>
          </w:p>
        </w:tc>
        <w:tc>
          <w:tcPr/>
          <w:p>
            <w:pPr>
              <w:pStyle w:val="Compact"/>
              <w:jc w:val="left"/>
            </w:pPr>
            <w:r>
              <w:t xml:space="preserve">0.000</w:t>
            </w:r>
          </w:p>
        </w:tc>
        <w:tc>
          <w:tcPr/>
          <w:p>
            <w:pPr>
              <w:pStyle w:val="Compact"/>
              <w:jc w:val="left"/>
            </w:pPr>
            <w:r>
              <w:t xml:space="preserve">Yes</w:t>
            </w:r>
          </w:p>
        </w:tc>
      </w:tr>
    </w:tbl>
    <w:p>
      <w:pPr>
        <w:pStyle w:val="CaptionedFigure"/>
      </w:pPr>
      <w:r>
        <w:drawing>
          <wp:inline>
            <wp:extent cx="5334000" cy="8275319"/>
            <wp:effectExtent b="0" l="0" r="0" t="0"/>
            <wp:docPr descr="Figure S4. Covariate balance before and after overlap weighting." title="" id="69" name="Picture"/>
            <a:graphic>
              <a:graphicData uri="http://schemas.openxmlformats.org/drawingml/2006/picture">
                <pic:pic>
                  <pic:nvPicPr>
                    <pic:cNvPr descr="C:/Users/saada/Documents/Biostatistics/AliFam-Nerds/RCOP_NRD/NRD_Saad_T2MI_Precip/figures/FigureS4_covariate_balance.png" id="70" name="Picture"/>
                    <pic:cNvPicPr>
                      <a:picLocks noChangeArrowheads="1" noChangeAspect="1"/>
                    </pic:cNvPicPr>
                  </pic:nvPicPr>
                  <pic:blipFill>
                    <a:blip r:embed="rId68"/>
                    <a:stretch>
                      <a:fillRect/>
                    </a:stretch>
                  </pic:blipFill>
                  <pic:spPr bwMode="auto">
                    <a:xfrm>
                      <a:off x="0" y="0"/>
                      <a:ext cx="5334000" cy="8275319"/>
                    </a:xfrm>
                    <a:prstGeom prst="rect">
                      <a:avLst/>
                    </a:prstGeom>
                    <a:noFill/>
                    <a:ln w="9525">
                      <a:noFill/>
                      <a:headEnd/>
                      <a:tailEnd/>
                    </a:ln>
                  </pic:spPr>
                </pic:pic>
              </a:graphicData>
            </a:graphic>
          </wp:inline>
        </w:drawing>
      </w:r>
    </w:p>
    <w:p>
      <w:pPr>
        <w:pStyle w:val="ImageCaption"/>
      </w:pPr>
      <w:r>
        <w:t xml:space="preserve">Figure S4. Covariate balance before and after overlap weighting.</w:t>
      </w:r>
    </w:p>
    <w:bookmarkEnd w:id="71"/>
    <w:bookmarkStart w:id="78" w:name="model-diagnostics"/>
    <w:p>
      <w:pPr>
        <w:pStyle w:val="Heading1"/>
      </w:pPr>
      <w:r>
        <w:t xml:space="preserve">13. Model diagnostics</w:t>
      </w:r>
    </w:p>
    <w:p>
      <w:pPr>
        <w:pStyle w:val="TableCaption"/>
      </w:pPr>
      <w:r>
        <w:t xml:space="preserve">Table S4. Model diagnostics.</w:t>
      </w:r>
    </w:p>
    <w:tbl>
      <w:tblPr>
        <w:tblStyle w:val="Table"/>
        <w:tblW w:type="pct" w:w="5000"/>
        <w:tblLayout w:type="fixed"/>
        <w:tblLook w:firstRow="1" w:lastRow="0" w:firstColumn="0" w:lastColumn="0" w:noHBand="0" w:noVBand="0" w:val="0020"/>
        <w:tblCaption w:val="Table S4. Model diagnostics."/>
      </w:tblPr>
      <w:tblGrid>
        <w:gridCol w:w="2093"/>
        <w:gridCol w:w="198"/>
        <w:gridCol w:w="5628"/>
      </w:tblGrid>
      <w:tr>
        <w:trPr>
          <w:tblHeader w:val="on"/>
        </w:trPr>
        <w:tc>
          <w:tcPr/>
          <w:p>
            <w:pPr>
              <w:pStyle w:val="Compact"/>
              <w:jc w:val="left"/>
            </w:pPr>
            <w:r>
              <w:t xml:space="preserve">Diagnostic</w:t>
            </w:r>
          </w:p>
        </w:tc>
        <w:tc>
          <w:tcPr/>
          <w:p>
            <w:pPr>
              <w:pStyle w:val="Compact"/>
              <w:jc w:val="left"/>
            </w:pPr>
            <w:r>
              <w:t xml:space="preserve">Value</w:t>
            </w:r>
          </w:p>
        </w:tc>
        <w:tc>
          <w:tcPr/>
          <w:p>
            <w:pPr>
              <w:pStyle w:val="Compact"/>
              <w:jc w:val="left"/>
            </w:pPr>
            <w:r>
              <w:t xml:space="preserve">Interpretation</w:t>
            </w:r>
          </w:p>
        </w:tc>
      </w:tr>
      <w:tr>
        <w:tc>
          <w:tcPr/>
          <w:p>
            <w:pPr>
              <w:pStyle w:val="Compact"/>
              <w:jc w:val="left"/>
            </w:pPr>
            <w:r>
              <w:t xml:space="preserve">Maximum variance inflation factor (per design-matrix column)</w:t>
            </w:r>
          </w:p>
        </w:tc>
        <w:tc>
          <w:tcPr/>
          <w:p>
            <w:pPr>
              <w:pStyle w:val="Compact"/>
              <w:jc w:val="left"/>
            </w:pPr>
            <w:r>
              <w:t xml:space="preserve">3.55</w:t>
            </w:r>
          </w:p>
        </w:tc>
        <w:tc>
          <w:tcPr/>
          <w:p>
            <w:pPr>
              <w:pStyle w:val="Compact"/>
              <w:jc w:val="left"/>
            </w:pPr>
            <w:r>
              <w:t xml:space="preserve">Below the pre-specified threshold of 5; no collinearity concern</w:t>
            </w:r>
          </w:p>
        </w:tc>
      </w:tr>
      <w:tr>
        <w:tc>
          <w:tcPr/>
          <w:p>
            <w:pPr>
              <w:pStyle w:val="Compact"/>
              <w:jc w:val="left"/>
            </w:pPr>
            <w:r>
              <w:t xml:space="preserve">Maximum VIF among the seven precipitant dummy columns</w:t>
            </w:r>
          </w:p>
        </w:tc>
        <w:tc>
          <w:tcPr/>
          <w:p>
            <w:pPr>
              <w:pStyle w:val="Compact"/>
              <w:jc w:val="left"/>
            </w:pPr>
            <w:r>
              <w:t xml:space="preserve">1.72</w:t>
            </w:r>
          </w:p>
        </w:tc>
        <w:tc>
          <w:tcPr/>
          <w:p>
            <w:pPr>
              <w:pStyle w:val="Compact"/>
              <w:jc w:val="left"/>
            </w:pPr>
            <w:r>
              <w:t xml:space="preserve">Reported separately because the exposure contributes seven dummy columns; an inflated value here would indicate that a covariate still overlaps a precipitant class despite the pre-specified removals</w:t>
            </w:r>
          </w:p>
        </w:tc>
      </w:tr>
      <w:tr>
        <w:tc>
          <w:tcPr/>
          <w:p>
            <w:pPr>
              <w:pStyle w:val="Compact"/>
              <w:jc w:val="left"/>
            </w:pPr>
            <w:r>
              <w:t xml:space="preserve">Survey-weighted c-statistic (tie-corrected)</w:t>
            </w:r>
          </w:p>
        </w:tc>
        <w:tc>
          <w:tcPr/>
          <w:p>
            <w:pPr>
              <w:pStyle w:val="Compact"/>
              <w:jc w:val="left"/>
            </w:pPr>
            <w:r>
              <w:t xml:space="preserve">0.622</w:t>
            </w:r>
          </w:p>
        </w:tc>
        <w:tc>
          <w:tcPr/>
          <w:p>
            <w:pPr>
              <w:pStyle w:val="Compact"/>
              <w:jc w:val="left"/>
            </w:pPr>
            <w:r>
              <w:t xml:space="preserve">Reported without a threshold; discrimination is not the objective of an aetiological model</w:t>
            </w:r>
          </w:p>
        </w:tc>
      </w:tr>
      <w:tr>
        <w:tc>
          <w:tcPr/>
          <w:p>
            <w:pPr>
              <w:pStyle w:val="Compact"/>
              <w:jc w:val="left"/>
            </w:pPr>
            <w:r>
              <w:t xml:space="preserve">Design-based decile calibration test (survey analogue of Hosmer-Lemeshow)</w:t>
            </w:r>
          </w:p>
        </w:tc>
        <w:tc>
          <w:tcPr/>
          <w:p>
            <w:pPr>
              <w:pStyle w:val="Compact"/>
              <w:jc w:val="left"/>
            </w:pPr>
            <w:r>
              <w:t xml:space="preserve">&lt;0.001</w:t>
            </w:r>
          </w:p>
        </w:tc>
        <w:tc>
          <w:tcPr/>
          <w:p>
            <w:pPr>
              <w:pStyle w:val="Compact"/>
              <w:jc w:val="left"/>
            </w:pPr>
            <w:r>
              <w:t xml:space="preserve">With a cohort of this size any calibration test will reject. Figure S3 is the substantive evidence; this p-value is reported for completeness only and is not interpreted alone.</w:t>
            </w:r>
          </w:p>
        </w:tc>
      </w:tr>
      <w:tr>
        <w:tc>
          <w:tcPr/>
          <w:p>
            <w:pPr>
              <w:pStyle w:val="Compact"/>
              <w:jc w:val="left"/>
            </w:pPr>
            <w:r>
              <w:t xml:space="preserve">Covariates removed by the sparse-cell guard</w:t>
            </w:r>
          </w:p>
        </w:tc>
        <w:tc>
          <w:tcPr/>
          <w:p>
            <w:pPr>
              <w:pStyle w:val="Compact"/>
              <w:jc w:val="left"/>
            </w:pPr>
            <w:r>
              <w:t xml:space="preserve">None</w:t>
            </w:r>
          </w:p>
        </w:tc>
        <w:tc>
          <w:tcPr/>
          <w:p>
            <w:pPr>
              <w:pStyle w:val="Compact"/>
              <w:jc w:val="left"/>
            </w:pPr>
            <w:r>
              <w:t xml:space="preserve">Every removal is named here and in the Methods section</w:t>
            </w:r>
          </w:p>
        </w:tc>
      </w:tr>
      <w:tr>
        <w:tc>
          <w:tcPr/>
          <w:p>
            <w:pPr>
              <w:pStyle w:val="Compact"/>
              <w:jc w:val="left"/>
            </w:pPr>
            <w:r>
              <w:t xml:space="preserve">Minimum unweighted cell enforced on every reported table</w:t>
            </w:r>
          </w:p>
        </w:tc>
        <w:tc>
          <w:tcPr/>
          <w:p>
            <w:pPr>
              <w:pStyle w:val="Compact"/>
              <w:jc w:val="left"/>
            </w:pPr>
            <w:r>
              <w:t xml:space="preserve">11</w:t>
            </w:r>
          </w:p>
        </w:tc>
        <w:tc>
          <w:tcPr/>
          <w:p>
            <w:pPr>
              <w:pStyle w:val="Compact"/>
              <w:jc w:val="left"/>
            </w:pPr>
            <w:r>
              <w:t xml:space="preserve">HCUP Data Use Agreement</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Variance inflation factors are computed per design-matrix column rather than aggregated to a generalized VIF, which is the conservative reading: if no individual dummy column is inflated then no multi-level factor is either. The maximum among the seven precipitant dummy columns is reported separately, because the pre-specified removal of five Elixhauser flags was justified on the grounds that they overlap precipitant classes by construction, and this is the number that shows whether that removal succeeded. The c-statistic is survey-weighted and tie-corrected. The calibration test is the survey analogue of the Hosmer-Lemeshow test and is NOT the Archer-Lemeshow F-adjusted mean residual test; it should not be described as such. Singleton strata were centred at the grand mean (survey.lonely.psu =</w:t>
            </w:r>
            <w:r>
              <w:t xml:space="preserve"> </w:t>
            </w:r>
            <w:r>
              <w:t xml:space="preserve">‘adjust’</w:t>
            </w:r>
            <w:r>
              <w:t xml:space="preserve">) rather than removed; 5 stratum/strata contained a single primary sampling unit. All manually constructed intervals use t critical values on 8,928 design degrees of freedom rather than 1.96.</w:t>
            </w:r>
          </w:p>
        </w:tc>
      </w:tr>
    </w:tbl>
    <w:p>
      <w:pPr>
        <w:pStyle w:val="TableCaption"/>
      </w:pPr>
      <w:r>
        <w:t xml:space="preserve">Table S4b. Variance inflation factors, per design-matrix column.</w:t>
      </w:r>
    </w:p>
    <w:tbl>
      <w:tblPr>
        <w:tblStyle w:val="Table"/>
        <w:tblW w:type="pct" w:w="5000"/>
        <w:tblLayout w:type="fixed"/>
        <w:tblLook w:firstRow="1" w:lastRow="0" w:firstColumn="0" w:lastColumn="0" w:noHBand="0" w:noVBand="0" w:val="0020"/>
        <w:tblCaption w:val="Table S4b. Variance inflation factors, per design-matrix column."/>
      </w:tblPr>
      <w:tblGrid>
        <w:gridCol w:w="7442"/>
        <w:gridCol w:w="477"/>
      </w:tblGrid>
      <w:tr>
        <w:trPr>
          <w:tblHeader w:val="on"/>
        </w:trPr>
        <w:tc>
          <w:tcPr/>
          <w:p>
            <w:pPr>
              <w:pStyle w:val="Compact"/>
              <w:jc w:val="left"/>
            </w:pPr>
            <w:r>
              <w:t xml:space="preserve">Term</w:t>
            </w:r>
          </w:p>
        </w:tc>
        <w:tc>
          <w:tcPr/>
          <w:p>
            <w:pPr>
              <w:pStyle w:val="Compact"/>
              <w:jc w:val="left"/>
            </w:pPr>
            <w:r>
              <w:t xml:space="preserve">VIF</w:t>
            </w:r>
          </w:p>
        </w:tc>
      </w:tr>
      <w:tr>
        <w:tc>
          <w:tcPr/>
          <w:p>
            <w:pPr>
              <w:pStyle w:val="Compact"/>
              <w:jc w:val="left"/>
            </w:pPr>
            <w:r>
              <w:t xml:space="preserve">Age, natural-spline basis 1</w:t>
            </w:r>
          </w:p>
        </w:tc>
        <w:tc>
          <w:tcPr/>
          <w:p>
            <w:pPr>
              <w:pStyle w:val="Compact"/>
              <w:jc w:val="left"/>
            </w:pPr>
            <w:r>
              <w:t xml:space="preserve">3.55</w:t>
            </w:r>
          </w:p>
        </w:tc>
      </w:tr>
      <w:tr>
        <w:tc>
          <w:tcPr/>
          <w:p>
            <w:pPr>
              <w:pStyle w:val="Compact"/>
              <w:jc w:val="left"/>
            </w:pPr>
            <w:r>
              <w:t xml:space="preserve">Age, natural-spline basis 3</w:t>
            </w:r>
          </w:p>
        </w:tc>
        <w:tc>
          <w:tcPr/>
          <w:p>
            <w:pPr>
              <w:pStyle w:val="Compact"/>
              <w:jc w:val="left"/>
            </w:pPr>
            <w:r>
              <w:t xml:space="preserve">2.9</w:t>
            </w:r>
          </w:p>
        </w:tc>
      </w:tr>
      <w:tr>
        <w:tc>
          <w:tcPr/>
          <w:p>
            <w:pPr>
              <w:pStyle w:val="Compact"/>
              <w:jc w:val="left"/>
            </w:pPr>
            <w:r>
              <w:t xml:space="preserve">Hypertension, complicated</w:t>
            </w:r>
          </w:p>
        </w:tc>
        <w:tc>
          <w:tcPr/>
          <w:p>
            <w:pPr>
              <w:pStyle w:val="Compact"/>
              <w:jc w:val="left"/>
            </w:pPr>
            <w:r>
              <w:t xml:space="preserve">2.63</w:t>
            </w:r>
          </w:p>
        </w:tc>
      </w:tr>
      <w:tr>
        <w:tc>
          <w:tcPr/>
          <w:p>
            <w:pPr>
              <w:pStyle w:val="Compact"/>
              <w:jc w:val="left"/>
            </w:pPr>
            <w:r>
              <w:t xml:space="preserve">Age, natural-spline basis 2</w:t>
            </w:r>
          </w:p>
        </w:tc>
        <w:tc>
          <w:tcPr/>
          <w:p>
            <w:pPr>
              <w:pStyle w:val="Compact"/>
              <w:jc w:val="left"/>
            </w:pPr>
            <w:r>
              <w:t xml:space="preserve">2.42</w:t>
            </w:r>
          </w:p>
        </w:tc>
      </w:tr>
      <w:tr>
        <w:tc>
          <w:tcPr/>
          <w:p>
            <w:pPr>
              <w:pStyle w:val="Compact"/>
              <w:jc w:val="left"/>
            </w:pPr>
            <w:r>
              <w:t xml:space="preserve">Discharge year: 2022</w:t>
            </w:r>
          </w:p>
        </w:tc>
        <w:tc>
          <w:tcPr/>
          <w:p>
            <w:pPr>
              <w:pStyle w:val="Compact"/>
              <w:jc w:val="left"/>
            </w:pPr>
            <w:r>
              <w:t xml:space="preserve">2.26</w:t>
            </w:r>
          </w:p>
        </w:tc>
      </w:tr>
      <w:tr>
        <w:tc>
          <w:tcPr/>
          <w:p>
            <w:pPr>
              <w:pStyle w:val="Compact"/>
              <w:jc w:val="left"/>
            </w:pPr>
            <w:r>
              <w:t xml:space="preserve">Discharge year: 2021</w:t>
            </w:r>
          </w:p>
        </w:tc>
        <w:tc>
          <w:tcPr/>
          <w:p>
            <w:pPr>
              <w:pStyle w:val="Compact"/>
              <w:jc w:val="left"/>
            </w:pPr>
            <w:r>
              <w:t xml:space="preserve">2.16</w:t>
            </w:r>
          </w:p>
        </w:tc>
      </w:tr>
      <w:tr>
        <w:tc>
          <w:tcPr/>
          <w:p>
            <w:pPr>
              <w:pStyle w:val="Compact"/>
              <w:jc w:val="left"/>
            </w:pPr>
            <w:r>
              <w:t xml:space="preserve">Discharge year: 2020</w:t>
            </w:r>
          </w:p>
        </w:tc>
        <w:tc>
          <w:tcPr/>
          <w:p>
            <w:pPr>
              <w:pStyle w:val="Compact"/>
              <w:jc w:val="left"/>
            </w:pPr>
            <w:r>
              <w:t xml:space="preserve">2.03</w:t>
            </w:r>
          </w:p>
        </w:tc>
      </w:tr>
      <w:tr>
        <w:tc>
          <w:tcPr/>
          <w:p>
            <w:pPr>
              <w:pStyle w:val="Compact"/>
              <w:jc w:val="left"/>
            </w:pPr>
            <w:r>
              <w:t xml:space="preserve">Hospital bed size: Large</w:t>
            </w:r>
          </w:p>
        </w:tc>
        <w:tc>
          <w:tcPr/>
          <w:p>
            <w:pPr>
              <w:pStyle w:val="Compact"/>
              <w:jc w:val="left"/>
            </w:pPr>
            <w:r>
              <w:t xml:space="preserve">2.01</w:t>
            </w:r>
          </w:p>
        </w:tc>
      </w:tr>
      <w:tr>
        <w:tc>
          <w:tcPr/>
          <w:p>
            <w:pPr>
              <w:pStyle w:val="Compact"/>
              <w:jc w:val="left"/>
            </w:pPr>
            <w:r>
              <w:t xml:space="preserve">Congestive heart failure</w:t>
            </w:r>
          </w:p>
        </w:tc>
        <w:tc>
          <w:tcPr/>
          <w:p>
            <w:pPr>
              <w:pStyle w:val="Compact"/>
              <w:jc w:val="left"/>
            </w:pPr>
            <w:r>
              <w:t xml:space="preserve">1.91</w:t>
            </w:r>
          </w:p>
        </w:tc>
      </w:tr>
      <w:tr>
        <w:tc>
          <w:tcPr/>
          <w:p>
            <w:pPr>
              <w:pStyle w:val="Compact"/>
              <w:jc w:val="left"/>
            </w:pPr>
            <w:r>
              <w:t xml:space="preserve">Hospital bed size: Medium</w:t>
            </w:r>
          </w:p>
        </w:tc>
        <w:tc>
          <w:tcPr/>
          <w:p>
            <w:pPr>
              <w:pStyle w:val="Compact"/>
              <w:jc w:val="left"/>
            </w:pPr>
            <w:r>
              <w:t xml:space="preserve">1.9</w:t>
            </w:r>
          </w:p>
        </w:tc>
      </w:tr>
      <w:tr>
        <w:tc>
          <w:tcPr/>
          <w:p>
            <w:pPr>
              <w:pStyle w:val="Compact"/>
              <w:jc w:val="left"/>
            </w:pPr>
            <w:r>
              <w:t xml:space="preserve">Hospital location and teaching status: Non-metropolitan</w:t>
            </w:r>
          </w:p>
        </w:tc>
        <w:tc>
          <w:tcPr/>
          <w:p>
            <w:pPr>
              <w:pStyle w:val="Compact"/>
              <w:jc w:val="left"/>
            </w:pPr>
            <w:r>
              <w:t xml:space="preserve">1.89</w:t>
            </w:r>
          </w:p>
        </w:tc>
      </w:tr>
      <w:tr>
        <w:tc>
          <w:tcPr/>
          <w:p>
            <w:pPr>
              <w:pStyle w:val="Compact"/>
              <w:jc w:val="left"/>
            </w:pPr>
            <w:r>
              <w:t xml:space="preserve">Discharge year: 2019</w:t>
            </w:r>
          </w:p>
        </w:tc>
        <w:tc>
          <w:tcPr/>
          <w:p>
            <w:pPr>
              <w:pStyle w:val="Compact"/>
              <w:jc w:val="left"/>
            </w:pPr>
            <w:r>
              <w:t xml:space="preserve">1.88</w:t>
            </w:r>
          </w:p>
        </w:tc>
      </w:tr>
      <w:tr>
        <w:tc>
          <w:tcPr/>
          <w:p>
            <w:pPr>
              <w:pStyle w:val="Compact"/>
              <w:jc w:val="left"/>
            </w:pPr>
            <w:r>
              <w:t xml:space="preserve">Hypertension, uncomplicated</w:t>
            </w:r>
          </w:p>
        </w:tc>
        <w:tc>
          <w:tcPr/>
          <w:p>
            <w:pPr>
              <w:pStyle w:val="Compact"/>
              <w:jc w:val="left"/>
            </w:pPr>
            <w:r>
              <w:t xml:space="preserve">1.88</w:t>
            </w:r>
          </w:p>
        </w:tc>
      </w:tr>
      <w:tr>
        <w:tc>
          <w:tcPr/>
          <w:p>
            <w:pPr>
              <w:pStyle w:val="Compact"/>
              <w:jc w:val="left"/>
            </w:pPr>
            <w:r>
              <w:t xml:space="preserve">Patient residence (NCHS urban-rural classification): Micropolitan</w:t>
            </w:r>
          </w:p>
        </w:tc>
        <w:tc>
          <w:tcPr/>
          <w:p>
            <w:pPr>
              <w:pStyle w:val="Compact"/>
              <w:jc w:val="left"/>
            </w:pPr>
            <w:r>
              <w:t xml:space="preserve">1.75</w:t>
            </w:r>
          </w:p>
        </w:tc>
      </w:tr>
      <w:tr>
        <w:tc>
          <w:tcPr/>
          <w:p>
            <w:pPr>
              <w:pStyle w:val="Compact"/>
              <w:jc w:val="left"/>
            </w:pPr>
            <w:r>
              <w:t xml:space="preserve">Tachyarrhythmia (vs Sepsis or severe infection)</w:t>
            </w:r>
          </w:p>
        </w:tc>
        <w:tc>
          <w:tcPr/>
          <w:p>
            <w:pPr>
              <w:pStyle w:val="Compact"/>
              <w:jc w:val="left"/>
            </w:pPr>
            <w:r>
              <w:t xml:space="preserve">1.72</w:t>
            </w:r>
          </w:p>
        </w:tc>
      </w:tr>
      <w:tr>
        <w:tc>
          <w:tcPr/>
          <w:p>
            <w:pPr>
              <w:pStyle w:val="Compact"/>
              <w:jc w:val="left"/>
            </w:pPr>
            <w:r>
              <w:t xml:space="preserve">None of the above (vs Sepsis or severe infection)</w:t>
            </w:r>
          </w:p>
        </w:tc>
        <w:tc>
          <w:tcPr/>
          <w:p>
            <w:pPr>
              <w:pStyle w:val="Compact"/>
              <w:jc w:val="left"/>
            </w:pPr>
            <w:r>
              <w:t xml:space="preserve">1.65</w:t>
            </w:r>
          </w:p>
        </w:tc>
      </w:tr>
      <w:tr>
        <w:tc>
          <w:tcPr/>
          <w:p>
            <w:pPr>
              <w:pStyle w:val="Compact"/>
              <w:jc w:val="left"/>
            </w:pPr>
            <w:r>
              <w:t xml:space="preserve">Median household income quartile (patient ZIP code): 76th to 100th percentile</w:t>
            </w:r>
          </w:p>
        </w:tc>
        <w:tc>
          <w:tcPr/>
          <w:p>
            <w:pPr>
              <w:pStyle w:val="Compact"/>
              <w:jc w:val="left"/>
            </w:pPr>
            <w:r>
              <w:t xml:space="preserve">1.64</w:t>
            </w:r>
          </w:p>
        </w:tc>
      </w:tr>
      <w:tr>
        <w:tc>
          <w:tcPr/>
          <w:p>
            <w:pPr>
              <w:pStyle w:val="Compact"/>
              <w:jc w:val="left"/>
            </w:pPr>
            <w:r>
              <w:t xml:space="preserve">Primary expected payer: Medicaid</w:t>
            </w:r>
          </w:p>
        </w:tc>
        <w:tc>
          <w:tcPr/>
          <w:p>
            <w:pPr>
              <w:pStyle w:val="Compact"/>
              <w:jc w:val="left"/>
            </w:pPr>
            <w:r>
              <w:t xml:space="preserve">1.55</w:t>
            </w:r>
          </w:p>
        </w:tc>
      </w:tr>
      <w:tr>
        <w:tc>
          <w:tcPr/>
          <w:p>
            <w:pPr>
              <w:pStyle w:val="Compact"/>
              <w:jc w:val="left"/>
            </w:pPr>
            <w:r>
              <w:t xml:space="preserve">Median household income quartile (patient ZIP code): 51st to 75th percentile</w:t>
            </w:r>
          </w:p>
        </w:tc>
        <w:tc>
          <w:tcPr/>
          <w:p>
            <w:pPr>
              <w:pStyle w:val="Compact"/>
              <w:jc w:val="left"/>
            </w:pPr>
            <w:r>
              <w:t xml:space="preserve">1.53</w:t>
            </w:r>
          </w:p>
        </w:tc>
      </w:tr>
      <w:tr>
        <w:tc>
          <w:tcPr/>
          <w:p>
            <w:pPr>
              <w:pStyle w:val="Compact"/>
              <w:jc w:val="left"/>
            </w:pPr>
            <w:r>
              <w:t xml:space="preserve">Patient residence (NCHS urban-rural classification): Fringe metro ≥1 million</w:t>
            </w:r>
          </w:p>
        </w:tc>
        <w:tc>
          <w:tcPr/>
          <w:p>
            <w:pPr>
              <w:pStyle w:val="Compact"/>
              <w:jc w:val="left"/>
            </w:pPr>
            <w:r>
              <w:t xml:space="preserve">1.48</w:t>
            </w:r>
          </w:p>
        </w:tc>
      </w:tr>
      <w:tr>
        <w:tc>
          <w:tcPr/>
          <w:p>
            <w:pPr>
              <w:pStyle w:val="Compact"/>
              <w:jc w:val="left"/>
            </w:pPr>
            <w:r>
              <w:t xml:space="preserve">Median household income quartile (patient ZIP code): 26th to 50th percentile</w:t>
            </w:r>
          </w:p>
        </w:tc>
        <w:tc>
          <w:tcPr/>
          <w:p>
            <w:pPr>
              <w:pStyle w:val="Compact"/>
              <w:jc w:val="left"/>
            </w:pPr>
            <w:r>
              <w:t xml:space="preserve">1.46</w:t>
            </w:r>
          </w:p>
        </w:tc>
      </w:tr>
      <w:tr>
        <w:tc>
          <w:tcPr/>
          <w:p>
            <w:pPr>
              <w:pStyle w:val="Compact"/>
              <w:jc w:val="left"/>
            </w:pPr>
            <w:r>
              <w:t xml:space="preserve">Chronic kidney disease stage: Stage 3</w:t>
            </w:r>
          </w:p>
        </w:tc>
        <w:tc>
          <w:tcPr/>
          <w:p>
            <w:pPr>
              <w:pStyle w:val="Compact"/>
              <w:jc w:val="left"/>
            </w:pPr>
            <w:r>
              <w:t xml:space="preserve">1.46</w:t>
            </w:r>
          </w:p>
        </w:tc>
      </w:tr>
      <w:tr>
        <w:tc>
          <w:tcPr/>
          <w:p>
            <w:pPr>
              <w:pStyle w:val="Compact"/>
              <w:jc w:val="left"/>
            </w:pPr>
            <w:r>
              <w:t xml:space="preserve">Known coronary artery disease (I25.1x/I25.7x)</w:t>
            </w:r>
          </w:p>
        </w:tc>
        <w:tc>
          <w:tcPr/>
          <w:p>
            <w:pPr>
              <w:pStyle w:val="Compact"/>
              <w:jc w:val="left"/>
            </w:pPr>
            <w:r>
              <w:t xml:space="preserve">1.44</w:t>
            </w:r>
          </w:p>
        </w:tc>
      </w:tr>
      <w:tr>
        <w:tc>
          <w:tcPr/>
          <w:p>
            <w:pPr>
              <w:pStyle w:val="Compact"/>
              <w:jc w:val="left"/>
            </w:pPr>
            <w:r>
              <w:t xml:space="preserve">Patient residence (NCHS urban-rural classification): Metro 250,000-999,999</w:t>
            </w:r>
          </w:p>
        </w:tc>
        <w:tc>
          <w:tcPr/>
          <w:p>
            <w:pPr>
              <w:pStyle w:val="Compact"/>
              <w:jc w:val="left"/>
            </w:pPr>
            <w:r>
              <w:t xml:space="preserve">1.41</w:t>
            </w:r>
          </w:p>
        </w:tc>
      </w:tr>
      <w:tr>
        <w:tc>
          <w:tcPr/>
          <w:p>
            <w:pPr>
              <w:pStyle w:val="Compact"/>
              <w:jc w:val="left"/>
            </w:pPr>
            <w:r>
              <w:t xml:space="preserve">Metastatic cancer</w:t>
            </w:r>
          </w:p>
        </w:tc>
        <w:tc>
          <w:tcPr/>
          <w:p>
            <w:pPr>
              <w:pStyle w:val="Compact"/>
              <w:jc w:val="left"/>
            </w:pPr>
            <w:r>
              <w:t xml:space="preserve">1.4</w:t>
            </w:r>
          </w:p>
        </w:tc>
      </w:tr>
      <w:tr>
        <w:tc>
          <w:tcPr/>
          <w:p>
            <w:pPr>
              <w:pStyle w:val="Compact"/>
              <w:jc w:val="left"/>
            </w:pPr>
            <w:r>
              <w:t xml:space="preserve">Solid tumour without metastasis</w:t>
            </w:r>
          </w:p>
        </w:tc>
        <w:tc>
          <w:tcPr/>
          <w:p>
            <w:pPr>
              <w:pStyle w:val="Compact"/>
              <w:jc w:val="left"/>
            </w:pPr>
            <w:r>
              <w:t xml:space="preserve">1.4</w:t>
            </w:r>
          </w:p>
        </w:tc>
      </w:tr>
      <w:tr>
        <w:tc>
          <w:tcPr/>
          <w:p>
            <w:pPr>
              <w:pStyle w:val="Compact"/>
              <w:jc w:val="left"/>
            </w:pPr>
            <w:r>
              <w:t xml:space="preserve">Chronic kidney disease stage: Dialysis-dependent / ESKD</w:t>
            </w:r>
          </w:p>
        </w:tc>
        <w:tc>
          <w:tcPr/>
          <w:p>
            <w:pPr>
              <w:pStyle w:val="Compact"/>
              <w:jc w:val="left"/>
            </w:pPr>
            <w:r>
              <w:t xml:space="preserve">1.37</w:t>
            </w:r>
          </w:p>
        </w:tc>
      </w:tr>
      <w:tr>
        <w:tc>
          <w:tcPr/>
          <w:p>
            <w:pPr>
              <w:pStyle w:val="Compact"/>
              <w:jc w:val="left"/>
            </w:pPr>
            <w:r>
              <w:t xml:space="preserve">Patient residence (NCHS urban-rural classification): Other</w:t>
            </w:r>
          </w:p>
        </w:tc>
        <w:tc>
          <w:tcPr/>
          <w:p>
            <w:pPr>
              <w:pStyle w:val="Compact"/>
              <w:jc w:val="left"/>
            </w:pPr>
            <w:r>
              <w:t xml:space="preserve">1.35</w:t>
            </w:r>
          </w:p>
        </w:tc>
      </w:tr>
      <w:tr>
        <w:tc>
          <w:tcPr/>
          <w:p>
            <w:pPr>
              <w:pStyle w:val="Compact"/>
              <w:jc w:val="left"/>
            </w:pPr>
            <w:r>
              <w:t xml:space="preserve">Primary expected payer: Private</w:t>
            </w:r>
          </w:p>
        </w:tc>
        <w:tc>
          <w:tcPr/>
          <w:p>
            <w:pPr>
              <w:pStyle w:val="Compact"/>
              <w:jc w:val="left"/>
            </w:pPr>
            <w:r>
              <w:t xml:space="preserve">1.34</w:t>
            </w:r>
          </w:p>
        </w:tc>
      </w:tr>
      <w:tr>
        <w:tc>
          <w:tcPr/>
          <w:p>
            <w:pPr>
              <w:pStyle w:val="Compact"/>
              <w:jc w:val="left"/>
            </w:pPr>
            <w:r>
              <w:t xml:space="preserve">Patient residence (NCHS urban-rural classification): Metro 50,000-249,999</w:t>
            </w:r>
          </w:p>
        </w:tc>
        <w:tc>
          <w:tcPr/>
          <w:p>
            <w:pPr>
              <w:pStyle w:val="Compact"/>
              <w:jc w:val="left"/>
            </w:pPr>
            <w:r>
              <w:t xml:space="preserve">1.34</w:t>
            </w:r>
          </w:p>
        </w:tc>
      </w:tr>
      <w:tr>
        <w:tc>
          <w:tcPr/>
          <w:p>
            <w:pPr>
              <w:pStyle w:val="Compact"/>
              <w:jc w:val="left"/>
            </w:pPr>
            <w:r>
              <w:t xml:space="preserve">Hospital location and teaching status: Metropolitan, teaching</w:t>
            </w:r>
          </w:p>
        </w:tc>
        <w:tc>
          <w:tcPr/>
          <w:p>
            <w:pPr>
              <w:pStyle w:val="Compact"/>
              <w:jc w:val="left"/>
            </w:pPr>
            <w:r>
              <w:t xml:space="preserve">1.34</w:t>
            </w:r>
          </w:p>
        </w:tc>
      </w:tr>
      <w:tr>
        <w:tc>
          <w:tcPr/>
          <w:p>
            <w:pPr>
              <w:pStyle w:val="Compact"/>
              <w:jc w:val="left"/>
            </w:pPr>
            <w:r>
              <w:t xml:space="preserve">Prior revascularization (Z95.1/Z95.5)</w:t>
            </w:r>
          </w:p>
        </w:tc>
        <w:tc>
          <w:tcPr/>
          <w:p>
            <w:pPr>
              <w:pStyle w:val="Compact"/>
              <w:jc w:val="left"/>
            </w:pPr>
            <w:r>
              <w:t xml:space="preserve">1.3</w:t>
            </w:r>
          </w:p>
        </w:tc>
      </w:tr>
      <w:tr>
        <w:tc>
          <w:tcPr/>
          <w:p>
            <w:pPr>
              <w:pStyle w:val="Compact"/>
              <w:jc w:val="left"/>
            </w:pPr>
            <w:r>
              <w:t xml:space="preserve">Acute respiratory failure (vs Sepsis or severe infection)</w:t>
            </w:r>
          </w:p>
        </w:tc>
        <w:tc>
          <w:tcPr/>
          <w:p>
            <w:pPr>
              <w:pStyle w:val="Compact"/>
              <w:jc w:val="left"/>
            </w:pPr>
            <w:r>
              <w:t xml:space="preserve">1.29</w:t>
            </w:r>
          </w:p>
        </w:tc>
      </w:tr>
      <w:tr>
        <w:tc>
          <w:tcPr/>
          <w:p>
            <w:pPr>
              <w:pStyle w:val="Compact"/>
              <w:jc w:val="left"/>
            </w:pPr>
            <w:r>
              <w:t xml:space="preserve">Acute GI bleed or blood-loss anaemia (vs Sepsis or severe infection)</w:t>
            </w:r>
          </w:p>
        </w:tc>
        <w:tc>
          <w:tcPr/>
          <w:p>
            <w:pPr>
              <w:pStyle w:val="Compact"/>
              <w:jc w:val="left"/>
            </w:pPr>
            <w:r>
              <w:t xml:space="preserve">1.27</w:t>
            </w:r>
          </w:p>
        </w:tc>
      </w:tr>
      <w:tr>
        <w:tc>
          <w:tcPr/>
          <w:p>
            <w:pPr>
              <w:pStyle w:val="Compact"/>
              <w:jc w:val="left"/>
            </w:pPr>
            <w:r>
              <w:t xml:space="preserve">Diabetes, complicated</w:t>
            </w:r>
          </w:p>
        </w:tc>
        <w:tc>
          <w:tcPr/>
          <w:p>
            <w:pPr>
              <w:pStyle w:val="Compact"/>
              <w:jc w:val="left"/>
            </w:pPr>
            <w:r>
              <w:t xml:space="preserve">1.27</w:t>
            </w:r>
          </w:p>
        </w:tc>
      </w:tr>
      <w:tr>
        <w:tc>
          <w:tcPr/>
          <w:p>
            <w:pPr>
              <w:pStyle w:val="Compact"/>
              <w:jc w:val="left"/>
            </w:pPr>
            <w:r>
              <w:t xml:space="preserve">Hypertensive emergency (vs Sepsis or severe infection)</w:t>
            </w:r>
          </w:p>
        </w:tc>
        <w:tc>
          <w:tcPr/>
          <w:p>
            <w:pPr>
              <w:pStyle w:val="Compact"/>
              <w:jc w:val="left"/>
            </w:pPr>
            <w:r>
              <w:t xml:space="preserve">1.26</w:t>
            </w:r>
          </w:p>
        </w:tc>
      </w:tr>
      <w:tr>
        <w:tc>
          <w:tcPr/>
          <w:p>
            <w:pPr>
              <w:pStyle w:val="Compact"/>
              <w:jc w:val="left"/>
            </w:pPr>
            <w:r>
              <w:t xml:space="preserve">Drug abuse</w:t>
            </w:r>
          </w:p>
        </w:tc>
        <w:tc>
          <w:tcPr/>
          <w:p>
            <w:pPr>
              <w:pStyle w:val="Compact"/>
              <w:jc w:val="left"/>
            </w:pPr>
            <w:r>
              <w:t xml:space="preserve">1.21</w:t>
            </w:r>
          </w:p>
        </w:tc>
      </w:tr>
      <w:tr>
        <w:tc>
          <w:tcPr/>
          <w:p>
            <w:pPr>
              <w:pStyle w:val="Compact"/>
              <w:jc w:val="left"/>
            </w:pPr>
            <w:r>
              <w:t xml:space="preserve">Chronic kidney disease stage: Stage 4-5, not on dialysis</w:t>
            </w:r>
          </w:p>
        </w:tc>
        <w:tc>
          <w:tcPr/>
          <w:p>
            <w:pPr>
              <w:pStyle w:val="Compact"/>
              <w:jc w:val="left"/>
            </w:pPr>
            <w:r>
              <w:t xml:space="preserve">1.21</w:t>
            </w:r>
          </w:p>
        </w:tc>
      </w:tr>
      <w:tr>
        <w:tc>
          <w:tcPr/>
          <w:p>
            <w:pPr>
              <w:pStyle w:val="Compact"/>
              <w:jc w:val="left"/>
            </w:pPr>
            <w:r>
              <w:t xml:space="preserve">Chronic kidney disease stage: Unspecified stage</w:t>
            </w:r>
          </w:p>
        </w:tc>
        <w:tc>
          <w:tcPr/>
          <w:p>
            <w:pPr>
              <w:pStyle w:val="Compact"/>
              <w:jc w:val="left"/>
            </w:pPr>
            <w:r>
              <w:t xml:space="preserve">1.19</w:t>
            </w:r>
          </w:p>
        </w:tc>
      </w:tr>
      <w:tr>
        <w:tc>
          <w:tcPr/>
          <w:p>
            <w:pPr>
              <w:pStyle w:val="Compact"/>
              <w:jc w:val="left"/>
            </w:pPr>
            <w:r>
              <w:t xml:space="preserve">Invasive mechanical ventilation at index</w:t>
            </w:r>
          </w:p>
        </w:tc>
        <w:tc>
          <w:tcPr/>
          <w:p>
            <w:pPr>
              <w:pStyle w:val="Compact"/>
              <w:jc w:val="left"/>
            </w:pPr>
            <w:r>
              <w:t xml:space="preserve">1.18</w:t>
            </w:r>
          </w:p>
        </w:tc>
      </w:tr>
      <w:tr>
        <w:tc>
          <w:tcPr/>
          <w:p>
            <w:pPr>
              <w:pStyle w:val="Compact"/>
              <w:jc w:val="left"/>
            </w:pPr>
            <w:r>
              <w:t xml:space="preserve">Hypovolaemia or non-cardiogenic shock (vs Sepsis or severe infection)</w:t>
            </w:r>
          </w:p>
        </w:tc>
        <w:tc>
          <w:tcPr/>
          <w:p>
            <w:pPr>
              <w:pStyle w:val="Compact"/>
              <w:jc w:val="left"/>
            </w:pPr>
            <w:r>
              <w:t xml:space="preserve">1.16</w:t>
            </w:r>
          </w:p>
        </w:tc>
      </w:tr>
      <w:tr>
        <w:tc>
          <w:tcPr/>
          <w:p>
            <w:pPr>
              <w:pStyle w:val="Compact"/>
              <w:jc w:val="left"/>
            </w:pPr>
            <w:r>
              <w:t xml:space="preserve">Primary expected payer: Other/self-pay</w:t>
            </w:r>
          </w:p>
        </w:tc>
        <w:tc>
          <w:tcPr/>
          <w:p>
            <w:pPr>
              <w:pStyle w:val="Compact"/>
              <w:jc w:val="left"/>
            </w:pPr>
            <w:r>
              <w:t xml:space="preserve">1.14</w:t>
            </w:r>
          </w:p>
        </w:tc>
      </w:tr>
      <w:tr>
        <w:tc>
          <w:tcPr/>
          <w:p>
            <w:pPr>
              <w:pStyle w:val="Compact"/>
              <w:jc w:val="left"/>
            </w:pPr>
            <w:r>
              <w:t xml:space="preserve">Alcohol abuse</w:t>
            </w:r>
          </w:p>
        </w:tc>
        <w:tc>
          <w:tcPr/>
          <w:p>
            <w:pPr>
              <w:pStyle w:val="Compact"/>
              <w:jc w:val="left"/>
            </w:pPr>
            <w:r>
              <w:t xml:space="preserve">1.14</w:t>
            </w:r>
          </w:p>
        </w:tc>
      </w:tr>
      <w:tr>
        <w:tc>
          <w:tcPr/>
          <w:p>
            <w:pPr>
              <w:pStyle w:val="Compact"/>
              <w:jc w:val="left"/>
            </w:pPr>
            <w:r>
              <w:t xml:space="preserve">Sex: Female</w:t>
            </w:r>
          </w:p>
        </w:tc>
        <w:tc>
          <w:tcPr/>
          <w:p>
            <w:pPr>
              <w:pStyle w:val="Compact"/>
              <w:jc w:val="left"/>
            </w:pPr>
            <w:r>
              <w:t xml:space="preserve">1.13</w:t>
            </w:r>
          </w:p>
        </w:tc>
      </w:tr>
      <w:tr>
        <w:tc>
          <w:tcPr/>
          <w:p>
            <w:pPr>
              <w:pStyle w:val="Compact"/>
              <w:jc w:val="left"/>
            </w:pPr>
            <w:r>
              <w:t xml:space="preserve">Other neurological disorders</w:t>
            </w:r>
          </w:p>
        </w:tc>
        <w:tc>
          <w:tcPr/>
          <w:p>
            <w:pPr>
              <w:pStyle w:val="Compact"/>
              <w:jc w:val="left"/>
            </w:pPr>
            <w:r>
              <w:t xml:space="preserve">1.12</w:t>
            </w:r>
          </w:p>
        </w:tc>
      </w:tr>
      <w:tr>
        <w:tc>
          <w:tcPr/>
          <w:p>
            <w:pPr>
              <w:pStyle w:val="Compact"/>
              <w:jc w:val="left"/>
            </w:pPr>
            <w:r>
              <w:t xml:space="preserve">Liver disease</w:t>
            </w:r>
          </w:p>
        </w:tc>
        <w:tc>
          <w:tcPr/>
          <w:p>
            <w:pPr>
              <w:pStyle w:val="Compact"/>
              <w:jc w:val="left"/>
            </w:pPr>
            <w:r>
              <w:t xml:space="preserve">1.12</w:t>
            </w:r>
          </w:p>
        </w:tc>
      </w:tr>
      <w:tr>
        <w:tc>
          <w:tcPr/>
          <w:p>
            <w:pPr>
              <w:pStyle w:val="Compact"/>
              <w:jc w:val="left"/>
            </w:pPr>
            <w:r>
              <w:t xml:space="preserve">Obesity</w:t>
            </w:r>
          </w:p>
        </w:tc>
        <w:tc>
          <w:tcPr/>
          <w:p>
            <w:pPr>
              <w:pStyle w:val="Compact"/>
              <w:jc w:val="left"/>
            </w:pPr>
            <w:r>
              <w:t xml:space="preserve">1.12</w:t>
            </w:r>
          </w:p>
        </w:tc>
      </w:tr>
      <w:tr>
        <w:tc>
          <w:tcPr/>
          <w:p>
            <w:pPr>
              <w:pStyle w:val="Compact"/>
              <w:jc w:val="left"/>
            </w:pPr>
            <w:r>
              <w:t xml:space="preserve">Coronary angiography or cardiac catheterization at index</w:t>
            </w:r>
          </w:p>
        </w:tc>
        <w:tc>
          <w:tcPr/>
          <w:p>
            <w:pPr>
              <w:pStyle w:val="Compact"/>
              <w:jc w:val="left"/>
            </w:pPr>
            <w:r>
              <w:t xml:space="preserve">1.12</w:t>
            </w:r>
          </w:p>
        </w:tc>
      </w:tr>
      <w:tr>
        <w:tc>
          <w:tcPr/>
          <w:p>
            <w:pPr>
              <w:pStyle w:val="Compact"/>
              <w:jc w:val="left"/>
            </w:pPr>
            <w:r>
              <w:t xml:space="preserve">Valvular disease</w:t>
            </w:r>
          </w:p>
        </w:tc>
        <w:tc>
          <w:tcPr/>
          <w:p>
            <w:pPr>
              <w:pStyle w:val="Compact"/>
              <w:jc w:val="left"/>
            </w:pPr>
            <w:r>
              <w:t xml:space="preserve">1.11</w:t>
            </w:r>
          </w:p>
        </w:tc>
      </w:tr>
      <w:tr>
        <w:tc>
          <w:tcPr/>
          <w:p>
            <w:pPr>
              <w:pStyle w:val="Compact"/>
              <w:jc w:val="left"/>
            </w:pPr>
            <w:r>
              <w:t xml:space="preserve">Hospital ownership: Private, invest-own</w:t>
            </w:r>
          </w:p>
        </w:tc>
        <w:tc>
          <w:tcPr/>
          <w:p>
            <w:pPr>
              <w:pStyle w:val="Compact"/>
              <w:jc w:val="left"/>
            </w:pPr>
            <w:r>
              <w:t xml:space="preserve">1.1</w:t>
            </w:r>
          </w:p>
        </w:tc>
      </w:tr>
      <w:tr>
        <w:tc>
          <w:tcPr/>
          <w:p>
            <w:pPr>
              <w:pStyle w:val="Compact"/>
              <w:jc w:val="left"/>
            </w:pPr>
            <w:r>
              <w:t xml:space="preserve">Chronic pulmonary disease</w:t>
            </w:r>
          </w:p>
        </w:tc>
        <w:tc>
          <w:tcPr/>
          <w:p>
            <w:pPr>
              <w:pStyle w:val="Compact"/>
              <w:jc w:val="left"/>
            </w:pPr>
            <w:r>
              <w:t xml:space="preserve">1.08</w:t>
            </w:r>
          </w:p>
        </w:tc>
      </w:tr>
      <w:tr>
        <w:tc>
          <w:tcPr/>
          <w:p>
            <w:pPr>
              <w:pStyle w:val="Compact"/>
              <w:jc w:val="left"/>
            </w:pPr>
            <w:r>
              <w:t xml:space="preserve">Weight loss</w:t>
            </w:r>
          </w:p>
        </w:tc>
        <w:tc>
          <w:tcPr/>
          <w:p>
            <w:pPr>
              <w:pStyle w:val="Compact"/>
              <w:jc w:val="left"/>
            </w:pPr>
            <w:r>
              <w:t xml:space="preserve">1.08</w:t>
            </w:r>
          </w:p>
        </w:tc>
      </w:tr>
      <w:tr>
        <w:tc>
          <w:tcPr/>
          <w:p>
            <w:pPr>
              <w:pStyle w:val="Compact"/>
              <w:jc w:val="left"/>
            </w:pPr>
            <w:r>
              <w:t xml:space="preserve">Patient residence (NCHS urban-rural classification): Missing/other</w:t>
            </w:r>
          </w:p>
        </w:tc>
        <w:tc>
          <w:tcPr/>
          <w:p>
            <w:pPr>
              <w:pStyle w:val="Compact"/>
              <w:jc w:val="left"/>
            </w:pPr>
            <w:r>
              <w:t xml:space="preserve">1.07</w:t>
            </w:r>
          </w:p>
        </w:tc>
      </w:tr>
      <w:tr>
        <w:tc>
          <w:tcPr/>
          <w:p>
            <w:pPr>
              <w:pStyle w:val="Compact"/>
              <w:jc w:val="left"/>
            </w:pPr>
            <w:r>
              <w:t xml:space="preserve">Diabetes, uncomplicated</w:t>
            </w:r>
          </w:p>
        </w:tc>
        <w:tc>
          <w:tcPr/>
          <w:p>
            <w:pPr>
              <w:pStyle w:val="Compact"/>
              <w:jc w:val="left"/>
            </w:pPr>
            <w:r>
              <w:t xml:space="preserve">1.07</w:t>
            </w:r>
          </w:p>
        </w:tc>
      </w:tr>
      <w:tr>
        <w:tc>
          <w:tcPr/>
          <w:p>
            <w:pPr>
              <w:pStyle w:val="Compact"/>
              <w:jc w:val="left"/>
            </w:pPr>
            <w:r>
              <w:t xml:space="preserve">Coagulopathy</w:t>
            </w:r>
          </w:p>
        </w:tc>
        <w:tc>
          <w:tcPr/>
          <w:p>
            <w:pPr>
              <w:pStyle w:val="Compact"/>
              <w:jc w:val="left"/>
            </w:pPr>
            <w:r>
              <w:t xml:space="preserve">1.07</w:t>
            </w:r>
          </w:p>
        </w:tc>
      </w:tr>
      <w:tr>
        <w:tc>
          <w:tcPr/>
          <w:p>
            <w:pPr>
              <w:pStyle w:val="Compact"/>
              <w:jc w:val="left"/>
            </w:pPr>
            <w:r>
              <w:t xml:space="preserve">Perioperative (vs Sepsis or severe infection)</w:t>
            </w:r>
          </w:p>
        </w:tc>
        <w:tc>
          <w:tcPr/>
          <w:p>
            <w:pPr>
              <w:pStyle w:val="Compact"/>
              <w:jc w:val="left"/>
            </w:pPr>
            <w:r>
              <w:t xml:space="preserve">1.06</w:t>
            </w:r>
          </w:p>
        </w:tc>
      </w:tr>
      <w:tr>
        <w:tc>
          <w:tcPr/>
          <w:p>
            <w:pPr>
              <w:pStyle w:val="Compact"/>
              <w:jc w:val="left"/>
            </w:pPr>
            <w:r>
              <w:t xml:space="preserve">Pulmonary circulation disorders</w:t>
            </w:r>
          </w:p>
        </w:tc>
        <w:tc>
          <w:tcPr/>
          <w:p>
            <w:pPr>
              <w:pStyle w:val="Compact"/>
              <w:jc w:val="left"/>
            </w:pPr>
            <w:r>
              <w:t xml:space="preserve">1.06</w:t>
            </w:r>
          </w:p>
        </w:tc>
      </w:tr>
      <w:tr>
        <w:tc>
          <w:tcPr/>
          <w:p>
            <w:pPr>
              <w:pStyle w:val="Compact"/>
              <w:jc w:val="left"/>
            </w:pPr>
            <w:r>
              <w:t xml:space="preserve">Hypothyroidism</w:t>
            </w:r>
          </w:p>
        </w:tc>
        <w:tc>
          <w:tcPr/>
          <w:p>
            <w:pPr>
              <w:pStyle w:val="Compact"/>
              <w:jc w:val="left"/>
            </w:pPr>
            <w:r>
              <w:t xml:space="preserve">1.06</w:t>
            </w:r>
          </w:p>
        </w:tc>
      </w:tr>
      <w:tr>
        <w:tc>
          <w:tcPr/>
          <w:p>
            <w:pPr>
              <w:pStyle w:val="Compact"/>
              <w:jc w:val="left"/>
            </w:pPr>
            <w:r>
              <w:t xml:space="preserve">Cardiogenic shock at index</w:t>
            </w:r>
          </w:p>
        </w:tc>
        <w:tc>
          <w:tcPr/>
          <w:p>
            <w:pPr>
              <w:pStyle w:val="Compact"/>
              <w:jc w:val="left"/>
            </w:pPr>
            <w:r>
              <w:t xml:space="preserve">1.06</w:t>
            </w:r>
          </w:p>
        </w:tc>
      </w:tr>
      <w:tr>
        <w:tc>
          <w:tcPr/>
          <w:p>
            <w:pPr>
              <w:pStyle w:val="Compact"/>
              <w:jc w:val="left"/>
            </w:pPr>
            <w:r>
              <w:t xml:space="preserve">Chronic kidney disease stage: Stage 1-2</w:t>
            </w:r>
          </w:p>
        </w:tc>
        <w:tc>
          <w:tcPr/>
          <w:p>
            <w:pPr>
              <w:pStyle w:val="Compact"/>
              <w:jc w:val="left"/>
            </w:pPr>
            <w:r>
              <w:t xml:space="preserve">1.06</w:t>
            </w:r>
          </w:p>
        </w:tc>
      </w:tr>
      <w:tr>
        <w:tc>
          <w:tcPr/>
          <w:p>
            <w:pPr>
              <w:pStyle w:val="Compact"/>
              <w:jc w:val="left"/>
            </w:pPr>
            <w:r>
              <w:t xml:space="preserve">Hospital ownership: Government, nonfederal</w:t>
            </w:r>
          </w:p>
        </w:tc>
        <w:tc>
          <w:tcPr/>
          <w:p>
            <w:pPr>
              <w:pStyle w:val="Compact"/>
              <w:jc w:val="left"/>
            </w:pPr>
            <w:r>
              <w:t xml:space="preserve">1.05</w:t>
            </w:r>
          </w:p>
        </w:tc>
      </w:tr>
      <w:tr>
        <w:tc>
          <w:tcPr/>
          <w:p>
            <w:pPr>
              <w:pStyle w:val="Compact"/>
              <w:jc w:val="left"/>
            </w:pPr>
            <w:r>
              <w:t xml:space="preserve">Peripheral vascular disorders</w:t>
            </w:r>
          </w:p>
        </w:tc>
        <w:tc>
          <w:tcPr/>
          <w:p>
            <w:pPr>
              <w:pStyle w:val="Compact"/>
              <w:jc w:val="left"/>
            </w:pPr>
            <w:r>
              <w:t xml:space="preserve">1.05</w:t>
            </w:r>
          </w:p>
        </w:tc>
      </w:tr>
      <w:tr>
        <w:tc>
          <w:tcPr/>
          <w:p>
            <w:pPr>
              <w:pStyle w:val="Compact"/>
              <w:jc w:val="left"/>
            </w:pPr>
            <w:r>
              <w:t xml:space="preserve">Median household income quartile (patient ZIP code): Missing/other</w:t>
            </w:r>
          </w:p>
        </w:tc>
        <w:tc>
          <w:tcPr/>
          <w:p>
            <w:pPr>
              <w:pStyle w:val="Compact"/>
              <w:jc w:val="left"/>
            </w:pPr>
            <w:r>
              <w:t xml:space="preserve">1.04</w:t>
            </w:r>
          </w:p>
        </w:tc>
      </w:tr>
      <w:tr>
        <w:tc>
          <w:tcPr/>
          <w:p>
            <w:pPr>
              <w:pStyle w:val="Compact"/>
              <w:jc w:val="left"/>
            </w:pPr>
            <w:r>
              <w:t xml:space="preserve">Depression</w:t>
            </w:r>
          </w:p>
        </w:tc>
        <w:tc>
          <w:tcPr/>
          <w:p>
            <w:pPr>
              <w:pStyle w:val="Compact"/>
              <w:jc w:val="left"/>
            </w:pPr>
            <w:r>
              <w:t xml:space="preserve">1.03</w:t>
            </w:r>
          </w:p>
        </w:tc>
      </w:tr>
      <w:tr>
        <w:tc>
          <w:tcPr/>
          <w:p>
            <w:pPr>
              <w:pStyle w:val="Compact"/>
              <w:jc w:val="left"/>
            </w:pPr>
            <w:r>
              <w:t xml:space="preserve">Admission type: Elective</w:t>
            </w:r>
          </w:p>
        </w:tc>
        <w:tc>
          <w:tcPr/>
          <w:p>
            <w:pPr>
              <w:pStyle w:val="Compact"/>
              <w:jc w:val="left"/>
            </w:pPr>
            <w:r>
              <w:t xml:space="preserve">1.02</w:t>
            </w:r>
          </w:p>
        </w:tc>
      </w:tr>
      <w:tr>
        <w:tc>
          <w:tcPr/>
          <w:p>
            <w:pPr>
              <w:pStyle w:val="Compact"/>
              <w:jc w:val="left"/>
            </w:pPr>
            <w:r>
              <w:t xml:space="preserve">Paralysis</w:t>
            </w:r>
          </w:p>
        </w:tc>
        <w:tc>
          <w:tcPr/>
          <w:p>
            <w:pPr>
              <w:pStyle w:val="Compact"/>
              <w:jc w:val="left"/>
            </w:pPr>
            <w:r>
              <w:t xml:space="preserve">1.02</w:t>
            </w:r>
          </w:p>
        </w:tc>
      </w:tr>
      <w:tr>
        <w:tc>
          <w:tcPr/>
          <w:p>
            <w:pPr>
              <w:pStyle w:val="Compact"/>
              <w:jc w:val="left"/>
            </w:pPr>
            <w:r>
              <w:t xml:space="preserve">Rheumatoid arthritis / collagen vascular disease</w:t>
            </w:r>
          </w:p>
        </w:tc>
        <w:tc>
          <w:tcPr/>
          <w:p>
            <w:pPr>
              <w:pStyle w:val="Compact"/>
              <w:jc w:val="left"/>
            </w:pPr>
            <w:r>
              <w:t xml:space="preserve">1.02</w:t>
            </w:r>
          </w:p>
        </w:tc>
      </w:tr>
      <w:tr>
        <w:tc>
          <w:tcPr/>
          <w:p>
            <w:pPr>
              <w:pStyle w:val="Compact"/>
              <w:jc w:val="left"/>
            </w:pPr>
            <w:r>
              <w:t xml:space="preserve">Psychoses</w:t>
            </w:r>
          </w:p>
        </w:tc>
        <w:tc>
          <w:tcPr/>
          <w:p>
            <w:pPr>
              <w:pStyle w:val="Compact"/>
              <w:jc w:val="left"/>
            </w:pPr>
            <w:r>
              <w:t xml:space="preserve">1.02</w:t>
            </w:r>
          </w:p>
        </w:tc>
      </w:tr>
      <w:tr>
        <w:tc>
          <w:tcPr/>
          <w:p>
            <w:pPr>
              <w:pStyle w:val="Compact"/>
              <w:jc w:val="left"/>
            </w:pPr>
            <w:r>
              <w:t xml:space="preserve">Peptic ulcer disease</w:t>
            </w:r>
          </w:p>
        </w:tc>
        <w:tc>
          <w:tcPr/>
          <w:p>
            <w:pPr>
              <w:pStyle w:val="Compact"/>
              <w:jc w:val="left"/>
            </w:pPr>
            <w:r>
              <w:t xml:space="preserve">1.01</w:t>
            </w:r>
          </w:p>
        </w:tc>
      </w:tr>
      <w:tr>
        <w:tc>
          <w:tcPr/>
          <w:p>
            <w:pPr>
              <w:pStyle w:val="Compact"/>
              <w:jc w:val="left"/>
            </w:pPr>
            <w:r>
              <w:t xml:space="preserve">HIV/AIDS</w:t>
            </w:r>
          </w:p>
        </w:tc>
        <w:tc>
          <w:tcPr/>
          <w:p>
            <w:pPr>
              <w:pStyle w:val="Compact"/>
              <w:jc w:val="left"/>
            </w:pPr>
            <w:r>
              <w:t xml:space="preserve">1.01</w:t>
            </w:r>
          </w:p>
        </w:tc>
      </w:tr>
      <w:tr>
        <w:tc>
          <w:tcPr/>
          <w:p>
            <w:pPr>
              <w:pStyle w:val="Compact"/>
              <w:jc w:val="left"/>
            </w:pPr>
            <w:r>
              <w:t xml:space="preserve">Lymphoma</w:t>
            </w:r>
          </w:p>
        </w:tc>
        <w:tc>
          <w:tcPr/>
          <w:p>
            <w:pPr>
              <w:pStyle w:val="Compact"/>
              <w:jc w:val="left"/>
            </w:pPr>
            <w:r>
              <w:t xml:space="preserve">1.01</w:t>
            </w:r>
          </w:p>
        </w:tc>
      </w:tr>
      <w:tr>
        <w:tc>
          <w:tcPr/>
          <w:p>
            <w:pPr>
              <w:pStyle w:val="Compact"/>
              <w:jc w:val="left"/>
            </w:pPr>
            <w:r>
              <w:t xml:space="preserve">Primary expected payer: Missing/other</w:t>
            </w:r>
          </w:p>
        </w:tc>
        <w:tc>
          <w:tcPr/>
          <w:p>
            <w:pPr>
              <w:pStyle w:val="Compact"/>
              <w:jc w:val="left"/>
            </w:pPr>
            <w:r>
              <w:t xml:space="preserve">1</w:t>
            </w:r>
          </w:p>
        </w:tc>
      </w:tr>
      <w:tr>
        <w:tc>
          <w:tcPr/>
          <w:p>
            <w:pPr>
              <w:pStyle w:val="Compact"/>
              <w:jc w:val="left"/>
            </w:pPr>
            <w:r>
              <w:t xml:space="preserve">Admission day: Weekend (Sat-Sun)</w:t>
            </w:r>
          </w:p>
        </w:tc>
        <w:tc>
          <w:tcPr/>
          <w:p>
            <w:pPr>
              <w:pStyle w:val="Compact"/>
              <w:jc w:val="left"/>
            </w:pPr>
            <w:r>
              <w:t xml:space="preserve">1</w:t>
            </w:r>
          </w:p>
        </w:tc>
      </w:tr>
    </w:tbl>
    <w:p>
      <w:pPr>
        <w:pStyle w:val="CaptionedFigure"/>
      </w:pPr>
      <w:r>
        <w:drawing>
          <wp:inline>
            <wp:extent cx="4946003" cy="4579632"/>
            <wp:effectExtent b="0" l="0" r="0" t="0"/>
            <wp:docPr descr="Figure S3. Calibration of the primary model." title="" id="73" name="Picture"/>
            <a:graphic>
              <a:graphicData uri="http://schemas.openxmlformats.org/drawingml/2006/picture">
                <pic:pic>
                  <pic:nvPicPr>
                    <pic:cNvPr descr="C:/Users/saada/Documents/Biostatistics/AliFam-Nerds/RCOP_NRD/NRD_Saad_T2MI_Precip/figures/FigureS3_calibration.png" id="74" name="Picture"/>
                    <pic:cNvPicPr>
                      <a:picLocks noChangeArrowheads="1" noChangeAspect="1"/>
                    </pic:cNvPicPr>
                  </pic:nvPicPr>
                  <pic:blipFill>
                    <a:blip r:embed="rId72"/>
                    <a:stretch>
                      <a:fillRect/>
                    </a:stretch>
                  </pic:blipFill>
                  <pic:spPr bwMode="auto">
                    <a:xfrm>
                      <a:off x="0" y="0"/>
                      <a:ext cx="4946003" cy="4579632"/>
                    </a:xfrm>
                    <a:prstGeom prst="rect">
                      <a:avLst/>
                    </a:prstGeom>
                    <a:noFill/>
                    <a:ln w="9525">
                      <a:noFill/>
                      <a:headEnd/>
                      <a:tailEnd/>
                    </a:ln>
                  </pic:spPr>
                </pic:pic>
              </a:graphicData>
            </a:graphic>
          </wp:inline>
        </w:drawing>
      </w:r>
    </w:p>
    <w:p>
      <w:pPr>
        <w:pStyle w:val="ImageCaption"/>
      </w:pPr>
      <w:r>
        <w:t xml:space="preserve">Figure S3. Calibration of the primary model.</w:t>
      </w:r>
    </w:p>
    <w:p>
      <w:pPr>
        <w:pStyle w:val="CaptionedFigure"/>
      </w:pPr>
      <w:r>
        <w:drawing>
          <wp:inline>
            <wp:extent cx="5334000" cy="3228473"/>
            <wp:effectExtent b="0" l="0" r="0" t="0"/>
            <wp:docPr descr="Figure S5. Adjusted readmission risk by age and precipitating illness class." title="" id="76" name="Picture"/>
            <a:graphic>
              <a:graphicData uri="http://schemas.openxmlformats.org/drawingml/2006/picture">
                <pic:pic>
                  <pic:nvPicPr>
                    <pic:cNvPr descr="C:/Users/saada/Documents/Biostatistics/AliFam-Nerds/RCOP_NRD/NRD_Saad_T2MI_Precip/figures/FigureS5_age_spline.png" id="77" name="Picture"/>
                    <pic:cNvPicPr>
                      <a:picLocks noChangeArrowheads="1" noChangeAspect="1"/>
                    </pic:cNvPicPr>
                  </pic:nvPicPr>
                  <pic:blipFill>
                    <a:blip r:embed="rId75"/>
                    <a:stretch>
                      <a:fillRect/>
                    </a:stretch>
                  </pic:blipFill>
                  <pic:spPr bwMode="auto">
                    <a:xfrm>
                      <a:off x="0" y="0"/>
                      <a:ext cx="5334000" cy="3228473"/>
                    </a:xfrm>
                    <a:prstGeom prst="rect">
                      <a:avLst/>
                    </a:prstGeom>
                    <a:noFill/>
                    <a:ln w="9525">
                      <a:noFill/>
                      <a:headEnd/>
                      <a:tailEnd/>
                    </a:ln>
                  </pic:spPr>
                </pic:pic>
              </a:graphicData>
            </a:graphic>
          </wp:inline>
        </w:drawing>
      </w:r>
    </w:p>
    <w:p>
      <w:pPr>
        <w:pStyle w:val="ImageCaption"/>
      </w:pPr>
      <w:r>
        <w:t xml:space="preserve">Figure S5. Adjusted readmission risk by age and precipitating illness class.</w:t>
      </w:r>
    </w:p>
    <w:bookmarkEnd w:id="78"/>
    <w:bookmarkStart w:id="79" w:name="missing-data-and-code-lists"/>
    <w:p>
      <w:pPr>
        <w:pStyle w:val="Heading1"/>
      </w:pPr>
      <w:r>
        <w:t xml:space="preserve">14. Missing data and code lists</w:t>
      </w:r>
    </w:p>
    <w:p>
      <w:pPr>
        <w:pStyle w:val="TableCaption"/>
      </w:pPr>
      <w:r>
        <w:t xml:space="preserve">Table S7. Missingness on primary-model covariates (only covariates with any missing value).</w:t>
      </w:r>
    </w:p>
    <w:tbl>
      <w:tblPr>
        <w:tblStyle w:val="Table"/>
        <w:tblW w:type="auto" w:w="0"/>
        <w:tblLook w:firstRow="1" w:lastRow="0" w:firstColumn="0" w:lastColumn="0" w:noHBand="0" w:noVBand="0" w:val="0020"/>
        <w:tblCaption w:val="Table S7. Missingness on primary-model covariates (only covariates with any missing value)."/>
      </w:tblPr>
      <w:tblGrid>
        <w:gridCol w:w="1980"/>
        <w:gridCol w:w="1980"/>
        <w:gridCol w:w="1980"/>
        <w:gridCol w:w="1980"/>
      </w:tblGrid>
      <w:tr>
        <w:trPr>
          <w:tblHeader w:val="on"/>
        </w:trPr>
        <w:tc>
          <w:tcPr/>
          <w:p>
            <w:pPr>
              <w:pStyle w:val="Compact"/>
              <w:jc w:val="left"/>
            </w:pPr>
            <w:r>
              <w:t xml:space="preserve">Variable</w:t>
            </w:r>
          </w:p>
        </w:tc>
        <w:tc>
          <w:tcPr/>
          <w:p>
            <w:pPr>
              <w:pStyle w:val="Compact"/>
              <w:jc w:val="left"/>
            </w:pPr>
            <w:r>
              <w:t xml:space="preserve">Missing n</w:t>
            </w:r>
          </w:p>
        </w:tc>
        <w:tc>
          <w:tcPr/>
          <w:p>
            <w:pPr>
              <w:pStyle w:val="Compact"/>
              <w:jc w:val="left"/>
            </w:pPr>
            <w:r>
              <w:t xml:space="preserve">Missing %</w:t>
            </w:r>
          </w:p>
        </w:tc>
        <w:tc>
          <w:tcPr/>
          <w:p>
            <w:pPr>
              <w:pStyle w:val="Compact"/>
              <w:jc w:val="left"/>
            </w:pPr>
            <w:r>
              <w:t xml:space="preserve">Handling</w:t>
            </w:r>
          </w:p>
        </w:tc>
      </w:tr>
      <w:tr>
        <w:tc>
          <w:tcPr/>
          <w:p>
            <w:pPr>
              <w:pStyle w:val="Compact"/>
              <w:jc w:val="left"/>
            </w:pPr>
            <w:r>
              <w:t xml:space="preserve">Admission type</w:t>
            </w:r>
          </w:p>
        </w:tc>
        <w:tc>
          <w:tcPr/>
          <w:p>
            <w:pPr>
              <w:pStyle w:val="Compact"/>
              <w:jc w:val="left"/>
            </w:pPr>
            <w:r>
              <w:t xml:space="preserve">650</w:t>
            </w:r>
          </w:p>
        </w:tc>
        <w:tc>
          <w:tcPr/>
          <w:p>
            <w:pPr>
              <w:pStyle w:val="Compact"/>
              <w:jc w:val="left"/>
            </w:pPr>
            <w:r>
              <w:t xml:space="preserve">0.07%</w:t>
            </w:r>
          </w:p>
        </w:tc>
        <w:tc>
          <w:tcPr/>
          <w:p>
            <w:pPr>
              <w:pStyle w:val="Compact"/>
              <w:jc w:val="left"/>
            </w:pPr>
            <w:r>
              <w:t xml:space="preserve">Complete case</w:t>
            </w:r>
          </w:p>
        </w:tc>
      </w:tr>
    </w:tbl>
    <w:p>
      <w:pPr>
        <w:pStyle w:val="BodyText"/>
      </w:pPr>
      <w:r>
        <w:t xml:space="preserve">Categorical covariates retain an explicit</w:t>
      </w:r>
      <w:r>
        <w:t xml:space="preserve"> </w:t>
      </w:r>
      <w:r>
        <w:t xml:space="preserve">‘Missing/other’</w:t>
      </w:r>
      <w:r>
        <w:t xml:space="preserve"> </w:t>
      </w:r>
      <w:r>
        <w:t xml:space="preserve">level; only continuous covariates and variables with no defensible missing category are complete-cased. The pre-specified trigger for multiple imputation is 5% missingness on any primary-model covariate.</w:t>
      </w:r>
    </w:p>
    <w:p>
      <w:pPr>
        <w:pStyle w:val="TableCaption"/>
      </w:pPr>
      <w:r>
        <w:t xml:space="preserve">Table S9. Complete code lists, exactly as matched (SAP A17).</w:t>
      </w:r>
    </w:p>
    <w:tbl>
      <w:tblPr>
        <w:tblStyle w:val="Table"/>
        <w:tblW w:type="pct" w:w="5000"/>
        <w:tblLayout w:type="fixed"/>
        <w:tblLook w:firstRow="1" w:lastRow="0" w:firstColumn="0" w:lastColumn="0" w:noHBand="0" w:noVBand="0" w:val="0020"/>
        <w:tblCaption w:val="Table S9. Complete code lists, exactly as matched (SAP A17)."/>
      </w:tblPr>
      <w:tblGrid>
        <w:gridCol w:w="3141"/>
        <w:gridCol w:w="486"/>
        <w:gridCol w:w="4291"/>
      </w:tblGrid>
      <w:tr>
        <w:trPr>
          <w:tblHeader w:val="on"/>
        </w:trPr>
        <w:tc>
          <w:tcPr/>
          <w:p>
            <w:pPr>
              <w:pStyle w:val="Compact"/>
              <w:jc w:val="left"/>
            </w:pPr>
            <w:r>
              <w:t xml:space="preserve">Group</w:t>
            </w:r>
          </w:p>
        </w:tc>
        <w:tc>
          <w:tcPr/>
          <w:p>
            <w:pPr>
              <w:pStyle w:val="Compact"/>
              <w:jc w:val="left"/>
            </w:pPr>
            <w:r>
              <w:t xml:space="preserve">System</w:t>
            </w:r>
          </w:p>
        </w:tc>
        <w:tc>
          <w:tcPr/>
          <w:p>
            <w:pPr>
              <w:pStyle w:val="Compact"/>
              <w:jc w:val="left"/>
            </w:pPr>
            <w:r>
              <w:t xml:space="preserve">Code</w:t>
            </w:r>
          </w:p>
        </w:tc>
      </w:tr>
      <w:tr>
        <w:tc>
          <w:tcPr/>
          <w:p>
            <w:pPr>
              <w:pStyle w:val="Compact"/>
              <w:jc w:val="left"/>
            </w:pPr>
            <w:r>
              <w:t xml:space="preserve">Type 2 myocardial infarction (any-listed, index cohort)</w:t>
            </w:r>
          </w:p>
        </w:tc>
        <w:tc>
          <w:tcPr/>
          <w:p>
            <w:pPr>
              <w:pStyle w:val="Compact"/>
              <w:jc w:val="left"/>
            </w:pPr>
            <w:r>
              <w:t xml:space="preserve">ICD-10-CM</w:t>
            </w:r>
          </w:p>
        </w:tc>
        <w:tc>
          <w:tcPr/>
          <w:p>
            <w:pPr>
              <w:pStyle w:val="Compact"/>
              <w:jc w:val="left"/>
            </w:pPr>
            <w:r>
              <w:t xml:space="preserve">I21A1</w:t>
            </w:r>
          </w:p>
        </w:tc>
      </w:tr>
      <w:tr>
        <w:tc>
          <w:tcPr/>
          <w:p>
            <w:pPr>
              <w:pStyle w:val="Compact"/>
              <w:jc w:val="left"/>
            </w:pPr>
            <w:r>
              <w:t xml:space="preserve">Other myocardial infarction type (excluded, not pooled)</w:t>
            </w:r>
          </w:p>
        </w:tc>
        <w:tc>
          <w:tcPr/>
          <w:p>
            <w:pPr>
              <w:pStyle w:val="Compact"/>
              <w:jc w:val="left"/>
            </w:pPr>
            <w:r>
              <w:t xml:space="preserve">ICD-10-CM</w:t>
            </w:r>
          </w:p>
        </w:tc>
        <w:tc>
          <w:tcPr/>
          <w:p>
            <w:pPr>
              <w:pStyle w:val="Compact"/>
              <w:jc w:val="left"/>
            </w:pPr>
            <w:r>
              <w:t xml:space="preserve">I21A9</w:t>
            </w:r>
          </w:p>
        </w:tc>
      </w:tr>
      <w:tr>
        <w:tc>
          <w:tcPr/>
          <w:p>
            <w:pPr>
              <w:pStyle w:val="Compact"/>
              <w:jc w:val="left"/>
            </w:pPr>
            <w:r>
              <w:t xml:space="preserve">Type 1 myocardial infarction (contamination exclusion; comparator arm)</w:t>
            </w:r>
          </w:p>
        </w:tc>
        <w:tc>
          <w:tcPr/>
          <w:p>
            <w:pPr>
              <w:pStyle w:val="Compact"/>
              <w:jc w:val="left"/>
            </w:pPr>
            <w:r>
              <w:t xml:space="preserve">ICD-10-CM</w:t>
            </w:r>
          </w:p>
        </w:tc>
        <w:tc>
          <w:tcPr/>
          <w:p>
            <w:pPr>
              <w:pStyle w:val="Compact"/>
              <w:jc w:val="left"/>
            </w:pPr>
            <w:r>
              <w:t xml:space="preserve">I210 (prefix)</w:t>
            </w:r>
          </w:p>
        </w:tc>
      </w:tr>
      <w:tr>
        <w:tc>
          <w:tcPr/>
          <w:p>
            <w:pPr>
              <w:pStyle w:val="Compact"/>
              <w:jc w:val="left"/>
            </w:pPr>
            <w:r>
              <w:t xml:space="preserve">Type 1 myocardial infarction (contamination exclusion; comparator arm)</w:t>
            </w:r>
          </w:p>
        </w:tc>
        <w:tc>
          <w:tcPr/>
          <w:p>
            <w:pPr>
              <w:pStyle w:val="Compact"/>
              <w:jc w:val="left"/>
            </w:pPr>
            <w:r>
              <w:t xml:space="preserve">ICD-10-CM</w:t>
            </w:r>
          </w:p>
        </w:tc>
        <w:tc>
          <w:tcPr/>
          <w:p>
            <w:pPr>
              <w:pStyle w:val="Compact"/>
              <w:jc w:val="left"/>
            </w:pPr>
            <w:r>
              <w:t xml:space="preserve">I211 (prefix)</w:t>
            </w:r>
          </w:p>
        </w:tc>
      </w:tr>
      <w:tr>
        <w:tc>
          <w:tcPr/>
          <w:p>
            <w:pPr>
              <w:pStyle w:val="Compact"/>
              <w:jc w:val="left"/>
            </w:pPr>
            <w:r>
              <w:t xml:space="preserve">Type 1 myocardial infarction (contamination exclusion; comparator arm)</w:t>
            </w:r>
          </w:p>
        </w:tc>
        <w:tc>
          <w:tcPr/>
          <w:p>
            <w:pPr>
              <w:pStyle w:val="Compact"/>
              <w:jc w:val="left"/>
            </w:pPr>
            <w:r>
              <w:t xml:space="preserve">ICD-10-CM</w:t>
            </w:r>
          </w:p>
        </w:tc>
        <w:tc>
          <w:tcPr/>
          <w:p>
            <w:pPr>
              <w:pStyle w:val="Compact"/>
              <w:jc w:val="left"/>
            </w:pPr>
            <w:r>
              <w:t xml:space="preserve">I212 (prefix)</w:t>
            </w:r>
          </w:p>
        </w:tc>
      </w:tr>
      <w:tr>
        <w:tc>
          <w:tcPr/>
          <w:p>
            <w:pPr>
              <w:pStyle w:val="Compact"/>
              <w:jc w:val="left"/>
            </w:pPr>
            <w:r>
              <w:t xml:space="preserve">Type 1 myocardial infarction (contamination exclusion; comparator arm)</w:t>
            </w:r>
          </w:p>
        </w:tc>
        <w:tc>
          <w:tcPr/>
          <w:p>
            <w:pPr>
              <w:pStyle w:val="Compact"/>
              <w:jc w:val="left"/>
            </w:pPr>
            <w:r>
              <w:t xml:space="preserve">ICD-10-CM</w:t>
            </w:r>
          </w:p>
        </w:tc>
        <w:tc>
          <w:tcPr/>
          <w:p>
            <w:pPr>
              <w:pStyle w:val="Compact"/>
              <w:jc w:val="left"/>
            </w:pPr>
            <w:r>
              <w:t xml:space="preserve">I213 (prefix)</w:t>
            </w:r>
          </w:p>
        </w:tc>
      </w:tr>
      <w:tr>
        <w:tc>
          <w:tcPr/>
          <w:p>
            <w:pPr>
              <w:pStyle w:val="Compact"/>
              <w:jc w:val="left"/>
            </w:pPr>
            <w:r>
              <w:t xml:space="preserve">Type 1 myocardial infarction (contamination exclusion; comparator arm)</w:t>
            </w:r>
          </w:p>
        </w:tc>
        <w:tc>
          <w:tcPr/>
          <w:p>
            <w:pPr>
              <w:pStyle w:val="Compact"/>
              <w:jc w:val="left"/>
            </w:pPr>
            <w:r>
              <w:t xml:space="preserve">ICD-10-CM</w:t>
            </w:r>
          </w:p>
        </w:tc>
        <w:tc>
          <w:tcPr/>
          <w:p>
            <w:pPr>
              <w:pStyle w:val="Compact"/>
              <w:jc w:val="left"/>
            </w:pPr>
            <w:r>
              <w:t xml:space="preserve">I214 (prefix)</w:t>
            </w:r>
          </w:p>
        </w:tc>
      </w:tr>
      <w:tr>
        <w:tc>
          <w:tcPr/>
          <w:p>
            <w:pPr>
              <w:pStyle w:val="Compact"/>
              <w:jc w:val="left"/>
            </w:pPr>
            <w:r>
              <w:t xml:space="preserve">Type 1 myocardial infarction (contamination exclusion; comparator arm)</w:t>
            </w:r>
          </w:p>
        </w:tc>
        <w:tc>
          <w:tcPr/>
          <w:p>
            <w:pPr>
              <w:pStyle w:val="Compact"/>
              <w:jc w:val="left"/>
            </w:pPr>
            <w:r>
              <w:t xml:space="preserve">ICD-10-CM</w:t>
            </w:r>
          </w:p>
        </w:tc>
        <w:tc>
          <w:tcPr/>
          <w:p>
            <w:pPr>
              <w:pStyle w:val="Compact"/>
              <w:jc w:val="left"/>
            </w:pPr>
            <w:r>
              <w:t xml:space="preserve">I219 (prefix)</w:t>
            </w:r>
          </w:p>
        </w:tc>
      </w:tr>
      <w:tr>
        <w:tc>
          <w:tcPr/>
          <w:p>
            <w:pPr>
              <w:pStyle w:val="Compact"/>
              <w:jc w:val="left"/>
            </w:pPr>
            <w:r>
              <w:t xml:space="preserve">Type 1 myocardial infarction (contamination exclusion; comparator arm)</w:t>
            </w:r>
          </w:p>
        </w:tc>
        <w:tc>
          <w:tcPr/>
          <w:p>
            <w:pPr>
              <w:pStyle w:val="Compact"/>
              <w:jc w:val="left"/>
            </w:pPr>
            <w:r>
              <w:t xml:space="preserve">ICD-10-CM</w:t>
            </w:r>
          </w:p>
        </w:tc>
        <w:tc>
          <w:tcPr/>
          <w:p>
            <w:pPr>
              <w:pStyle w:val="Compact"/>
              <w:jc w:val="left"/>
            </w:pPr>
            <w:r>
              <w:t xml:space="preserve">I22 (prefix)</w:t>
            </w:r>
          </w:p>
        </w:tc>
      </w:tr>
      <w:tr>
        <w:tc>
          <w:tcPr/>
          <w:p>
            <w:pPr>
              <w:pStyle w:val="Compact"/>
              <w:jc w:val="left"/>
            </w:pPr>
            <w:r>
              <w:t xml:space="preserve">Precipitant rank 1: sepsis or severe infection</w:t>
            </w:r>
          </w:p>
        </w:tc>
        <w:tc>
          <w:tcPr/>
          <w:p>
            <w:pPr>
              <w:pStyle w:val="Compact"/>
              <w:jc w:val="left"/>
            </w:pPr>
            <w:r>
              <w:t xml:space="preserve">ICD-10-CM</w:t>
            </w:r>
          </w:p>
        </w:tc>
        <w:tc>
          <w:tcPr/>
          <w:p>
            <w:pPr>
              <w:pStyle w:val="Compact"/>
              <w:jc w:val="left"/>
            </w:pPr>
            <w:r>
              <w:t xml:space="preserve">A40 (prefix)</w:t>
            </w:r>
          </w:p>
        </w:tc>
      </w:tr>
      <w:tr>
        <w:tc>
          <w:tcPr/>
          <w:p>
            <w:pPr>
              <w:pStyle w:val="Compact"/>
              <w:jc w:val="left"/>
            </w:pPr>
            <w:r>
              <w:t xml:space="preserve">Precipitant rank 1: sepsis or severe infection</w:t>
            </w:r>
          </w:p>
        </w:tc>
        <w:tc>
          <w:tcPr/>
          <w:p>
            <w:pPr>
              <w:pStyle w:val="Compact"/>
              <w:jc w:val="left"/>
            </w:pPr>
            <w:r>
              <w:t xml:space="preserve">ICD-10-CM</w:t>
            </w:r>
          </w:p>
        </w:tc>
        <w:tc>
          <w:tcPr/>
          <w:p>
            <w:pPr>
              <w:pStyle w:val="Compact"/>
              <w:jc w:val="left"/>
            </w:pPr>
            <w:r>
              <w:t xml:space="preserve">A41 (prefix)</w:t>
            </w:r>
          </w:p>
        </w:tc>
      </w:tr>
      <w:tr>
        <w:tc>
          <w:tcPr/>
          <w:p>
            <w:pPr>
              <w:pStyle w:val="Compact"/>
              <w:jc w:val="left"/>
            </w:pPr>
            <w:r>
              <w:t xml:space="preserve">Precipitant rank 1: sepsis or severe infection</w:t>
            </w:r>
          </w:p>
        </w:tc>
        <w:tc>
          <w:tcPr/>
          <w:p>
            <w:pPr>
              <w:pStyle w:val="Compact"/>
              <w:jc w:val="left"/>
            </w:pPr>
            <w:r>
              <w:t xml:space="preserve">ICD-10-CM</w:t>
            </w:r>
          </w:p>
        </w:tc>
        <w:tc>
          <w:tcPr/>
          <w:p>
            <w:pPr>
              <w:pStyle w:val="Compact"/>
              <w:jc w:val="left"/>
            </w:pPr>
            <w:r>
              <w:t xml:space="preserve">R6520 (prefix)</w:t>
            </w:r>
          </w:p>
        </w:tc>
      </w:tr>
      <w:tr>
        <w:tc>
          <w:tcPr/>
          <w:p>
            <w:pPr>
              <w:pStyle w:val="Compact"/>
              <w:jc w:val="left"/>
            </w:pPr>
            <w:r>
              <w:t xml:space="preserve">Precipitant rank 1: sepsis or severe infection</w:t>
            </w:r>
          </w:p>
        </w:tc>
        <w:tc>
          <w:tcPr/>
          <w:p>
            <w:pPr>
              <w:pStyle w:val="Compact"/>
              <w:jc w:val="left"/>
            </w:pPr>
            <w:r>
              <w:t xml:space="preserve">ICD-10-CM</w:t>
            </w:r>
          </w:p>
        </w:tc>
        <w:tc>
          <w:tcPr/>
          <w:p>
            <w:pPr>
              <w:pStyle w:val="Compact"/>
              <w:jc w:val="left"/>
            </w:pPr>
            <w:r>
              <w:t xml:space="preserve">R6521 (prefix)</w:t>
            </w:r>
          </w:p>
        </w:tc>
      </w:tr>
      <w:tr>
        <w:tc>
          <w:tcPr/>
          <w:p>
            <w:pPr>
              <w:pStyle w:val="Compact"/>
              <w:jc w:val="left"/>
            </w:pPr>
            <w:r>
              <w:t xml:space="preserve">Precipitant rank 2: acute GI bleed or blood-loss anaemia</w:t>
            </w:r>
          </w:p>
        </w:tc>
        <w:tc>
          <w:tcPr/>
          <w:p>
            <w:pPr>
              <w:pStyle w:val="Compact"/>
              <w:jc w:val="left"/>
            </w:pPr>
            <w:r>
              <w:t xml:space="preserve">ICD-10-CM</w:t>
            </w:r>
          </w:p>
        </w:tc>
        <w:tc>
          <w:tcPr/>
          <w:p>
            <w:pPr>
              <w:pStyle w:val="Compact"/>
              <w:jc w:val="left"/>
            </w:pPr>
            <w:r>
              <w:t xml:space="preserve">K920 (prefix)</w:t>
            </w:r>
          </w:p>
        </w:tc>
      </w:tr>
      <w:tr>
        <w:tc>
          <w:tcPr/>
          <w:p>
            <w:pPr>
              <w:pStyle w:val="Compact"/>
              <w:jc w:val="left"/>
            </w:pPr>
            <w:r>
              <w:t xml:space="preserve">Precipitant rank 2: acute GI bleed or blood-loss anaemia</w:t>
            </w:r>
          </w:p>
        </w:tc>
        <w:tc>
          <w:tcPr/>
          <w:p>
            <w:pPr>
              <w:pStyle w:val="Compact"/>
              <w:jc w:val="left"/>
            </w:pPr>
            <w:r>
              <w:t xml:space="preserve">ICD-10-CM</w:t>
            </w:r>
          </w:p>
        </w:tc>
        <w:tc>
          <w:tcPr/>
          <w:p>
            <w:pPr>
              <w:pStyle w:val="Compact"/>
              <w:jc w:val="left"/>
            </w:pPr>
            <w:r>
              <w:t xml:space="preserve">K921 (prefix)</w:t>
            </w:r>
          </w:p>
        </w:tc>
      </w:tr>
      <w:tr>
        <w:tc>
          <w:tcPr/>
          <w:p>
            <w:pPr>
              <w:pStyle w:val="Compact"/>
              <w:jc w:val="left"/>
            </w:pPr>
            <w:r>
              <w:t xml:space="preserve">Precipitant rank 2: acute GI bleed or blood-loss anaemia</w:t>
            </w:r>
          </w:p>
        </w:tc>
        <w:tc>
          <w:tcPr/>
          <w:p>
            <w:pPr>
              <w:pStyle w:val="Compact"/>
              <w:jc w:val="left"/>
            </w:pPr>
            <w:r>
              <w:t xml:space="preserve">ICD-10-CM</w:t>
            </w:r>
          </w:p>
        </w:tc>
        <w:tc>
          <w:tcPr/>
          <w:p>
            <w:pPr>
              <w:pStyle w:val="Compact"/>
              <w:jc w:val="left"/>
            </w:pPr>
            <w:r>
              <w:t xml:space="preserve">K922 (prefix)</w:t>
            </w:r>
          </w:p>
        </w:tc>
      </w:tr>
      <w:tr>
        <w:tc>
          <w:tcPr/>
          <w:p>
            <w:pPr>
              <w:pStyle w:val="Compact"/>
              <w:jc w:val="left"/>
            </w:pPr>
            <w:r>
              <w:t xml:space="preserve">Precipitant rank 2: acute GI bleed or blood-loss anaemia</w:t>
            </w:r>
          </w:p>
        </w:tc>
        <w:tc>
          <w:tcPr/>
          <w:p>
            <w:pPr>
              <w:pStyle w:val="Compact"/>
              <w:jc w:val="left"/>
            </w:pPr>
            <w:r>
              <w:t xml:space="preserve">ICD-10-CM</w:t>
            </w:r>
          </w:p>
        </w:tc>
        <w:tc>
          <w:tcPr/>
          <w:p>
            <w:pPr>
              <w:pStyle w:val="Compact"/>
              <w:jc w:val="left"/>
            </w:pPr>
            <w:r>
              <w:t xml:space="preserve">D62 (prefix)</w:t>
            </w:r>
          </w:p>
        </w:tc>
      </w:tr>
      <w:tr>
        <w:tc>
          <w:tcPr/>
          <w:p>
            <w:pPr>
              <w:pStyle w:val="Compact"/>
              <w:jc w:val="left"/>
            </w:pPr>
            <w:r>
              <w:t xml:space="preserve">Precipitant rank 3: hypertensive emergency</w:t>
            </w:r>
          </w:p>
        </w:tc>
        <w:tc>
          <w:tcPr/>
          <w:p>
            <w:pPr>
              <w:pStyle w:val="Compact"/>
              <w:jc w:val="left"/>
            </w:pPr>
            <w:r>
              <w:t xml:space="preserve">ICD-10-CM</w:t>
            </w:r>
          </w:p>
        </w:tc>
        <w:tc>
          <w:tcPr/>
          <w:p>
            <w:pPr>
              <w:pStyle w:val="Compact"/>
              <w:jc w:val="left"/>
            </w:pPr>
            <w:r>
              <w:t xml:space="preserve">I161</w:t>
            </w:r>
          </w:p>
        </w:tc>
      </w:tr>
      <w:tr>
        <w:tc>
          <w:tcPr/>
          <w:p>
            <w:pPr>
              <w:pStyle w:val="Compact"/>
              <w:jc w:val="left"/>
            </w:pPr>
            <w:r>
              <w:t xml:space="preserve">Precipitant rank 3: hypertensive emergency</w:t>
            </w:r>
          </w:p>
        </w:tc>
        <w:tc>
          <w:tcPr/>
          <w:p>
            <w:pPr>
              <w:pStyle w:val="Compact"/>
              <w:jc w:val="left"/>
            </w:pPr>
            <w:r>
              <w:t xml:space="preserve">ICD-10-CM</w:t>
            </w:r>
          </w:p>
        </w:tc>
        <w:tc>
          <w:tcPr/>
          <w:p>
            <w:pPr>
              <w:pStyle w:val="Compact"/>
              <w:jc w:val="left"/>
            </w:pPr>
            <w:r>
              <w:t xml:space="preserve">I169</w:t>
            </w:r>
          </w:p>
        </w:tc>
      </w:tr>
      <w:tr>
        <w:tc>
          <w:tcPr/>
          <w:p>
            <w:pPr>
              <w:pStyle w:val="Compact"/>
              <w:jc w:val="left"/>
            </w:pPr>
            <w:r>
              <w:t xml:space="preserve">NOT a precipitant: hypertensive URGENCY, counted and reported only</w:t>
            </w:r>
          </w:p>
        </w:tc>
        <w:tc>
          <w:tcPr/>
          <w:p>
            <w:pPr>
              <w:pStyle w:val="Compact"/>
              <w:jc w:val="left"/>
            </w:pPr>
            <w:r>
              <w:t xml:space="preserve">ICD-10-CM</w:t>
            </w:r>
          </w:p>
        </w:tc>
        <w:tc>
          <w:tcPr/>
          <w:p>
            <w:pPr>
              <w:pStyle w:val="Compact"/>
              <w:jc w:val="left"/>
            </w:pPr>
            <w:r>
              <w:t xml:space="preserve">I160</w:t>
            </w:r>
          </w:p>
        </w:tc>
      </w:tr>
      <w:tr>
        <w:tc>
          <w:tcPr/>
          <w:p>
            <w:pPr>
              <w:pStyle w:val="Compact"/>
              <w:jc w:val="left"/>
            </w:pPr>
            <w:r>
              <w:t xml:space="preserve">Precipitant rank 4: tachyarrhythmia</w:t>
            </w:r>
          </w:p>
        </w:tc>
        <w:tc>
          <w:tcPr/>
          <w:p>
            <w:pPr>
              <w:pStyle w:val="Compact"/>
              <w:jc w:val="left"/>
            </w:pPr>
            <w:r>
              <w:t xml:space="preserve">ICD-10-CM</w:t>
            </w:r>
          </w:p>
        </w:tc>
        <w:tc>
          <w:tcPr/>
          <w:p>
            <w:pPr>
              <w:pStyle w:val="Compact"/>
              <w:jc w:val="left"/>
            </w:pPr>
            <w:r>
              <w:t xml:space="preserve">I47 (prefix)</w:t>
            </w:r>
          </w:p>
        </w:tc>
      </w:tr>
      <w:tr>
        <w:tc>
          <w:tcPr/>
          <w:p>
            <w:pPr>
              <w:pStyle w:val="Compact"/>
              <w:jc w:val="left"/>
            </w:pPr>
            <w:r>
              <w:t xml:space="preserve">Precipitant rank 4: tachyarrhythmia</w:t>
            </w:r>
          </w:p>
        </w:tc>
        <w:tc>
          <w:tcPr/>
          <w:p>
            <w:pPr>
              <w:pStyle w:val="Compact"/>
              <w:jc w:val="left"/>
            </w:pPr>
            <w:r>
              <w:t xml:space="preserve">ICD-10-CM</w:t>
            </w:r>
          </w:p>
        </w:tc>
        <w:tc>
          <w:tcPr/>
          <w:p>
            <w:pPr>
              <w:pStyle w:val="Compact"/>
              <w:jc w:val="left"/>
            </w:pPr>
            <w:r>
              <w:t xml:space="preserve">I48 (prefix)</w:t>
            </w:r>
          </w:p>
        </w:tc>
      </w:tr>
      <w:tr>
        <w:tc>
          <w:tcPr/>
          <w:p>
            <w:pPr>
              <w:pStyle w:val="Compact"/>
              <w:jc w:val="left"/>
            </w:pPr>
            <w:r>
              <w:t xml:space="preserve">Precipitant rank 4: tachyarrhythmia</w:t>
            </w:r>
          </w:p>
        </w:tc>
        <w:tc>
          <w:tcPr/>
          <w:p>
            <w:pPr>
              <w:pStyle w:val="Compact"/>
              <w:jc w:val="left"/>
            </w:pPr>
            <w:r>
              <w:t xml:space="preserve">ICD-10-CM</w:t>
            </w:r>
          </w:p>
        </w:tc>
        <w:tc>
          <w:tcPr/>
          <w:p>
            <w:pPr>
              <w:pStyle w:val="Compact"/>
              <w:jc w:val="left"/>
            </w:pPr>
            <w:r>
              <w:t xml:space="preserve">I4901 (prefix)</w:t>
            </w:r>
          </w:p>
        </w:tc>
      </w:tr>
      <w:tr>
        <w:tc>
          <w:tcPr/>
          <w:p>
            <w:pPr>
              <w:pStyle w:val="Compact"/>
              <w:jc w:val="left"/>
            </w:pPr>
            <w:r>
              <w:t xml:space="preserve">Precipitant rank 4: tachyarrhythmia</w:t>
            </w:r>
          </w:p>
        </w:tc>
        <w:tc>
          <w:tcPr/>
          <w:p>
            <w:pPr>
              <w:pStyle w:val="Compact"/>
              <w:jc w:val="left"/>
            </w:pPr>
            <w:r>
              <w:t xml:space="preserve">ICD-10-CM</w:t>
            </w:r>
          </w:p>
        </w:tc>
        <w:tc>
          <w:tcPr/>
          <w:p>
            <w:pPr>
              <w:pStyle w:val="Compact"/>
              <w:jc w:val="left"/>
            </w:pPr>
            <w:r>
              <w:t xml:space="preserve">I4902 (prefix)</w:t>
            </w:r>
          </w:p>
        </w:tc>
      </w:tr>
      <w:tr>
        <w:tc>
          <w:tcPr/>
          <w:p>
            <w:pPr>
              <w:pStyle w:val="Compact"/>
              <w:jc w:val="left"/>
            </w:pPr>
            <w:r>
              <w:t xml:space="preserve">Precipitant rank 5: acute respiratory failure</w:t>
            </w:r>
          </w:p>
        </w:tc>
        <w:tc>
          <w:tcPr/>
          <w:p>
            <w:pPr>
              <w:pStyle w:val="Compact"/>
              <w:jc w:val="left"/>
            </w:pPr>
            <w:r>
              <w:t xml:space="preserve">ICD-10-CM</w:t>
            </w:r>
          </w:p>
        </w:tc>
        <w:tc>
          <w:tcPr/>
          <w:p>
            <w:pPr>
              <w:pStyle w:val="Compact"/>
              <w:jc w:val="left"/>
            </w:pPr>
            <w:r>
              <w:t xml:space="preserve">J9600 (prefix)</w:t>
            </w:r>
          </w:p>
        </w:tc>
      </w:tr>
      <w:tr>
        <w:tc>
          <w:tcPr/>
          <w:p>
            <w:pPr>
              <w:pStyle w:val="Compact"/>
              <w:jc w:val="left"/>
            </w:pPr>
            <w:r>
              <w:t xml:space="preserve">Precipitant rank 5: acute respiratory failure</w:t>
            </w:r>
          </w:p>
        </w:tc>
        <w:tc>
          <w:tcPr/>
          <w:p>
            <w:pPr>
              <w:pStyle w:val="Compact"/>
              <w:jc w:val="left"/>
            </w:pPr>
            <w:r>
              <w:t xml:space="preserve">ICD-10-CM</w:t>
            </w:r>
          </w:p>
        </w:tc>
        <w:tc>
          <w:tcPr/>
          <w:p>
            <w:pPr>
              <w:pStyle w:val="Compact"/>
              <w:jc w:val="left"/>
            </w:pPr>
            <w:r>
              <w:t xml:space="preserve">J9601 (prefix)</w:t>
            </w:r>
          </w:p>
        </w:tc>
      </w:tr>
      <w:tr>
        <w:tc>
          <w:tcPr/>
          <w:p>
            <w:pPr>
              <w:pStyle w:val="Compact"/>
              <w:jc w:val="left"/>
            </w:pPr>
            <w:r>
              <w:t xml:space="preserve">Precipitant rank 5: acute respiratory failure</w:t>
            </w:r>
          </w:p>
        </w:tc>
        <w:tc>
          <w:tcPr/>
          <w:p>
            <w:pPr>
              <w:pStyle w:val="Compact"/>
              <w:jc w:val="left"/>
            </w:pPr>
            <w:r>
              <w:t xml:space="preserve">ICD-10-CM</w:t>
            </w:r>
          </w:p>
        </w:tc>
        <w:tc>
          <w:tcPr/>
          <w:p>
            <w:pPr>
              <w:pStyle w:val="Compact"/>
              <w:jc w:val="left"/>
            </w:pPr>
            <w:r>
              <w:t xml:space="preserve">J9602 (prefix)</w:t>
            </w:r>
          </w:p>
        </w:tc>
      </w:tr>
      <w:tr>
        <w:tc>
          <w:tcPr/>
          <w:p>
            <w:pPr>
              <w:pStyle w:val="Compact"/>
              <w:jc w:val="left"/>
            </w:pPr>
            <w:r>
              <w:t xml:space="preserve">Precipitant rank 5: acute respiratory failure</w:t>
            </w:r>
          </w:p>
        </w:tc>
        <w:tc>
          <w:tcPr/>
          <w:p>
            <w:pPr>
              <w:pStyle w:val="Compact"/>
              <w:jc w:val="left"/>
            </w:pPr>
            <w:r>
              <w:t xml:space="preserve">ICD-10-CM</w:t>
            </w:r>
          </w:p>
        </w:tc>
        <w:tc>
          <w:tcPr/>
          <w:p>
            <w:pPr>
              <w:pStyle w:val="Compact"/>
              <w:jc w:val="left"/>
            </w:pPr>
            <w:r>
              <w:t xml:space="preserve">J80 (prefix)</w:t>
            </w:r>
          </w:p>
        </w:tc>
      </w:tr>
      <w:tr>
        <w:tc>
          <w:tcPr/>
          <w:p>
            <w:pPr>
              <w:pStyle w:val="Compact"/>
              <w:jc w:val="left"/>
            </w:pPr>
            <w:r>
              <w:t xml:space="preserve">Precipitant rank 6: hypovolaemia or non-cardiogenic shock</w:t>
            </w:r>
          </w:p>
        </w:tc>
        <w:tc>
          <w:tcPr/>
          <w:p>
            <w:pPr>
              <w:pStyle w:val="Compact"/>
              <w:jc w:val="left"/>
            </w:pPr>
            <w:r>
              <w:t xml:space="preserve">ICD-10-CM</w:t>
            </w:r>
          </w:p>
        </w:tc>
        <w:tc>
          <w:tcPr/>
          <w:p>
            <w:pPr>
              <w:pStyle w:val="Compact"/>
              <w:jc w:val="left"/>
            </w:pPr>
            <w:r>
              <w:t xml:space="preserve">E86 (prefix)</w:t>
            </w:r>
          </w:p>
        </w:tc>
      </w:tr>
      <w:tr>
        <w:tc>
          <w:tcPr/>
          <w:p>
            <w:pPr>
              <w:pStyle w:val="Compact"/>
              <w:jc w:val="left"/>
            </w:pPr>
            <w:r>
              <w:t xml:space="preserve">Precipitant rank 6: hypovolaemia or non-cardiogenic shock</w:t>
            </w:r>
          </w:p>
        </w:tc>
        <w:tc>
          <w:tcPr/>
          <w:p>
            <w:pPr>
              <w:pStyle w:val="Compact"/>
              <w:jc w:val="left"/>
            </w:pPr>
            <w:r>
              <w:t xml:space="preserve">ICD-10-CM</w:t>
            </w:r>
          </w:p>
        </w:tc>
        <w:tc>
          <w:tcPr/>
          <w:p>
            <w:pPr>
              <w:pStyle w:val="Compact"/>
              <w:jc w:val="left"/>
            </w:pPr>
            <w:r>
              <w:t xml:space="preserve">R571 (prefix)</w:t>
            </w:r>
          </w:p>
        </w:tc>
      </w:tr>
      <w:tr>
        <w:tc>
          <w:tcPr/>
          <w:p>
            <w:pPr>
              <w:pStyle w:val="Compact"/>
              <w:jc w:val="left"/>
            </w:pPr>
            <w:r>
              <w:t xml:space="preserve">Precipitant rank 6: hypovolaemia or non-cardiogenic shock</w:t>
            </w:r>
          </w:p>
        </w:tc>
        <w:tc>
          <w:tcPr/>
          <w:p>
            <w:pPr>
              <w:pStyle w:val="Compact"/>
              <w:jc w:val="left"/>
            </w:pPr>
            <w:r>
              <w:t xml:space="preserve">ICD-10-CM</w:t>
            </w:r>
          </w:p>
        </w:tc>
        <w:tc>
          <w:tcPr/>
          <w:p>
            <w:pPr>
              <w:pStyle w:val="Compact"/>
              <w:jc w:val="left"/>
            </w:pPr>
            <w:r>
              <w:t xml:space="preserve">R578 (prefix)</w:t>
            </w:r>
          </w:p>
        </w:tc>
      </w:tr>
      <w:tr>
        <w:tc>
          <w:tcPr/>
          <w:p>
            <w:pPr>
              <w:pStyle w:val="Compact"/>
              <w:jc w:val="left"/>
            </w:pPr>
            <w:r>
              <w:t xml:space="preserve">Precipitant rank 6: hypovolaemia or non-cardiogenic shock</w:t>
            </w:r>
          </w:p>
        </w:tc>
        <w:tc>
          <w:tcPr/>
          <w:p>
            <w:pPr>
              <w:pStyle w:val="Compact"/>
              <w:jc w:val="left"/>
            </w:pPr>
            <w:r>
              <w:t xml:space="preserve">ICD-10-CM</w:t>
            </w:r>
          </w:p>
        </w:tc>
        <w:tc>
          <w:tcPr/>
          <w:p>
            <w:pPr>
              <w:pStyle w:val="Compact"/>
              <w:jc w:val="left"/>
            </w:pPr>
            <w:r>
              <w:t xml:space="preserve">R579 (prefix)</w:t>
            </w:r>
          </w:p>
        </w:tc>
      </w:tr>
      <w:tr>
        <w:tc>
          <w:tcPr/>
          <w:p>
            <w:pPr>
              <w:pStyle w:val="Compact"/>
              <w:jc w:val="left"/>
            </w:pPr>
            <w:r>
              <w:t xml:space="preserve">Precipitant rank 7: perioperative</w:t>
            </w:r>
          </w:p>
        </w:tc>
        <w:tc>
          <w:tcPr/>
          <w:p>
            <w:pPr>
              <w:pStyle w:val="Compact"/>
              <w:jc w:val="left"/>
            </w:pPr>
            <w:r>
              <w:t xml:space="preserve">ICD-10-PCS</w:t>
            </w:r>
          </w:p>
        </w:tc>
        <w:tc>
          <w:tcPr/>
          <w:p>
            <w:pPr>
              <w:pStyle w:val="Compact"/>
              <w:jc w:val="left"/>
            </w:pPr>
            <w:r>
              <w:t xml:space="preserve">Section 0 (Medical and Surgical) with approach character 0 (open) or 4 (percutaneous endoscopic)</w:t>
            </w:r>
          </w:p>
        </w:tc>
      </w:tr>
      <w:tr>
        <w:tc>
          <w:tcPr/>
          <w:p>
            <w:pPr>
              <w:pStyle w:val="Compact"/>
              <w:jc w:val="left"/>
            </w:pPr>
            <w:r>
              <w:t xml:space="preserve">Cardiogenic shock (COVARIATE, never a precipitant)</w:t>
            </w:r>
          </w:p>
        </w:tc>
        <w:tc>
          <w:tcPr/>
          <w:p>
            <w:pPr>
              <w:pStyle w:val="Compact"/>
              <w:jc w:val="left"/>
            </w:pPr>
            <w:r>
              <w:t xml:space="preserve">ICD-10-CM</w:t>
            </w:r>
          </w:p>
        </w:tc>
        <w:tc>
          <w:tcPr/>
          <w:p>
            <w:pPr>
              <w:pStyle w:val="Compact"/>
              <w:jc w:val="left"/>
            </w:pPr>
            <w:r>
              <w:t xml:space="preserve">R570</w:t>
            </w:r>
          </w:p>
        </w:tc>
      </w:tr>
      <w:tr>
        <w:tc>
          <w:tcPr/>
          <w:p>
            <w:pPr>
              <w:pStyle w:val="Compact"/>
              <w:jc w:val="left"/>
            </w:pPr>
            <w:r>
              <w:t xml:space="preserve">Invasive mechanical ventilation</w:t>
            </w:r>
          </w:p>
        </w:tc>
        <w:tc>
          <w:tcPr/>
          <w:p>
            <w:pPr>
              <w:pStyle w:val="Compact"/>
              <w:jc w:val="left"/>
            </w:pPr>
            <w:r>
              <w:t xml:space="preserve">ICD-10-PCS</w:t>
            </w:r>
          </w:p>
        </w:tc>
        <w:tc>
          <w:tcPr/>
          <w:p>
            <w:pPr>
              <w:pStyle w:val="Compact"/>
              <w:jc w:val="left"/>
            </w:pPr>
            <w:r>
              <w:t xml:space="preserve">5A1935Z</w:t>
            </w:r>
          </w:p>
        </w:tc>
      </w:tr>
      <w:tr>
        <w:tc>
          <w:tcPr/>
          <w:p>
            <w:pPr>
              <w:pStyle w:val="Compact"/>
              <w:jc w:val="left"/>
            </w:pPr>
            <w:r>
              <w:t xml:space="preserve">Invasive mechanical ventilation</w:t>
            </w:r>
          </w:p>
        </w:tc>
        <w:tc>
          <w:tcPr/>
          <w:p>
            <w:pPr>
              <w:pStyle w:val="Compact"/>
              <w:jc w:val="left"/>
            </w:pPr>
            <w:r>
              <w:t xml:space="preserve">ICD-10-PCS</w:t>
            </w:r>
          </w:p>
        </w:tc>
        <w:tc>
          <w:tcPr/>
          <w:p>
            <w:pPr>
              <w:pStyle w:val="Compact"/>
              <w:jc w:val="left"/>
            </w:pPr>
            <w:r>
              <w:t xml:space="preserve">5A1945Z</w:t>
            </w:r>
          </w:p>
        </w:tc>
      </w:tr>
      <w:tr>
        <w:tc>
          <w:tcPr/>
          <w:p>
            <w:pPr>
              <w:pStyle w:val="Compact"/>
              <w:jc w:val="left"/>
            </w:pPr>
            <w:r>
              <w:t xml:space="preserve">Invasive mechanical ventilation</w:t>
            </w:r>
          </w:p>
        </w:tc>
        <w:tc>
          <w:tcPr/>
          <w:p>
            <w:pPr>
              <w:pStyle w:val="Compact"/>
              <w:jc w:val="left"/>
            </w:pPr>
            <w:r>
              <w:t xml:space="preserve">ICD-10-PCS</w:t>
            </w:r>
          </w:p>
        </w:tc>
        <w:tc>
          <w:tcPr/>
          <w:p>
            <w:pPr>
              <w:pStyle w:val="Compact"/>
              <w:jc w:val="left"/>
            </w:pPr>
            <w:r>
              <w:t xml:space="preserve">5A1955Z</w:t>
            </w:r>
          </w:p>
        </w:tc>
      </w:tr>
      <w:tr>
        <w:tc>
          <w:tcPr/>
          <w:p>
            <w:pPr>
              <w:pStyle w:val="Compact"/>
              <w:jc w:val="left"/>
            </w:pPr>
            <w:r>
              <w:t xml:space="preserve">Chronic dialysis dependence</w:t>
            </w:r>
          </w:p>
        </w:tc>
        <w:tc>
          <w:tcPr/>
          <w:p>
            <w:pPr>
              <w:pStyle w:val="Compact"/>
              <w:jc w:val="left"/>
            </w:pPr>
            <w:r>
              <w:t xml:space="preserve">ICD-10-CM</w:t>
            </w:r>
          </w:p>
        </w:tc>
        <w:tc>
          <w:tcPr/>
          <w:p>
            <w:pPr>
              <w:pStyle w:val="Compact"/>
              <w:jc w:val="left"/>
            </w:pPr>
            <w:r>
              <w:t xml:space="preserve">N186</w:t>
            </w:r>
          </w:p>
        </w:tc>
      </w:tr>
      <w:tr>
        <w:tc>
          <w:tcPr/>
          <w:p>
            <w:pPr>
              <w:pStyle w:val="Compact"/>
              <w:jc w:val="left"/>
            </w:pPr>
            <w:r>
              <w:t xml:space="preserve">Chronic dialysis dependence</w:t>
            </w:r>
          </w:p>
        </w:tc>
        <w:tc>
          <w:tcPr/>
          <w:p>
            <w:pPr>
              <w:pStyle w:val="Compact"/>
              <w:jc w:val="left"/>
            </w:pPr>
            <w:r>
              <w:t xml:space="preserve">ICD-10-CM</w:t>
            </w:r>
          </w:p>
        </w:tc>
        <w:tc>
          <w:tcPr/>
          <w:p>
            <w:pPr>
              <w:pStyle w:val="Compact"/>
              <w:jc w:val="left"/>
            </w:pPr>
            <w:r>
              <w:t xml:space="preserve">Z992</w:t>
            </w:r>
          </w:p>
        </w:tc>
      </w:tr>
      <w:tr>
        <w:tc>
          <w:tcPr/>
          <w:p>
            <w:pPr>
              <w:pStyle w:val="Compact"/>
              <w:jc w:val="left"/>
            </w:pPr>
            <w:r>
              <w:t xml:space="preserve">Chronic dialysis dependence</w:t>
            </w:r>
          </w:p>
        </w:tc>
        <w:tc>
          <w:tcPr/>
          <w:p>
            <w:pPr>
              <w:pStyle w:val="Compact"/>
              <w:jc w:val="left"/>
            </w:pPr>
            <w:r>
              <w:t xml:space="preserve">ICD-10-CM</w:t>
            </w:r>
          </w:p>
        </w:tc>
        <w:tc>
          <w:tcPr/>
          <w:p>
            <w:pPr>
              <w:pStyle w:val="Compact"/>
              <w:jc w:val="left"/>
            </w:pPr>
            <w:r>
              <w:t xml:space="preserve">Z4901</w:t>
            </w:r>
          </w:p>
        </w:tc>
      </w:tr>
      <w:tr>
        <w:tc>
          <w:tcPr/>
          <w:p>
            <w:pPr>
              <w:pStyle w:val="Compact"/>
              <w:jc w:val="left"/>
            </w:pPr>
            <w:r>
              <w:t xml:space="preserve">Chronic dialysis dependence</w:t>
            </w:r>
          </w:p>
        </w:tc>
        <w:tc>
          <w:tcPr/>
          <w:p>
            <w:pPr>
              <w:pStyle w:val="Compact"/>
              <w:jc w:val="left"/>
            </w:pPr>
            <w:r>
              <w:t xml:space="preserve">ICD-10-CM</w:t>
            </w:r>
          </w:p>
        </w:tc>
        <w:tc>
          <w:tcPr/>
          <w:p>
            <w:pPr>
              <w:pStyle w:val="Compact"/>
              <w:jc w:val="left"/>
            </w:pPr>
            <w:r>
              <w:t xml:space="preserve">Z4902</w:t>
            </w:r>
          </w:p>
        </w:tc>
      </w:tr>
      <w:tr>
        <w:tc>
          <w:tcPr/>
          <w:p>
            <w:pPr>
              <w:pStyle w:val="Compact"/>
              <w:jc w:val="left"/>
            </w:pPr>
            <w:r>
              <w:t xml:space="preserve">Chronic dialysis dependence</w:t>
            </w:r>
          </w:p>
        </w:tc>
        <w:tc>
          <w:tcPr/>
          <w:p>
            <w:pPr>
              <w:pStyle w:val="Compact"/>
              <w:jc w:val="left"/>
            </w:pPr>
            <w:r>
              <w:t xml:space="preserve">ICD-10-CM</w:t>
            </w:r>
          </w:p>
        </w:tc>
        <w:tc>
          <w:tcPr/>
          <w:p>
            <w:pPr>
              <w:pStyle w:val="Compact"/>
              <w:jc w:val="left"/>
            </w:pPr>
            <w:r>
              <w:t xml:space="preserve">Z4931</w:t>
            </w:r>
          </w:p>
        </w:tc>
      </w:tr>
      <w:tr>
        <w:tc>
          <w:tcPr/>
          <w:p>
            <w:pPr>
              <w:pStyle w:val="Compact"/>
              <w:jc w:val="left"/>
            </w:pPr>
            <w:r>
              <w:t xml:space="preserve">Chronic dialysis dependence</w:t>
            </w:r>
          </w:p>
        </w:tc>
        <w:tc>
          <w:tcPr/>
          <w:p>
            <w:pPr>
              <w:pStyle w:val="Compact"/>
              <w:jc w:val="left"/>
            </w:pPr>
            <w:r>
              <w:t xml:space="preserve">ICD-10-CM</w:t>
            </w:r>
          </w:p>
        </w:tc>
        <w:tc>
          <w:tcPr/>
          <w:p>
            <w:pPr>
              <w:pStyle w:val="Compact"/>
              <w:jc w:val="left"/>
            </w:pPr>
            <w:r>
              <w:t xml:space="preserve">Z4932</w:t>
            </w:r>
          </w:p>
        </w:tc>
      </w:tr>
      <w:tr>
        <w:tc>
          <w:tcPr/>
          <w:p>
            <w:pPr>
              <w:pStyle w:val="Compact"/>
              <w:jc w:val="left"/>
            </w:pPr>
            <w:r>
              <w:t xml:space="preserve">Chronic dialysis dependence (5A1D90Z / CRRT deliberately excluded)</w:t>
            </w:r>
          </w:p>
        </w:tc>
        <w:tc>
          <w:tcPr/>
          <w:p>
            <w:pPr>
              <w:pStyle w:val="Compact"/>
              <w:jc w:val="left"/>
            </w:pPr>
            <w:r>
              <w:t xml:space="preserve">ICD-10-PCS</w:t>
            </w:r>
          </w:p>
        </w:tc>
        <w:tc>
          <w:tcPr/>
          <w:p>
            <w:pPr>
              <w:pStyle w:val="Compact"/>
              <w:jc w:val="left"/>
            </w:pPr>
            <w:r>
              <w:t xml:space="preserve">5A1D60Z</w:t>
            </w:r>
          </w:p>
        </w:tc>
      </w:tr>
      <w:tr>
        <w:tc>
          <w:tcPr/>
          <w:p>
            <w:pPr>
              <w:pStyle w:val="Compact"/>
              <w:jc w:val="left"/>
            </w:pPr>
            <w:r>
              <w:t xml:space="preserve">Chronic dialysis dependence (5A1D90Z / CRRT deliberately excluded)</w:t>
            </w:r>
          </w:p>
        </w:tc>
        <w:tc>
          <w:tcPr/>
          <w:p>
            <w:pPr>
              <w:pStyle w:val="Compact"/>
              <w:jc w:val="left"/>
            </w:pPr>
            <w:r>
              <w:t xml:space="preserve">ICD-10-PCS</w:t>
            </w:r>
          </w:p>
        </w:tc>
        <w:tc>
          <w:tcPr/>
          <w:p>
            <w:pPr>
              <w:pStyle w:val="Compact"/>
              <w:jc w:val="left"/>
            </w:pPr>
            <w:r>
              <w:t xml:space="preserve">5A1D70Z</w:t>
            </w:r>
          </w:p>
        </w:tc>
      </w:tr>
      <w:tr>
        <w:tc>
          <w:tcPr/>
          <w:p>
            <w:pPr>
              <w:pStyle w:val="Compact"/>
              <w:jc w:val="left"/>
            </w:pPr>
            <w:r>
              <w:t xml:space="preserve">Chronic dialysis dependence (5A1D90Z / CRRT deliberately excluded)</w:t>
            </w:r>
          </w:p>
        </w:tc>
        <w:tc>
          <w:tcPr/>
          <w:p>
            <w:pPr>
              <w:pStyle w:val="Compact"/>
              <w:jc w:val="left"/>
            </w:pPr>
            <w:r>
              <w:t xml:space="preserve">ICD-10-PCS</w:t>
            </w:r>
          </w:p>
        </w:tc>
        <w:tc>
          <w:tcPr/>
          <w:p>
            <w:pPr>
              <w:pStyle w:val="Compact"/>
              <w:jc w:val="left"/>
            </w:pPr>
            <w:r>
              <w:t xml:space="preserve">5A1D80Z</w:t>
            </w:r>
          </w:p>
        </w:tc>
      </w:tr>
      <w:tr>
        <w:tc>
          <w:tcPr/>
          <w:p>
            <w:pPr>
              <w:pStyle w:val="Compact"/>
              <w:jc w:val="left"/>
            </w:pPr>
            <w:r>
              <w:t xml:space="preserve">Chronic dialysis dependence (5A1D90Z / CRRT deliberately excluded)</w:t>
            </w:r>
          </w:p>
        </w:tc>
        <w:tc>
          <w:tcPr/>
          <w:p>
            <w:pPr>
              <w:pStyle w:val="Compact"/>
              <w:jc w:val="left"/>
            </w:pPr>
            <w:r>
              <w:t xml:space="preserve">ICD-10-PCS</w:t>
            </w:r>
          </w:p>
        </w:tc>
        <w:tc>
          <w:tcPr/>
          <w:p>
            <w:pPr>
              <w:pStyle w:val="Compact"/>
              <w:jc w:val="left"/>
            </w:pPr>
            <w:r>
              <w:t xml:space="preserve">3E1M39Z</w:t>
            </w:r>
          </w:p>
        </w:tc>
      </w:tr>
      <w:tr>
        <w:tc>
          <w:tcPr/>
          <w:p>
            <w:pPr>
              <w:pStyle w:val="Compact"/>
              <w:jc w:val="left"/>
            </w:pPr>
            <w:r>
              <w:t xml:space="preserve">Chronic kidney disease, stage 1-2</w:t>
            </w:r>
          </w:p>
        </w:tc>
        <w:tc>
          <w:tcPr/>
          <w:p>
            <w:pPr>
              <w:pStyle w:val="Compact"/>
              <w:jc w:val="left"/>
            </w:pPr>
            <w:r>
              <w:t xml:space="preserve">ICD-10-CM</w:t>
            </w:r>
          </w:p>
        </w:tc>
        <w:tc>
          <w:tcPr/>
          <w:p>
            <w:pPr>
              <w:pStyle w:val="Compact"/>
              <w:jc w:val="left"/>
            </w:pPr>
            <w:r>
              <w:t xml:space="preserve">N181</w:t>
            </w:r>
          </w:p>
        </w:tc>
      </w:tr>
      <w:tr>
        <w:tc>
          <w:tcPr/>
          <w:p>
            <w:pPr>
              <w:pStyle w:val="Compact"/>
              <w:jc w:val="left"/>
            </w:pPr>
            <w:r>
              <w:t xml:space="preserve">Chronic kidney disease, stage 1-2</w:t>
            </w:r>
          </w:p>
        </w:tc>
        <w:tc>
          <w:tcPr/>
          <w:p>
            <w:pPr>
              <w:pStyle w:val="Compact"/>
              <w:jc w:val="left"/>
            </w:pPr>
            <w:r>
              <w:t xml:space="preserve">ICD-10-CM</w:t>
            </w:r>
          </w:p>
        </w:tc>
        <w:tc>
          <w:tcPr/>
          <w:p>
            <w:pPr>
              <w:pStyle w:val="Compact"/>
              <w:jc w:val="left"/>
            </w:pPr>
            <w:r>
              <w:t xml:space="preserve">N182</w:t>
            </w:r>
          </w:p>
        </w:tc>
      </w:tr>
      <w:tr>
        <w:tc>
          <w:tcPr/>
          <w:p>
            <w:pPr>
              <w:pStyle w:val="Compact"/>
              <w:jc w:val="left"/>
            </w:pPr>
            <w:r>
              <w:t xml:space="preserve">Chronic kidney disease, stage 3</w:t>
            </w:r>
          </w:p>
        </w:tc>
        <w:tc>
          <w:tcPr/>
          <w:p>
            <w:pPr>
              <w:pStyle w:val="Compact"/>
              <w:jc w:val="left"/>
            </w:pPr>
            <w:r>
              <w:t xml:space="preserve">ICD-10-CM</w:t>
            </w:r>
          </w:p>
        </w:tc>
        <w:tc>
          <w:tcPr/>
          <w:p>
            <w:pPr>
              <w:pStyle w:val="Compact"/>
              <w:jc w:val="left"/>
            </w:pPr>
            <w:r>
              <w:t xml:space="preserve">N183 (prefix)</w:t>
            </w:r>
          </w:p>
        </w:tc>
      </w:tr>
      <w:tr>
        <w:tc>
          <w:tcPr/>
          <w:p>
            <w:pPr>
              <w:pStyle w:val="Compact"/>
              <w:jc w:val="left"/>
            </w:pPr>
            <w:r>
              <w:t xml:space="preserve">Chronic kidney disease, stage 4-5</w:t>
            </w:r>
          </w:p>
        </w:tc>
        <w:tc>
          <w:tcPr/>
          <w:p>
            <w:pPr>
              <w:pStyle w:val="Compact"/>
              <w:jc w:val="left"/>
            </w:pPr>
            <w:r>
              <w:t xml:space="preserve">ICD-10-CM</w:t>
            </w:r>
          </w:p>
        </w:tc>
        <w:tc>
          <w:tcPr/>
          <w:p>
            <w:pPr>
              <w:pStyle w:val="Compact"/>
              <w:jc w:val="left"/>
            </w:pPr>
            <w:r>
              <w:t xml:space="preserve">N184</w:t>
            </w:r>
          </w:p>
        </w:tc>
      </w:tr>
      <w:tr>
        <w:tc>
          <w:tcPr/>
          <w:p>
            <w:pPr>
              <w:pStyle w:val="Compact"/>
              <w:jc w:val="left"/>
            </w:pPr>
            <w:r>
              <w:t xml:space="preserve">Chronic kidney disease, stage 4-5</w:t>
            </w:r>
          </w:p>
        </w:tc>
        <w:tc>
          <w:tcPr/>
          <w:p>
            <w:pPr>
              <w:pStyle w:val="Compact"/>
              <w:jc w:val="left"/>
            </w:pPr>
            <w:r>
              <w:t xml:space="preserve">ICD-10-CM</w:t>
            </w:r>
          </w:p>
        </w:tc>
        <w:tc>
          <w:tcPr/>
          <w:p>
            <w:pPr>
              <w:pStyle w:val="Compact"/>
              <w:jc w:val="left"/>
            </w:pPr>
            <w:r>
              <w:t xml:space="preserve">N185</w:t>
            </w:r>
          </w:p>
        </w:tc>
      </w:tr>
      <w:tr>
        <w:tc>
          <w:tcPr/>
          <w:p>
            <w:pPr>
              <w:pStyle w:val="Compact"/>
              <w:jc w:val="left"/>
            </w:pPr>
            <w:r>
              <w:t xml:space="preserve">Known coronary artery disease</w:t>
            </w:r>
          </w:p>
        </w:tc>
        <w:tc>
          <w:tcPr/>
          <w:p>
            <w:pPr>
              <w:pStyle w:val="Compact"/>
              <w:jc w:val="left"/>
            </w:pPr>
            <w:r>
              <w:t xml:space="preserve">ICD-10-CM</w:t>
            </w:r>
          </w:p>
        </w:tc>
        <w:tc>
          <w:tcPr/>
          <w:p>
            <w:pPr>
              <w:pStyle w:val="Compact"/>
              <w:jc w:val="left"/>
            </w:pPr>
            <w:r>
              <w:t xml:space="preserve">I251 (prefix)</w:t>
            </w:r>
          </w:p>
        </w:tc>
      </w:tr>
      <w:tr>
        <w:tc>
          <w:tcPr/>
          <w:p>
            <w:pPr>
              <w:pStyle w:val="Compact"/>
              <w:jc w:val="left"/>
            </w:pPr>
            <w:r>
              <w:t xml:space="preserve">Known coronary artery disease</w:t>
            </w:r>
          </w:p>
        </w:tc>
        <w:tc>
          <w:tcPr/>
          <w:p>
            <w:pPr>
              <w:pStyle w:val="Compact"/>
              <w:jc w:val="left"/>
            </w:pPr>
            <w:r>
              <w:t xml:space="preserve">ICD-10-CM</w:t>
            </w:r>
          </w:p>
        </w:tc>
        <w:tc>
          <w:tcPr/>
          <w:p>
            <w:pPr>
              <w:pStyle w:val="Compact"/>
              <w:jc w:val="left"/>
            </w:pPr>
            <w:r>
              <w:t xml:space="preserve">I257 (prefix)</w:t>
            </w:r>
          </w:p>
        </w:tc>
      </w:tr>
      <w:tr>
        <w:tc>
          <w:tcPr/>
          <w:p>
            <w:pPr>
              <w:pStyle w:val="Compact"/>
              <w:jc w:val="left"/>
            </w:pPr>
            <w:r>
              <w:t xml:space="preserve">Prior revascularization (status code)</w:t>
            </w:r>
          </w:p>
        </w:tc>
        <w:tc>
          <w:tcPr/>
          <w:p>
            <w:pPr>
              <w:pStyle w:val="Compact"/>
              <w:jc w:val="left"/>
            </w:pPr>
            <w:r>
              <w:t xml:space="preserve">ICD-10-CM</w:t>
            </w:r>
          </w:p>
        </w:tc>
        <w:tc>
          <w:tcPr/>
          <w:p>
            <w:pPr>
              <w:pStyle w:val="Compact"/>
              <w:jc w:val="left"/>
            </w:pPr>
            <w:r>
              <w:t xml:space="preserve">Z951</w:t>
            </w:r>
          </w:p>
        </w:tc>
      </w:tr>
      <w:tr>
        <w:tc>
          <w:tcPr/>
          <w:p>
            <w:pPr>
              <w:pStyle w:val="Compact"/>
              <w:jc w:val="left"/>
            </w:pPr>
            <w:r>
              <w:t xml:space="preserve">Prior revascularization (status code)</w:t>
            </w:r>
          </w:p>
        </w:tc>
        <w:tc>
          <w:tcPr/>
          <w:p>
            <w:pPr>
              <w:pStyle w:val="Compact"/>
              <w:jc w:val="left"/>
            </w:pPr>
            <w:r>
              <w:t xml:space="preserve">ICD-10-CM</w:t>
            </w:r>
          </w:p>
        </w:tc>
        <w:tc>
          <w:tcPr/>
          <w:p>
            <w:pPr>
              <w:pStyle w:val="Compact"/>
              <w:jc w:val="left"/>
            </w:pPr>
            <w:r>
              <w:t xml:space="preserve">Z955</w:t>
            </w:r>
          </w:p>
        </w:tc>
      </w:tr>
      <w:tr>
        <w:tc>
          <w:tcPr/>
          <w:p>
            <w:pPr>
              <w:pStyle w:val="Compact"/>
              <w:jc w:val="left"/>
            </w:pPr>
            <w:r>
              <w:t xml:space="preserve">Atrial fibrillation or flutter (Table 1 only, not a covariate)</w:t>
            </w:r>
          </w:p>
        </w:tc>
        <w:tc>
          <w:tcPr/>
          <w:p>
            <w:pPr>
              <w:pStyle w:val="Compact"/>
              <w:jc w:val="left"/>
            </w:pPr>
            <w:r>
              <w:t xml:space="preserve">ICD-10-CM</w:t>
            </w:r>
          </w:p>
        </w:tc>
        <w:tc>
          <w:tcPr/>
          <w:p>
            <w:pPr>
              <w:pStyle w:val="Compact"/>
              <w:jc w:val="left"/>
            </w:pPr>
            <w:r>
              <w:t xml:space="preserve">I48 (prefix)</w:t>
            </w:r>
          </w:p>
        </w:tc>
      </w:tr>
      <w:tr>
        <w:tc>
          <w:tcPr/>
          <w:p>
            <w:pPr>
              <w:pStyle w:val="Compact"/>
              <w:jc w:val="left"/>
            </w:pPr>
            <w:r>
              <w:t xml:space="preserve">COVID-19 (descriptive only, not a covariate)</w:t>
            </w:r>
          </w:p>
        </w:tc>
        <w:tc>
          <w:tcPr/>
          <w:p>
            <w:pPr>
              <w:pStyle w:val="Compact"/>
              <w:jc w:val="left"/>
            </w:pPr>
            <w:r>
              <w:t xml:space="preserve">ICD-10-CM</w:t>
            </w:r>
          </w:p>
        </w:tc>
        <w:tc>
          <w:tcPr/>
          <w:p>
            <w:pPr>
              <w:pStyle w:val="Compact"/>
              <w:jc w:val="left"/>
            </w:pPr>
            <w:r>
              <w:t xml:space="preserve">U071</w:t>
            </w:r>
          </w:p>
        </w:tc>
      </w:tr>
      <w:tr>
        <w:tc>
          <w:tcPr/>
          <w:p>
            <w:pPr>
              <w:pStyle w:val="Compact"/>
              <w:jc w:val="left"/>
            </w:pPr>
            <w:r>
              <w:t xml:space="preserve">Coronary angiography / cardiac catheterization (process measure)</w:t>
            </w:r>
          </w:p>
        </w:tc>
        <w:tc>
          <w:tcPr/>
          <w:p>
            <w:pPr>
              <w:pStyle w:val="Compact"/>
              <w:jc w:val="left"/>
            </w:pPr>
            <w:r>
              <w:t xml:space="preserve">ICD-10-PCS</w:t>
            </w:r>
          </w:p>
        </w:tc>
        <w:tc>
          <w:tcPr/>
          <w:p>
            <w:pPr>
              <w:pStyle w:val="Compact"/>
              <w:jc w:val="left"/>
            </w:pPr>
            <w:r>
              <w:t xml:space="preserve">4A023N (prefix)</w:t>
            </w:r>
          </w:p>
        </w:tc>
      </w:tr>
      <w:tr>
        <w:tc>
          <w:tcPr/>
          <w:p>
            <w:pPr>
              <w:pStyle w:val="Compact"/>
              <w:jc w:val="left"/>
            </w:pPr>
            <w:r>
              <w:t xml:space="preserve">Coronary angiography / cardiac catheterization (process measure)</w:t>
            </w:r>
          </w:p>
        </w:tc>
        <w:tc>
          <w:tcPr/>
          <w:p>
            <w:pPr>
              <w:pStyle w:val="Compact"/>
              <w:jc w:val="left"/>
            </w:pPr>
            <w:r>
              <w:t xml:space="preserve">ICD-10-PCS</w:t>
            </w:r>
          </w:p>
        </w:tc>
        <w:tc>
          <w:tcPr/>
          <w:p>
            <w:pPr>
              <w:pStyle w:val="Compact"/>
              <w:jc w:val="left"/>
            </w:pPr>
            <w:r>
              <w:t xml:space="preserve">B211 (prefix)</w:t>
            </w:r>
          </w:p>
        </w:tc>
      </w:tr>
      <w:tr>
        <w:tc>
          <w:tcPr/>
          <w:p>
            <w:pPr>
              <w:pStyle w:val="Compact"/>
              <w:jc w:val="left"/>
            </w:pPr>
            <w:r>
              <w:t xml:space="preserve">Coronary angiography / cardiac catheterization (process measure)</w:t>
            </w:r>
          </w:p>
        </w:tc>
        <w:tc>
          <w:tcPr/>
          <w:p>
            <w:pPr>
              <w:pStyle w:val="Compact"/>
              <w:jc w:val="left"/>
            </w:pPr>
            <w:r>
              <w:t xml:space="preserve">ICD-10-PCS</w:t>
            </w:r>
          </w:p>
        </w:tc>
        <w:tc>
          <w:tcPr/>
          <w:p>
            <w:pPr>
              <w:pStyle w:val="Compact"/>
              <w:jc w:val="left"/>
            </w:pPr>
            <w:r>
              <w:t xml:space="preserve">B212 (prefix)</w:t>
            </w:r>
          </w:p>
        </w:tc>
      </w:tr>
      <w:tr>
        <w:tc>
          <w:tcPr/>
          <w:p>
            <w:pPr>
              <w:pStyle w:val="Compact"/>
              <w:jc w:val="left"/>
            </w:pPr>
            <w:r>
              <w:t xml:space="preserve">Coronary angiography / cardiac catheterization (process measure)</w:t>
            </w:r>
          </w:p>
        </w:tc>
        <w:tc>
          <w:tcPr/>
          <w:p>
            <w:pPr>
              <w:pStyle w:val="Compact"/>
              <w:jc w:val="left"/>
            </w:pPr>
            <w:r>
              <w:t xml:space="preserve">ICD-10-PCS</w:t>
            </w:r>
          </w:p>
        </w:tc>
        <w:tc>
          <w:tcPr/>
          <w:p>
            <w:pPr>
              <w:pStyle w:val="Compact"/>
              <w:jc w:val="left"/>
            </w:pPr>
            <w:r>
              <w:t xml:space="preserve">B213 (prefix)</w:t>
            </w:r>
          </w:p>
        </w:tc>
      </w:tr>
      <w:tr>
        <w:tc>
          <w:tcPr/>
          <w:p>
            <w:pPr>
              <w:pStyle w:val="Compact"/>
              <w:jc w:val="left"/>
            </w:pPr>
            <w:r>
              <w:t xml:space="preserve">Coronary angiography / cardiac catheterization (process measure)</w:t>
            </w:r>
          </w:p>
        </w:tc>
        <w:tc>
          <w:tcPr/>
          <w:p>
            <w:pPr>
              <w:pStyle w:val="Compact"/>
              <w:jc w:val="left"/>
            </w:pPr>
            <w:r>
              <w:t xml:space="preserve">ICD-10-PCS</w:t>
            </w:r>
          </w:p>
        </w:tc>
        <w:tc>
          <w:tcPr/>
          <w:p>
            <w:pPr>
              <w:pStyle w:val="Compact"/>
              <w:jc w:val="left"/>
            </w:pPr>
            <w:r>
              <w:t xml:space="preserve">B214 (prefix)</w:t>
            </w:r>
          </w:p>
        </w:tc>
      </w:tr>
      <w:tr>
        <w:tc>
          <w:tcPr/>
          <w:p>
            <w:pPr>
              <w:pStyle w:val="Compact"/>
              <w:jc w:val="left"/>
            </w:pPr>
            <w:r>
              <w:t xml:space="preserve">Coronary angiography / cardiac catheterization (process measure)</w:t>
            </w:r>
          </w:p>
        </w:tc>
        <w:tc>
          <w:tcPr/>
          <w:p>
            <w:pPr>
              <w:pStyle w:val="Compact"/>
              <w:jc w:val="left"/>
            </w:pPr>
            <w:r>
              <w:t xml:space="preserve">ICD-10-PCS</w:t>
            </w:r>
          </w:p>
        </w:tc>
        <w:tc>
          <w:tcPr/>
          <w:p>
            <w:pPr>
              <w:pStyle w:val="Compact"/>
              <w:jc w:val="left"/>
            </w:pPr>
            <w:r>
              <w:t xml:space="preserve">B215 (prefix)</w:t>
            </w:r>
          </w:p>
        </w:tc>
      </w:tr>
      <w:tr>
        <w:tc>
          <w:tcPr/>
          <w:p>
            <w:pPr>
              <w:pStyle w:val="Compact"/>
              <w:jc w:val="left"/>
            </w:pPr>
            <w:r>
              <w:t xml:space="preserve">Percutaneous coronary intervention (process measure)</w:t>
            </w:r>
          </w:p>
        </w:tc>
        <w:tc>
          <w:tcPr/>
          <w:p>
            <w:pPr>
              <w:pStyle w:val="Compact"/>
              <w:jc w:val="left"/>
            </w:pPr>
            <w:r>
              <w:t xml:space="preserve">ICD-10-PCS</w:t>
            </w:r>
          </w:p>
        </w:tc>
        <w:tc>
          <w:tcPr/>
          <w:p>
            <w:pPr>
              <w:pStyle w:val="Compact"/>
              <w:jc w:val="left"/>
            </w:pPr>
            <w:r>
              <w:t xml:space="preserve">027 (prefix)</w:t>
            </w:r>
          </w:p>
        </w:tc>
      </w:tr>
      <w:tr>
        <w:tc>
          <w:tcPr/>
          <w:p>
            <w:pPr>
              <w:pStyle w:val="Compact"/>
              <w:jc w:val="left"/>
            </w:pPr>
            <w:r>
              <w:t xml:space="preserve">Coronary artery bypass grafting (process measure)</w:t>
            </w:r>
          </w:p>
        </w:tc>
        <w:tc>
          <w:tcPr/>
          <w:p>
            <w:pPr>
              <w:pStyle w:val="Compact"/>
              <w:jc w:val="left"/>
            </w:pPr>
            <w:r>
              <w:t xml:space="preserve">ICD-10-PCS</w:t>
            </w:r>
          </w:p>
        </w:tc>
        <w:tc>
          <w:tcPr/>
          <w:p>
            <w:pPr>
              <w:pStyle w:val="Compact"/>
              <w:jc w:val="left"/>
            </w:pPr>
            <w:r>
              <w:t xml:space="preserve">021 (prefix)</w:t>
            </w:r>
          </w:p>
        </w:tc>
      </w:tr>
    </w:tbl>
    <w:bookmarkEnd w:id="79"/>
    <w:bookmarkStart w:id="80" w:name="full-model-coefficients"/>
    <w:p>
      <w:pPr>
        <w:pStyle w:val="Heading1"/>
      </w:pPr>
      <w:r>
        <w:t xml:space="preserve">15. Full model coefficients</w:t>
      </w:r>
    </w:p>
    <w:p>
      <w:pPr>
        <w:pStyle w:val="TableCaption"/>
      </w:pPr>
      <w:r>
        <w:t xml:space="preserve">Table S2. Complete coefficient set from the primary model.</w:t>
      </w:r>
    </w:p>
    <w:tbl>
      <w:tblPr>
        <w:tblStyle w:val="Table"/>
        <w:tblW w:type="pct" w:w="5000"/>
        <w:tblLayout w:type="fixed"/>
        <w:tblLook w:firstRow="1" w:lastRow="0" w:firstColumn="0" w:lastColumn="0" w:noHBand="0" w:noVBand="0" w:val="0020"/>
        <w:tblCaption w:val="Table S2. Complete coefficient set from the primary model."/>
      </w:tblPr>
      <w:tblGrid>
        <w:gridCol w:w="5773"/>
        <w:gridCol w:w="1554"/>
        <w:gridCol w:w="592"/>
      </w:tblGrid>
      <w:tr>
        <w:trPr>
          <w:tblHeader w:val="on"/>
        </w:trPr>
        <w:tc>
          <w:tcPr/>
          <w:p>
            <w:pPr>
              <w:pStyle w:val="Compact"/>
              <w:jc w:val="left"/>
            </w:pPr>
            <w:r>
              <w:t xml:space="preserve">Term</w:t>
            </w:r>
          </w:p>
        </w:tc>
        <w:tc>
          <w:tcPr/>
          <w:p>
            <w:pPr>
              <w:pStyle w:val="Compact"/>
              <w:jc w:val="left"/>
            </w:pPr>
            <w:r>
              <w:t xml:space="preserve">Adjusted OR (95% CI)</w:t>
            </w:r>
          </w:p>
        </w:tc>
        <w:tc>
          <w:tcPr/>
          <w:p>
            <w:pPr>
              <w:pStyle w:val="Compact"/>
              <w:jc w:val="left"/>
            </w:pPr>
            <w:r>
              <w:t xml:space="preserve">p value</w:t>
            </w:r>
          </w:p>
        </w:tc>
      </w:tr>
      <w:tr>
        <w:tc>
          <w:tcPr/>
          <w:p>
            <w:pPr>
              <w:pStyle w:val="Compact"/>
              <w:jc w:val="left"/>
            </w:pPr>
            <w:r>
              <w:t xml:space="preserve">Acute GI bleed or blood-loss anaemia (vs Sepsis or severe infection)</w:t>
            </w:r>
          </w:p>
        </w:tc>
        <w:tc>
          <w:tcPr/>
          <w:p>
            <w:pPr>
              <w:pStyle w:val="Compact"/>
              <w:jc w:val="left"/>
            </w:pPr>
            <w:r>
              <w:t xml:space="preserve">1.12 (1.09–1.14)</w:t>
            </w:r>
          </w:p>
        </w:tc>
        <w:tc>
          <w:tcPr/>
          <w:p>
            <w:pPr>
              <w:pStyle w:val="Compact"/>
              <w:jc w:val="left"/>
            </w:pPr>
            <w:r>
              <w:t xml:space="preserve">&lt;0.001</w:t>
            </w:r>
          </w:p>
        </w:tc>
      </w:tr>
      <w:tr>
        <w:tc>
          <w:tcPr/>
          <w:p>
            <w:pPr>
              <w:pStyle w:val="Compact"/>
              <w:jc w:val="left"/>
            </w:pPr>
            <w:r>
              <w:t xml:space="preserve">Hypertensive emergency (vs Sepsis or severe infection)</w:t>
            </w:r>
          </w:p>
        </w:tc>
        <w:tc>
          <w:tcPr/>
          <w:p>
            <w:pPr>
              <w:pStyle w:val="Compact"/>
              <w:jc w:val="left"/>
            </w:pPr>
            <w:r>
              <w:t xml:space="preserve">0.79 (0.77–0.82)</w:t>
            </w:r>
          </w:p>
        </w:tc>
        <w:tc>
          <w:tcPr/>
          <w:p>
            <w:pPr>
              <w:pStyle w:val="Compact"/>
              <w:jc w:val="left"/>
            </w:pPr>
            <w:r>
              <w:t xml:space="preserve">&lt;0.001</w:t>
            </w:r>
          </w:p>
        </w:tc>
      </w:tr>
      <w:tr>
        <w:tc>
          <w:tcPr/>
          <w:p>
            <w:pPr>
              <w:pStyle w:val="Compact"/>
              <w:jc w:val="left"/>
            </w:pPr>
            <w:r>
              <w:t xml:space="preserve">Tachyarrhythmia (vs Sepsis or severe infection)</w:t>
            </w:r>
          </w:p>
        </w:tc>
        <w:tc>
          <w:tcPr/>
          <w:p>
            <w:pPr>
              <w:pStyle w:val="Compact"/>
              <w:jc w:val="left"/>
            </w:pPr>
            <w:r>
              <w:t xml:space="preserve">1.03 (1.02–1.05)</w:t>
            </w:r>
          </w:p>
        </w:tc>
        <w:tc>
          <w:tcPr/>
          <w:p>
            <w:pPr>
              <w:pStyle w:val="Compact"/>
              <w:jc w:val="left"/>
            </w:pPr>
            <w:r>
              <w:t xml:space="preserve">&lt;0.001</w:t>
            </w:r>
          </w:p>
        </w:tc>
      </w:tr>
      <w:tr>
        <w:tc>
          <w:tcPr/>
          <w:p>
            <w:pPr>
              <w:pStyle w:val="Compact"/>
              <w:jc w:val="left"/>
            </w:pPr>
            <w:r>
              <w:t xml:space="preserve">Acute respiratory failure (vs Sepsis or severe infection)</w:t>
            </w:r>
          </w:p>
        </w:tc>
        <w:tc>
          <w:tcPr/>
          <w:p>
            <w:pPr>
              <w:pStyle w:val="Compact"/>
              <w:jc w:val="left"/>
            </w:pPr>
            <w:r>
              <w:t xml:space="preserve">0.88 (0.86–0.90)</w:t>
            </w:r>
          </w:p>
        </w:tc>
        <w:tc>
          <w:tcPr/>
          <w:p>
            <w:pPr>
              <w:pStyle w:val="Compact"/>
              <w:jc w:val="left"/>
            </w:pPr>
            <w:r>
              <w:t xml:space="preserve">&lt;0.001</w:t>
            </w:r>
          </w:p>
        </w:tc>
      </w:tr>
      <w:tr>
        <w:tc>
          <w:tcPr/>
          <w:p>
            <w:pPr>
              <w:pStyle w:val="Compact"/>
              <w:jc w:val="left"/>
            </w:pPr>
            <w:r>
              <w:t xml:space="preserve">Hypovolaemia or non-cardiogenic shock (vs Sepsis or severe infection)</w:t>
            </w:r>
          </w:p>
        </w:tc>
        <w:tc>
          <w:tcPr/>
          <w:p>
            <w:pPr>
              <w:pStyle w:val="Compact"/>
              <w:jc w:val="left"/>
            </w:pPr>
            <w:r>
              <w:t xml:space="preserve">0.92 (0.89–0.95)</w:t>
            </w:r>
          </w:p>
        </w:tc>
        <w:tc>
          <w:tcPr/>
          <w:p>
            <w:pPr>
              <w:pStyle w:val="Compact"/>
              <w:jc w:val="left"/>
            </w:pPr>
            <w:r>
              <w:t xml:space="preserve">&lt;0.001</w:t>
            </w:r>
          </w:p>
        </w:tc>
      </w:tr>
      <w:tr>
        <w:tc>
          <w:tcPr/>
          <w:p>
            <w:pPr>
              <w:pStyle w:val="Compact"/>
              <w:jc w:val="left"/>
            </w:pPr>
            <w:r>
              <w:t xml:space="preserve">Perioperative (vs Sepsis or severe infection)</w:t>
            </w:r>
          </w:p>
        </w:tc>
        <w:tc>
          <w:tcPr/>
          <w:p>
            <w:pPr>
              <w:pStyle w:val="Compact"/>
              <w:jc w:val="left"/>
            </w:pPr>
            <w:r>
              <w:t xml:space="preserve">0.94 (0.89–0.99)</w:t>
            </w:r>
          </w:p>
        </w:tc>
        <w:tc>
          <w:tcPr/>
          <w:p>
            <w:pPr>
              <w:pStyle w:val="Compact"/>
              <w:jc w:val="left"/>
            </w:pPr>
            <w:r>
              <w:t xml:space="preserve">0.021</w:t>
            </w:r>
          </w:p>
        </w:tc>
      </w:tr>
      <w:tr>
        <w:tc>
          <w:tcPr/>
          <w:p>
            <w:pPr>
              <w:pStyle w:val="Compact"/>
              <w:jc w:val="left"/>
            </w:pPr>
            <w:r>
              <w:t xml:space="preserve">None of the above (vs Sepsis or severe infection)</w:t>
            </w:r>
          </w:p>
        </w:tc>
        <w:tc>
          <w:tcPr/>
          <w:p>
            <w:pPr>
              <w:pStyle w:val="Compact"/>
              <w:jc w:val="left"/>
            </w:pPr>
            <w:r>
              <w:t xml:space="preserve">0.93 (0.91–0.95)</w:t>
            </w:r>
          </w:p>
        </w:tc>
        <w:tc>
          <w:tcPr/>
          <w:p>
            <w:pPr>
              <w:pStyle w:val="Compact"/>
              <w:jc w:val="left"/>
            </w:pPr>
            <w:r>
              <w:t xml:space="preserve">&lt;0.001</w:t>
            </w:r>
          </w:p>
        </w:tc>
      </w:tr>
      <w:tr>
        <w:tc>
          <w:tcPr/>
          <w:p>
            <w:pPr>
              <w:pStyle w:val="Compact"/>
              <w:jc w:val="left"/>
            </w:pPr>
            <w:r>
              <w:t xml:space="preserve">Age, natural-spline basis 1</w:t>
            </w:r>
          </w:p>
        </w:tc>
        <w:tc>
          <w:tcPr/>
          <w:p>
            <w:pPr>
              <w:pStyle w:val="Compact"/>
              <w:jc w:val="left"/>
            </w:pPr>
            <w:r>
              <w:t xml:space="preserve">0.98 (0.94–1.02)</w:t>
            </w:r>
          </w:p>
        </w:tc>
        <w:tc>
          <w:tcPr/>
          <w:p>
            <w:pPr>
              <w:pStyle w:val="Compact"/>
              <w:jc w:val="left"/>
            </w:pPr>
            <w:r>
              <w:t xml:space="preserve">0.316</w:t>
            </w:r>
          </w:p>
        </w:tc>
      </w:tr>
      <w:tr>
        <w:tc>
          <w:tcPr/>
          <w:p>
            <w:pPr>
              <w:pStyle w:val="Compact"/>
              <w:jc w:val="left"/>
            </w:pPr>
            <w:r>
              <w:t xml:space="preserve">Age, natural-spline basis 2</w:t>
            </w:r>
          </w:p>
        </w:tc>
        <w:tc>
          <w:tcPr/>
          <w:p>
            <w:pPr>
              <w:pStyle w:val="Compact"/>
              <w:jc w:val="left"/>
            </w:pPr>
            <w:r>
              <w:t xml:space="preserve">1.19 (1.05–1.35)</w:t>
            </w:r>
          </w:p>
        </w:tc>
        <w:tc>
          <w:tcPr/>
          <w:p>
            <w:pPr>
              <w:pStyle w:val="Compact"/>
              <w:jc w:val="left"/>
            </w:pPr>
            <w:r>
              <w:t xml:space="preserve">0.006</w:t>
            </w:r>
          </w:p>
        </w:tc>
      </w:tr>
      <w:tr>
        <w:tc>
          <w:tcPr/>
          <w:p>
            <w:pPr>
              <w:pStyle w:val="Compact"/>
              <w:jc w:val="left"/>
            </w:pPr>
            <w:r>
              <w:t xml:space="preserve">Age, natural-spline basis 3</w:t>
            </w:r>
          </w:p>
        </w:tc>
        <w:tc>
          <w:tcPr/>
          <w:p>
            <w:pPr>
              <w:pStyle w:val="Compact"/>
              <w:jc w:val="left"/>
            </w:pPr>
            <w:r>
              <w:t xml:space="preserve">0.73 (0.71–0.75)</w:t>
            </w:r>
          </w:p>
        </w:tc>
        <w:tc>
          <w:tcPr/>
          <w:p>
            <w:pPr>
              <w:pStyle w:val="Compact"/>
              <w:jc w:val="left"/>
            </w:pPr>
            <w:r>
              <w:t xml:space="preserve">&lt;0.001</w:t>
            </w:r>
          </w:p>
        </w:tc>
      </w:tr>
      <w:tr>
        <w:tc>
          <w:tcPr/>
          <w:p>
            <w:pPr>
              <w:pStyle w:val="Compact"/>
              <w:jc w:val="left"/>
            </w:pPr>
            <w:r>
              <w:t xml:space="preserve">Sex: Female</w:t>
            </w:r>
          </w:p>
        </w:tc>
        <w:tc>
          <w:tcPr/>
          <w:p>
            <w:pPr>
              <w:pStyle w:val="Compact"/>
              <w:jc w:val="left"/>
            </w:pPr>
            <w:r>
              <w:t xml:space="preserve">0.98 (0.97–1.00)</w:t>
            </w:r>
          </w:p>
        </w:tc>
        <w:tc>
          <w:tcPr/>
          <w:p>
            <w:pPr>
              <w:pStyle w:val="Compact"/>
              <w:jc w:val="left"/>
            </w:pPr>
            <w:r>
              <w:t xml:space="preserve">0.007</w:t>
            </w:r>
          </w:p>
        </w:tc>
      </w:tr>
      <w:tr>
        <w:tc>
          <w:tcPr/>
          <w:p>
            <w:pPr>
              <w:pStyle w:val="Compact"/>
              <w:jc w:val="left"/>
            </w:pPr>
            <w:r>
              <w:t xml:space="preserve">Primary expected payer: Private</w:t>
            </w:r>
          </w:p>
        </w:tc>
        <w:tc>
          <w:tcPr/>
          <w:p>
            <w:pPr>
              <w:pStyle w:val="Compact"/>
              <w:jc w:val="left"/>
            </w:pPr>
            <w:r>
              <w:t xml:space="preserve">0.75 (0.73–0.77)</w:t>
            </w:r>
          </w:p>
        </w:tc>
        <w:tc>
          <w:tcPr/>
          <w:p>
            <w:pPr>
              <w:pStyle w:val="Compact"/>
              <w:jc w:val="left"/>
            </w:pPr>
            <w:r>
              <w:t xml:space="preserve">&lt;0.001</w:t>
            </w:r>
          </w:p>
        </w:tc>
      </w:tr>
      <w:tr>
        <w:tc>
          <w:tcPr/>
          <w:p>
            <w:pPr>
              <w:pStyle w:val="Compact"/>
              <w:jc w:val="left"/>
            </w:pPr>
            <w:r>
              <w:t xml:space="preserve">Primary expected payer: Medicaid</w:t>
            </w:r>
          </w:p>
        </w:tc>
        <w:tc>
          <w:tcPr/>
          <w:p>
            <w:pPr>
              <w:pStyle w:val="Compact"/>
              <w:jc w:val="left"/>
            </w:pPr>
            <w:r>
              <w:t xml:space="preserve">1.04 (1.02–1.06)</w:t>
            </w:r>
          </w:p>
        </w:tc>
        <w:tc>
          <w:tcPr/>
          <w:p>
            <w:pPr>
              <w:pStyle w:val="Compact"/>
              <w:jc w:val="left"/>
            </w:pPr>
            <w:r>
              <w:t xml:space="preserve">&lt;0.001</w:t>
            </w:r>
          </w:p>
        </w:tc>
      </w:tr>
      <w:tr>
        <w:tc>
          <w:tcPr/>
          <w:p>
            <w:pPr>
              <w:pStyle w:val="Compact"/>
              <w:jc w:val="left"/>
            </w:pPr>
            <w:r>
              <w:t xml:space="preserve">Primary expected payer: Other/self-pay</w:t>
            </w:r>
          </w:p>
        </w:tc>
        <w:tc>
          <w:tcPr/>
          <w:p>
            <w:pPr>
              <w:pStyle w:val="Compact"/>
              <w:jc w:val="left"/>
            </w:pPr>
            <w:r>
              <w:t xml:space="preserve">0.79 (0.76–0.81)</w:t>
            </w:r>
          </w:p>
        </w:tc>
        <w:tc>
          <w:tcPr/>
          <w:p>
            <w:pPr>
              <w:pStyle w:val="Compact"/>
              <w:jc w:val="left"/>
            </w:pPr>
            <w:r>
              <w:t xml:space="preserve">&lt;0.001</w:t>
            </w:r>
          </w:p>
        </w:tc>
      </w:tr>
      <w:tr>
        <w:tc>
          <w:tcPr/>
          <w:p>
            <w:pPr>
              <w:pStyle w:val="Compact"/>
              <w:jc w:val="left"/>
            </w:pPr>
            <w:r>
              <w:t xml:space="preserve">Primary expected payer: Missing/other</w:t>
            </w:r>
          </w:p>
        </w:tc>
        <w:tc>
          <w:tcPr/>
          <w:p>
            <w:pPr>
              <w:pStyle w:val="Compact"/>
              <w:jc w:val="left"/>
            </w:pPr>
            <w:r>
              <w:t xml:space="preserve">0.70 (0.59–0.82)</w:t>
            </w:r>
          </w:p>
        </w:tc>
        <w:tc>
          <w:tcPr/>
          <w:p>
            <w:pPr>
              <w:pStyle w:val="Compact"/>
              <w:jc w:val="left"/>
            </w:pPr>
            <w:r>
              <w:t xml:space="preserve">&lt;0.001</w:t>
            </w:r>
          </w:p>
        </w:tc>
      </w:tr>
      <w:tr>
        <w:tc>
          <w:tcPr/>
          <w:p>
            <w:pPr>
              <w:pStyle w:val="Compact"/>
              <w:jc w:val="left"/>
            </w:pPr>
            <w:r>
              <w:t xml:space="preserve">Median household income quartile (patient ZIP code): 26th to 50th percentile</w:t>
            </w:r>
          </w:p>
        </w:tc>
        <w:tc>
          <w:tcPr/>
          <w:p>
            <w:pPr>
              <w:pStyle w:val="Compact"/>
              <w:jc w:val="left"/>
            </w:pPr>
            <w:r>
              <w:t xml:space="preserve">0.95 (0.93–0.97)</w:t>
            </w:r>
          </w:p>
        </w:tc>
        <w:tc>
          <w:tcPr/>
          <w:p>
            <w:pPr>
              <w:pStyle w:val="Compact"/>
              <w:jc w:val="left"/>
            </w:pPr>
            <w:r>
              <w:t xml:space="preserve">&lt;0.001</w:t>
            </w:r>
          </w:p>
        </w:tc>
      </w:tr>
      <w:tr>
        <w:tc>
          <w:tcPr/>
          <w:p>
            <w:pPr>
              <w:pStyle w:val="Compact"/>
              <w:jc w:val="left"/>
            </w:pPr>
            <w:r>
              <w:t xml:space="preserve">Median household income quartile (patient ZIP code): 51st to 75th percentile</w:t>
            </w:r>
          </w:p>
        </w:tc>
        <w:tc>
          <w:tcPr/>
          <w:p>
            <w:pPr>
              <w:pStyle w:val="Compact"/>
              <w:jc w:val="left"/>
            </w:pPr>
            <w:r>
              <w:t xml:space="preserve">0.91 (0.89–0.93)</w:t>
            </w:r>
          </w:p>
        </w:tc>
        <w:tc>
          <w:tcPr/>
          <w:p>
            <w:pPr>
              <w:pStyle w:val="Compact"/>
              <w:jc w:val="left"/>
            </w:pPr>
            <w:r>
              <w:t xml:space="preserve">&lt;0.001</w:t>
            </w:r>
          </w:p>
        </w:tc>
      </w:tr>
      <w:tr>
        <w:tc>
          <w:tcPr/>
          <w:p>
            <w:pPr>
              <w:pStyle w:val="Compact"/>
              <w:jc w:val="left"/>
            </w:pPr>
            <w:r>
              <w:t xml:space="preserve">Median household income quartile (patient ZIP code): 76th to 100th percentile</w:t>
            </w:r>
          </w:p>
        </w:tc>
        <w:tc>
          <w:tcPr/>
          <w:p>
            <w:pPr>
              <w:pStyle w:val="Compact"/>
              <w:jc w:val="left"/>
            </w:pPr>
            <w:r>
              <w:t xml:space="preserve">0.93 (0.90–0.95)</w:t>
            </w:r>
          </w:p>
        </w:tc>
        <w:tc>
          <w:tcPr/>
          <w:p>
            <w:pPr>
              <w:pStyle w:val="Compact"/>
              <w:jc w:val="left"/>
            </w:pPr>
            <w:r>
              <w:t xml:space="preserve">&lt;0.001</w:t>
            </w:r>
          </w:p>
        </w:tc>
      </w:tr>
      <w:tr>
        <w:tc>
          <w:tcPr/>
          <w:p>
            <w:pPr>
              <w:pStyle w:val="Compact"/>
              <w:jc w:val="left"/>
            </w:pPr>
            <w:r>
              <w:t xml:space="preserve">Median household income quartile (patient ZIP code): Missing/other</w:t>
            </w:r>
          </w:p>
        </w:tc>
        <w:tc>
          <w:tcPr/>
          <w:p>
            <w:pPr>
              <w:pStyle w:val="Compact"/>
              <w:jc w:val="left"/>
            </w:pPr>
            <w:r>
              <w:t xml:space="preserve">0.89 (0.84–0.94)</w:t>
            </w:r>
          </w:p>
        </w:tc>
        <w:tc>
          <w:tcPr/>
          <w:p>
            <w:pPr>
              <w:pStyle w:val="Compact"/>
              <w:jc w:val="left"/>
            </w:pPr>
            <w:r>
              <w:t xml:space="preserve">&lt;0.001</w:t>
            </w:r>
          </w:p>
        </w:tc>
      </w:tr>
      <w:tr>
        <w:tc>
          <w:tcPr/>
          <w:p>
            <w:pPr>
              <w:pStyle w:val="Compact"/>
              <w:jc w:val="left"/>
            </w:pPr>
            <w:r>
              <w:t xml:space="preserve">Patient residence (NCHS urban-rural classification): Fringe metro ≥1 million</w:t>
            </w:r>
          </w:p>
        </w:tc>
        <w:tc>
          <w:tcPr/>
          <w:p>
            <w:pPr>
              <w:pStyle w:val="Compact"/>
              <w:jc w:val="left"/>
            </w:pPr>
            <w:r>
              <w:t xml:space="preserve">1.01 (0.99–1.03)</w:t>
            </w:r>
          </w:p>
        </w:tc>
        <w:tc>
          <w:tcPr/>
          <w:p>
            <w:pPr>
              <w:pStyle w:val="Compact"/>
              <w:jc w:val="left"/>
            </w:pPr>
            <w:r>
              <w:t xml:space="preserve">0.365</w:t>
            </w:r>
          </w:p>
        </w:tc>
      </w:tr>
      <w:tr>
        <w:tc>
          <w:tcPr/>
          <w:p>
            <w:pPr>
              <w:pStyle w:val="Compact"/>
              <w:jc w:val="left"/>
            </w:pPr>
            <w:r>
              <w:t xml:space="preserve">Patient residence (NCHS urban-rural classification): Metro 250,000-999,999</w:t>
            </w:r>
          </w:p>
        </w:tc>
        <w:tc>
          <w:tcPr/>
          <w:p>
            <w:pPr>
              <w:pStyle w:val="Compact"/>
              <w:jc w:val="left"/>
            </w:pPr>
            <w:r>
              <w:t xml:space="preserve">0.97 (0.95–1.00)</w:t>
            </w:r>
          </w:p>
        </w:tc>
        <w:tc>
          <w:tcPr/>
          <w:p>
            <w:pPr>
              <w:pStyle w:val="Compact"/>
              <w:jc w:val="left"/>
            </w:pPr>
            <w:r>
              <w:t xml:space="preserve">0.030</w:t>
            </w:r>
          </w:p>
        </w:tc>
      </w:tr>
      <w:tr>
        <w:tc>
          <w:tcPr/>
          <w:p>
            <w:pPr>
              <w:pStyle w:val="Compact"/>
              <w:jc w:val="left"/>
            </w:pPr>
            <w:r>
              <w:t xml:space="preserve">Patient residence (NCHS urban-rural classification): Metro 50,000-249,999</w:t>
            </w:r>
          </w:p>
        </w:tc>
        <w:tc>
          <w:tcPr/>
          <w:p>
            <w:pPr>
              <w:pStyle w:val="Compact"/>
              <w:jc w:val="left"/>
            </w:pPr>
            <w:r>
              <w:t xml:space="preserve">0.93 (0.90–0.96)</w:t>
            </w:r>
          </w:p>
        </w:tc>
        <w:tc>
          <w:tcPr/>
          <w:p>
            <w:pPr>
              <w:pStyle w:val="Compact"/>
              <w:jc w:val="left"/>
            </w:pPr>
            <w:r>
              <w:t xml:space="preserve">&lt;0.001</w:t>
            </w:r>
          </w:p>
        </w:tc>
      </w:tr>
      <w:tr>
        <w:tc>
          <w:tcPr/>
          <w:p>
            <w:pPr>
              <w:pStyle w:val="Compact"/>
              <w:jc w:val="left"/>
            </w:pPr>
            <w:r>
              <w:t xml:space="preserve">Patient residence (NCHS urban-rural classification): Micropolitan</w:t>
            </w:r>
          </w:p>
        </w:tc>
        <w:tc>
          <w:tcPr/>
          <w:p>
            <w:pPr>
              <w:pStyle w:val="Compact"/>
              <w:jc w:val="left"/>
            </w:pPr>
            <w:r>
              <w:t xml:space="preserve">0.86 (0.83–0.88)</w:t>
            </w:r>
          </w:p>
        </w:tc>
        <w:tc>
          <w:tcPr/>
          <w:p>
            <w:pPr>
              <w:pStyle w:val="Compact"/>
              <w:jc w:val="left"/>
            </w:pPr>
            <w:r>
              <w:t xml:space="preserve">&lt;0.001</w:t>
            </w:r>
          </w:p>
        </w:tc>
      </w:tr>
      <w:tr>
        <w:tc>
          <w:tcPr/>
          <w:p>
            <w:pPr>
              <w:pStyle w:val="Compact"/>
              <w:jc w:val="left"/>
            </w:pPr>
            <w:r>
              <w:t xml:space="preserve">Patient residence (NCHS urban-rural classification): Other</w:t>
            </w:r>
          </w:p>
        </w:tc>
        <w:tc>
          <w:tcPr/>
          <w:p>
            <w:pPr>
              <w:pStyle w:val="Compact"/>
              <w:jc w:val="left"/>
            </w:pPr>
            <w:r>
              <w:t xml:space="preserve">0.85 (0.83–0.88)</w:t>
            </w:r>
          </w:p>
        </w:tc>
        <w:tc>
          <w:tcPr/>
          <w:p>
            <w:pPr>
              <w:pStyle w:val="Compact"/>
              <w:jc w:val="left"/>
            </w:pPr>
            <w:r>
              <w:t xml:space="preserve">&lt;0.001</w:t>
            </w:r>
          </w:p>
        </w:tc>
      </w:tr>
      <w:tr>
        <w:tc>
          <w:tcPr/>
          <w:p>
            <w:pPr>
              <w:pStyle w:val="Compact"/>
              <w:jc w:val="left"/>
            </w:pPr>
            <w:r>
              <w:t xml:space="preserve">Patient residence (NCHS urban-rural classification): Missing/other</w:t>
            </w:r>
          </w:p>
        </w:tc>
        <w:tc>
          <w:tcPr/>
          <w:p>
            <w:pPr>
              <w:pStyle w:val="Compact"/>
              <w:jc w:val="left"/>
            </w:pPr>
            <w:r>
              <w:t xml:space="preserve">1.54 (1.44–1.65)</w:t>
            </w:r>
          </w:p>
        </w:tc>
        <w:tc>
          <w:tcPr/>
          <w:p>
            <w:pPr>
              <w:pStyle w:val="Compact"/>
              <w:jc w:val="left"/>
            </w:pPr>
            <w:r>
              <w:t xml:space="preserve">&lt;0.001</w:t>
            </w:r>
          </w:p>
        </w:tc>
      </w:tr>
      <w:tr>
        <w:tc>
          <w:tcPr/>
          <w:p>
            <w:pPr>
              <w:pStyle w:val="Compact"/>
              <w:jc w:val="left"/>
            </w:pPr>
            <w:r>
              <w:t xml:space="preserve">Admission day: Weekend (Sat-Sun)</w:t>
            </w:r>
          </w:p>
        </w:tc>
        <w:tc>
          <w:tcPr/>
          <w:p>
            <w:pPr>
              <w:pStyle w:val="Compact"/>
              <w:jc w:val="left"/>
            </w:pPr>
            <w:r>
              <w:t xml:space="preserve">1.01 (1.00–1.02)</w:t>
            </w:r>
          </w:p>
        </w:tc>
        <w:tc>
          <w:tcPr/>
          <w:p>
            <w:pPr>
              <w:pStyle w:val="Compact"/>
              <w:jc w:val="left"/>
            </w:pPr>
            <w:r>
              <w:t xml:space="preserve">0.184</w:t>
            </w:r>
          </w:p>
        </w:tc>
      </w:tr>
      <w:tr>
        <w:tc>
          <w:tcPr/>
          <w:p>
            <w:pPr>
              <w:pStyle w:val="Compact"/>
              <w:jc w:val="left"/>
            </w:pPr>
            <w:r>
              <w:t xml:space="preserve">Admission type: Elective</w:t>
            </w:r>
          </w:p>
        </w:tc>
        <w:tc>
          <w:tcPr/>
          <w:p>
            <w:pPr>
              <w:pStyle w:val="Compact"/>
              <w:jc w:val="left"/>
            </w:pPr>
            <w:r>
              <w:t xml:space="preserve">0.94 (0.90–0.98)</w:t>
            </w:r>
          </w:p>
        </w:tc>
        <w:tc>
          <w:tcPr/>
          <w:p>
            <w:pPr>
              <w:pStyle w:val="Compact"/>
              <w:jc w:val="left"/>
            </w:pPr>
            <w:r>
              <w:t xml:space="preserve">0.007</w:t>
            </w:r>
          </w:p>
        </w:tc>
      </w:tr>
      <w:tr>
        <w:tc>
          <w:tcPr/>
          <w:p>
            <w:pPr>
              <w:pStyle w:val="Compact"/>
              <w:jc w:val="left"/>
            </w:pPr>
            <w:r>
              <w:t xml:space="preserve">Hospital bed size: Medium</w:t>
            </w:r>
          </w:p>
        </w:tc>
        <w:tc>
          <w:tcPr/>
          <w:p>
            <w:pPr>
              <w:pStyle w:val="Compact"/>
              <w:jc w:val="left"/>
            </w:pPr>
            <w:r>
              <w:t xml:space="preserve">1.00 (0.98–1.03)</w:t>
            </w:r>
          </w:p>
        </w:tc>
        <w:tc>
          <w:tcPr/>
          <w:p>
            <w:pPr>
              <w:pStyle w:val="Compact"/>
              <w:jc w:val="left"/>
            </w:pPr>
            <w:r>
              <w:t xml:space="preserve">0.902</w:t>
            </w:r>
          </w:p>
        </w:tc>
      </w:tr>
      <w:tr>
        <w:tc>
          <w:tcPr/>
          <w:p>
            <w:pPr>
              <w:pStyle w:val="Compact"/>
              <w:jc w:val="left"/>
            </w:pPr>
            <w:r>
              <w:t xml:space="preserve">Hospital bed size: Large</w:t>
            </w:r>
          </w:p>
        </w:tc>
        <w:tc>
          <w:tcPr/>
          <w:p>
            <w:pPr>
              <w:pStyle w:val="Compact"/>
              <w:jc w:val="left"/>
            </w:pPr>
            <w:r>
              <w:t xml:space="preserve">1.02 (1.00–1.05)</w:t>
            </w:r>
          </w:p>
        </w:tc>
        <w:tc>
          <w:tcPr/>
          <w:p>
            <w:pPr>
              <w:pStyle w:val="Compact"/>
              <w:jc w:val="left"/>
            </w:pPr>
            <w:r>
              <w:t xml:space="preserve">0.041</w:t>
            </w:r>
          </w:p>
        </w:tc>
      </w:tr>
      <w:tr>
        <w:tc>
          <w:tcPr/>
          <w:p>
            <w:pPr>
              <w:pStyle w:val="Compact"/>
              <w:jc w:val="left"/>
            </w:pPr>
            <w:r>
              <w:t xml:space="preserve">Hospital location and teaching status: Metropolitan, teaching</w:t>
            </w:r>
          </w:p>
        </w:tc>
        <w:tc>
          <w:tcPr/>
          <w:p>
            <w:pPr>
              <w:pStyle w:val="Compact"/>
              <w:jc w:val="left"/>
            </w:pPr>
            <w:r>
              <w:t xml:space="preserve">1.00 (0.98–1.02)</w:t>
            </w:r>
          </w:p>
        </w:tc>
        <w:tc>
          <w:tcPr/>
          <w:p>
            <w:pPr>
              <w:pStyle w:val="Compact"/>
              <w:jc w:val="left"/>
            </w:pPr>
            <w:r>
              <w:t xml:space="preserve">0.723</w:t>
            </w:r>
          </w:p>
        </w:tc>
      </w:tr>
      <w:tr>
        <w:tc>
          <w:tcPr/>
          <w:p>
            <w:pPr>
              <w:pStyle w:val="Compact"/>
              <w:jc w:val="left"/>
            </w:pPr>
            <w:r>
              <w:t xml:space="preserve">Hospital location and teaching status: Non-metropolitan</w:t>
            </w:r>
          </w:p>
        </w:tc>
        <w:tc>
          <w:tcPr/>
          <w:p>
            <w:pPr>
              <w:pStyle w:val="Compact"/>
              <w:jc w:val="left"/>
            </w:pPr>
            <w:r>
              <w:t xml:space="preserve">1.03 (0.99–1.07)</w:t>
            </w:r>
          </w:p>
        </w:tc>
        <w:tc>
          <w:tcPr/>
          <w:p>
            <w:pPr>
              <w:pStyle w:val="Compact"/>
              <w:jc w:val="left"/>
            </w:pPr>
            <w:r>
              <w:t xml:space="preserve">0.123</w:t>
            </w:r>
          </w:p>
        </w:tc>
      </w:tr>
      <w:tr>
        <w:tc>
          <w:tcPr/>
          <w:p>
            <w:pPr>
              <w:pStyle w:val="Compact"/>
              <w:jc w:val="left"/>
            </w:pPr>
            <w:r>
              <w:t xml:space="preserve">Hospital ownership: Government, nonfederal</w:t>
            </w:r>
          </w:p>
        </w:tc>
        <w:tc>
          <w:tcPr/>
          <w:p>
            <w:pPr>
              <w:pStyle w:val="Compact"/>
              <w:jc w:val="left"/>
            </w:pPr>
            <w:r>
              <w:t xml:space="preserve">1.02 (0.99–1.05)</w:t>
            </w:r>
          </w:p>
        </w:tc>
        <w:tc>
          <w:tcPr/>
          <w:p>
            <w:pPr>
              <w:pStyle w:val="Compact"/>
              <w:jc w:val="left"/>
            </w:pPr>
            <w:r>
              <w:t xml:space="preserve">0.219</w:t>
            </w:r>
          </w:p>
        </w:tc>
      </w:tr>
      <w:tr>
        <w:tc>
          <w:tcPr/>
          <w:p>
            <w:pPr>
              <w:pStyle w:val="Compact"/>
              <w:jc w:val="left"/>
            </w:pPr>
            <w:r>
              <w:t xml:space="preserve">Hospital ownership: Private, invest-own</w:t>
            </w:r>
          </w:p>
        </w:tc>
        <w:tc>
          <w:tcPr/>
          <w:p>
            <w:pPr>
              <w:pStyle w:val="Compact"/>
              <w:jc w:val="left"/>
            </w:pPr>
            <w:r>
              <w:t xml:space="preserve">1.11 (1.08–1.13)</w:t>
            </w:r>
          </w:p>
        </w:tc>
        <w:tc>
          <w:tcPr/>
          <w:p>
            <w:pPr>
              <w:pStyle w:val="Compact"/>
              <w:jc w:val="left"/>
            </w:pPr>
            <w:r>
              <w:t xml:space="preserve">&lt;0.001</w:t>
            </w:r>
          </w:p>
        </w:tc>
      </w:tr>
      <w:tr>
        <w:tc>
          <w:tcPr/>
          <w:p>
            <w:pPr>
              <w:pStyle w:val="Compact"/>
              <w:jc w:val="left"/>
            </w:pPr>
            <w:r>
              <w:t xml:space="preserve">Discharge year: 2019</w:t>
            </w:r>
          </w:p>
        </w:tc>
        <w:tc>
          <w:tcPr/>
          <w:p>
            <w:pPr>
              <w:pStyle w:val="Compact"/>
              <w:jc w:val="left"/>
            </w:pPr>
            <w:r>
              <w:t xml:space="preserve">0.96 (0.93–0.99)</w:t>
            </w:r>
          </w:p>
        </w:tc>
        <w:tc>
          <w:tcPr/>
          <w:p>
            <w:pPr>
              <w:pStyle w:val="Compact"/>
              <w:jc w:val="left"/>
            </w:pPr>
            <w:r>
              <w:t xml:space="preserve">0.014</w:t>
            </w:r>
          </w:p>
        </w:tc>
      </w:tr>
      <w:tr>
        <w:tc>
          <w:tcPr/>
          <w:p>
            <w:pPr>
              <w:pStyle w:val="Compact"/>
              <w:jc w:val="left"/>
            </w:pPr>
            <w:r>
              <w:t xml:space="preserve">Discharge year: 2020</w:t>
            </w:r>
          </w:p>
        </w:tc>
        <w:tc>
          <w:tcPr/>
          <w:p>
            <w:pPr>
              <w:pStyle w:val="Compact"/>
              <w:jc w:val="left"/>
            </w:pPr>
            <w:r>
              <w:t xml:space="preserve">0.93 (0.90–0.96)</w:t>
            </w:r>
          </w:p>
        </w:tc>
        <w:tc>
          <w:tcPr/>
          <w:p>
            <w:pPr>
              <w:pStyle w:val="Compact"/>
              <w:jc w:val="left"/>
            </w:pPr>
            <w:r>
              <w:t xml:space="preserve">&lt;0.001</w:t>
            </w:r>
          </w:p>
        </w:tc>
      </w:tr>
      <w:tr>
        <w:tc>
          <w:tcPr/>
          <w:p>
            <w:pPr>
              <w:pStyle w:val="Compact"/>
              <w:jc w:val="left"/>
            </w:pPr>
            <w:r>
              <w:t xml:space="preserve">Discharge year: 2021</w:t>
            </w:r>
          </w:p>
        </w:tc>
        <w:tc>
          <w:tcPr/>
          <w:p>
            <w:pPr>
              <w:pStyle w:val="Compact"/>
              <w:jc w:val="left"/>
            </w:pPr>
            <w:r>
              <w:t xml:space="preserve">0.93 (0.90–0.96)</w:t>
            </w:r>
          </w:p>
        </w:tc>
        <w:tc>
          <w:tcPr/>
          <w:p>
            <w:pPr>
              <w:pStyle w:val="Compact"/>
              <w:jc w:val="left"/>
            </w:pPr>
            <w:r>
              <w:t xml:space="preserve">&lt;0.001</w:t>
            </w:r>
          </w:p>
        </w:tc>
      </w:tr>
      <w:tr>
        <w:tc>
          <w:tcPr/>
          <w:p>
            <w:pPr>
              <w:pStyle w:val="Compact"/>
              <w:jc w:val="left"/>
            </w:pPr>
            <w:r>
              <w:t xml:space="preserve">Discharge year: 2022</w:t>
            </w:r>
          </w:p>
        </w:tc>
        <w:tc>
          <w:tcPr/>
          <w:p>
            <w:pPr>
              <w:pStyle w:val="Compact"/>
              <w:jc w:val="left"/>
            </w:pPr>
            <w:r>
              <w:t xml:space="preserve">0.92 (0.90–0.95)</w:t>
            </w:r>
          </w:p>
        </w:tc>
        <w:tc>
          <w:tcPr/>
          <w:p>
            <w:pPr>
              <w:pStyle w:val="Compact"/>
              <w:jc w:val="left"/>
            </w:pPr>
            <w:r>
              <w:t xml:space="preserve">&lt;0.001</w:t>
            </w:r>
          </w:p>
        </w:tc>
      </w:tr>
      <w:tr>
        <w:tc>
          <w:tcPr/>
          <w:p>
            <w:pPr>
              <w:pStyle w:val="Compact"/>
              <w:jc w:val="left"/>
            </w:pPr>
            <w:r>
              <w:t xml:space="preserve">Congestive heart failure</w:t>
            </w:r>
          </w:p>
        </w:tc>
        <w:tc>
          <w:tcPr/>
          <w:p>
            <w:pPr>
              <w:pStyle w:val="Compact"/>
              <w:jc w:val="left"/>
            </w:pPr>
            <w:r>
              <w:t xml:space="preserve">1.29 (1.26–1.31)</w:t>
            </w:r>
          </w:p>
        </w:tc>
        <w:tc>
          <w:tcPr/>
          <w:p>
            <w:pPr>
              <w:pStyle w:val="Compact"/>
              <w:jc w:val="left"/>
            </w:pPr>
            <w:r>
              <w:t xml:space="preserve">&lt;0.001</w:t>
            </w:r>
          </w:p>
        </w:tc>
      </w:tr>
      <w:tr>
        <w:tc>
          <w:tcPr/>
          <w:p>
            <w:pPr>
              <w:pStyle w:val="Compact"/>
              <w:jc w:val="left"/>
            </w:pPr>
            <w:r>
              <w:t xml:space="preserve">Valvular disease</w:t>
            </w:r>
          </w:p>
        </w:tc>
        <w:tc>
          <w:tcPr/>
          <w:p>
            <w:pPr>
              <w:pStyle w:val="Compact"/>
              <w:jc w:val="left"/>
            </w:pPr>
            <w:r>
              <w:t xml:space="preserve">1.13 (1.11–1.15)</w:t>
            </w:r>
          </w:p>
        </w:tc>
        <w:tc>
          <w:tcPr/>
          <w:p>
            <w:pPr>
              <w:pStyle w:val="Compact"/>
              <w:jc w:val="left"/>
            </w:pPr>
            <w:r>
              <w:t xml:space="preserve">&lt;0.001</w:t>
            </w:r>
          </w:p>
        </w:tc>
      </w:tr>
      <w:tr>
        <w:tc>
          <w:tcPr/>
          <w:p>
            <w:pPr>
              <w:pStyle w:val="Compact"/>
              <w:jc w:val="left"/>
            </w:pPr>
            <w:r>
              <w:t xml:space="preserve">Pulmonary circulation disorders</w:t>
            </w:r>
          </w:p>
        </w:tc>
        <w:tc>
          <w:tcPr/>
          <w:p>
            <w:pPr>
              <w:pStyle w:val="Compact"/>
              <w:jc w:val="left"/>
            </w:pPr>
            <w:r>
              <w:t xml:space="preserve">1.01 (1.00–1.03)</w:t>
            </w:r>
          </w:p>
        </w:tc>
        <w:tc>
          <w:tcPr/>
          <w:p>
            <w:pPr>
              <w:pStyle w:val="Compact"/>
              <w:jc w:val="left"/>
            </w:pPr>
            <w:r>
              <w:t xml:space="preserve">0.079</w:t>
            </w:r>
          </w:p>
        </w:tc>
      </w:tr>
      <w:tr>
        <w:tc>
          <w:tcPr/>
          <w:p>
            <w:pPr>
              <w:pStyle w:val="Compact"/>
              <w:jc w:val="left"/>
            </w:pPr>
            <w:r>
              <w:t xml:space="preserve">Peripheral vascular disorders</w:t>
            </w:r>
          </w:p>
        </w:tc>
        <w:tc>
          <w:tcPr/>
          <w:p>
            <w:pPr>
              <w:pStyle w:val="Compact"/>
              <w:jc w:val="left"/>
            </w:pPr>
            <w:r>
              <w:t xml:space="preserve">1.12 (1.10–1.14)</w:t>
            </w:r>
          </w:p>
        </w:tc>
        <w:tc>
          <w:tcPr/>
          <w:p>
            <w:pPr>
              <w:pStyle w:val="Compact"/>
              <w:jc w:val="left"/>
            </w:pPr>
            <w:r>
              <w:t xml:space="preserve">&lt;0.001</w:t>
            </w:r>
          </w:p>
        </w:tc>
      </w:tr>
      <w:tr>
        <w:tc>
          <w:tcPr/>
          <w:p>
            <w:pPr>
              <w:pStyle w:val="Compact"/>
              <w:jc w:val="left"/>
            </w:pPr>
            <w:r>
              <w:t xml:space="preserve">Hypertension, uncomplicated</w:t>
            </w:r>
          </w:p>
        </w:tc>
        <w:tc>
          <w:tcPr/>
          <w:p>
            <w:pPr>
              <w:pStyle w:val="Compact"/>
              <w:jc w:val="left"/>
            </w:pPr>
            <w:r>
              <w:t xml:space="preserve">0.92 (0.90–0.94)</w:t>
            </w:r>
          </w:p>
        </w:tc>
        <w:tc>
          <w:tcPr/>
          <w:p>
            <w:pPr>
              <w:pStyle w:val="Compact"/>
              <w:jc w:val="left"/>
            </w:pPr>
            <w:r>
              <w:t xml:space="preserve">&lt;0.001</w:t>
            </w:r>
          </w:p>
        </w:tc>
      </w:tr>
      <w:tr>
        <w:tc>
          <w:tcPr/>
          <w:p>
            <w:pPr>
              <w:pStyle w:val="Compact"/>
              <w:jc w:val="left"/>
            </w:pPr>
            <w:r>
              <w:t xml:space="preserve">Paralysis</w:t>
            </w:r>
          </w:p>
        </w:tc>
        <w:tc>
          <w:tcPr/>
          <w:p>
            <w:pPr>
              <w:pStyle w:val="Compact"/>
              <w:jc w:val="left"/>
            </w:pPr>
            <w:r>
              <w:t xml:space="preserve">1.02 (0.99–1.07)</w:t>
            </w:r>
          </w:p>
        </w:tc>
        <w:tc>
          <w:tcPr/>
          <w:p>
            <w:pPr>
              <w:pStyle w:val="Compact"/>
              <w:jc w:val="left"/>
            </w:pPr>
            <w:r>
              <w:t xml:space="preserve">0.219</w:t>
            </w:r>
          </w:p>
        </w:tc>
      </w:tr>
      <w:tr>
        <w:tc>
          <w:tcPr/>
          <w:p>
            <w:pPr>
              <w:pStyle w:val="Compact"/>
              <w:jc w:val="left"/>
            </w:pPr>
            <w:r>
              <w:t xml:space="preserve">Other neurological disorders</w:t>
            </w:r>
          </w:p>
        </w:tc>
        <w:tc>
          <w:tcPr/>
          <w:p>
            <w:pPr>
              <w:pStyle w:val="Compact"/>
              <w:jc w:val="left"/>
            </w:pPr>
            <w:r>
              <w:t xml:space="preserve">1.04 (1.02–1.05)</w:t>
            </w:r>
          </w:p>
        </w:tc>
        <w:tc>
          <w:tcPr/>
          <w:p>
            <w:pPr>
              <w:pStyle w:val="Compact"/>
              <w:jc w:val="left"/>
            </w:pPr>
            <w:r>
              <w:t xml:space="preserve">&lt;0.001</w:t>
            </w:r>
          </w:p>
        </w:tc>
      </w:tr>
      <w:tr>
        <w:tc>
          <w:tcPr/>
          <w:p>
            <w:pPr>
              <w:pStyle w:val="Compact"/>
              <w:jc w:val="left"/>
            </w:pPr>
            <w:r>
              <w:t xml:space="preserve">Chronic pulmonary disease</w:t>
            </w:r>
          </w:p>
        </w:tc>
        <w:tc>
          <w:tcPr/>
          <w:p>
            <w:pPr>
              <w:pStyle w:val="Compact"/>
              <w:jc w:val="left"/>
            </w:pPr>
            <w:r>
              <w:t xml:space="preserve">1.20 (1.19–1.22)</w:t>
            </w:r>
          </w:p>
        </w:tc>
        <w:tc>
          <w:tcPr/>
          <w:p>
            <w:pPr>
              <w:pStyle w:val="Compact"/>
              <w:jc w:val="left"/>
            </w:pPr>
            <w:r>
              <w:t xml:space="preserve">&lt;0.001</w:t>
            </w:r>
          </w:p>
        </w:tc>
      </w:tr>
      <w:tr>
        <w:tc>
          <w:tcPr/>
          <w:p>
            <w:pPr>
              <w:pStyle w:val="Compact"/>
              <w:jc w:val="left"/>
            </w:pPr>
            <w:r>
              <w:t xml:space="preserve">Diabetes, uncomplicated</w:t>
            </w:r>
          </w:p>
        </w:tc>
        <w:tc>
          <w:tcPr/>
          <w:p>
            <w:pPr>
              <w:pStyle w:val="Compact"/>
              <w:jc w:val="left"/>
            </w:pPr>
            <w:r>
              <w:t xml:space="preserve">1.09 (1.07–1.11)</w:t>
            </w:r>
          </w:p>
        </w:tc>
        <w:tc>
          <w:tcPr/>
          <w:p>
            <w:pPr>
              <w:pStyle w:val="Compact"/>
              <w:jc w:val="left"/>
            </w:pPr>
            <w:r>
              <w:t xml:space="preserve">&lt;0.001</w:t>
            </w:r>
          </w:p>
        </w:tc>
      </w:tr>
      <w:tr>
        <w:tc>
          <w:tcPr/>
          <w:p>
            <w:pPr>
              <w:pStyle w:val="Compact"/>
              <w:jc w:val="left"/>
            </w:pPr>
            <w:r>
              <w:t xml:space="preserve">Diabetes, complicated</w:t>
            </w:r>
          </w:p>
        </w:tc>
        <w:tc>
          <w:tcPr/>
          <w:p>
            <w:pPr>
              <w:pStyle w:val="Compact"/>
              <w:jc w:val="left"/>
            </w:pPr>
            <w:r>
              <w:t xml:space="preserve">1.21 (1.20–1.23)</w:t>
            </w:r>
          </w:p>
        </w:tc>
        <w:tc>
          <w:tcPr/>
          <w:p>
            <w:pPr>
              <w:pStyle w:val="Compact"/>
              <w:jc w:val="left"/>
            </w:pPr>
            <w:r>
              <w:t xml:space="preserve">&lt;0.001</w:t>
            </w:r>
          </w:p>
        </w:tc>
      </w:tr>
      <w:tr>
        <w:tc>
          <w:tcPr/>
          <w:p>
            <w:pPr>
              <w:pStyle w:val="Compact"/>
              <w:jc w:val="left"/>
            </w:pPr>
            <w:r>
              <w:t xml:space="preserve">Hypothyroidism</w:t>
            </w:r>
          </w:p>
        </w:tc>
        <w:tc>
          <w:tcPr/>
          <w:p>
            <w:pPr>
              <w:pStyle w:val="Compact"/>
              <w:jc w:val="left"/>
            </w:pPr>
            <w:r>
              <w:t xml:space="preserve">0.99 (0.98–1.01)</w:t>
            </w:r>
          </w:p>
        </w:tc>
        <w:tc>
          <w:tcPr/>
          <w:p>
            <w:pPr>
              <w:pStyle w:val="Compact"/>
              <w:jc w:val="left"/>
            </w:pPr>
            <w:r>
              <w:t xml:space="preserve">0.549</w:t>
            </w:r>
          </w:p>
        </w:tc>
      </w:tr>
      <w:tr>
        <w:tc>
          <w:tcPr/>
          <w:p>
            <w:pPr>
              <w:pStyle w:val="Compact"/>
              <w:jc w:val="left"/>
            </w:pPr>
            <w:r>
              <w:t xml:space="preserve">Liver disease</w:t>
            </w:r>
          </w:p>
        </w:tc>
        <w:tc>
          <w:tcPr/>
          <w:p>
            <w:pPr>
              <w:pStyle w:val="Compact"/>
              <w:jc w:val="left"/>
            </w:pPr>
            <w:r>
              <w:t xml:space="preserve">1.15 (1.12–1.17)</w:t>
            </w:r>
          </w:p>
        </w:tc>
        <w:tc>
          <w:tcPr/>
          <w:p>
            <w:pPr>
              <w:pStyle w:val="Compact"/>
              <w:jc w:val="left"/>
            </w:pPr>
            <w:r>
              <w:t xml:space="preserve">&lt;0.001</w:t>
            </w:r>
          </w:p>
        </w:tc>
      </w:tr>
      <w:tr>
        <w:tc>
          <w:tcPr/>
          <w:p>
            <w:pPr>
              <w:pStyle w:val="Compact"/>
              <w:jc w:val="left"/>
            </w:pPr>
            <w:r>
              <w:t xml:space="preserve">Peptic ulcer disease</w:t>
            </w:r>
          </w:p>
        </w:tc>
        <w:tc>
          <w:tcPr/>
          <w:p>
            <w:pPr>
              <w:pStyle w:val="Compact"/>
              <w:jc w:val="left"/>
            </w:pPr>
            <w:r>
              <w:t xml:space="preserve">1.10 (1.04–1.16)</w:t>
            </w:r>
          </w:p>
        </w:tc>
        <w:tc>
          <w:tcPr/>
          <w:p>
            <w:pPr>
              <w:pStyle w:val="Compact"/>
              <w:jc w:val="left"/>
            </w:pPr>
            <w:r>
              <w:t xml:space="preserve">0.001</w:t>
            </w:r>
          </w:p>
        </w:tc>
      </w:tr>
      <w:tr>
        <w:tc>
          <w:tcPr/>
          <w:p>
            <w:pPr>
              <w:pStyle w:val="Compact"/>
              <w:jc w:val="left"/>
            </w:pPr>
            <w:r>
              <w:t xml:space="preserve">HIV/AIDS</w:t>
            </w:r>
          </w:p>
        </w:tc>
        <w:tc>
          <w:tcPr/>
          <w:p>
            <w:pPr>
              <w:pStyle w:val="Compact"/>
              <w:jc w:val="left"/>
            </w:pPr>
            <w:r>
              <w:t xml:space="preserve">1.29 (1.18–1.42)</w:t>
            </w:r>
          </w:p>
        </w:tc>
        <w:tc>
          <w:tcPr/>
          <w:p>
            <w:pPr>
              <w:pStyle w:val="Compact"/>
              <w:jc w:val="left"/>
            </w:pPr>
            <w:r>
              <w:t xml:space="preserve">&lt;0.001</w:t>
            </w:r>
          </w:p>
        </w:tc>
      </w:tr>
      <w:tr>
        <w:tc>
          <w:tcPr/>
          <w:p>
            <w:pPr>
              <w:pStyle w:val="Compact"/>
              <w:jc w:val="left"/>
            </w:pPr>
            <w:r>
              <w:t xml:space="preserve">Lymphoma</w:t>
            </w:r>
          </w:p>
        </w:tc>
        <w:tc>
          <w:tcPr/>
          <w:p>
            <w:pPr>
              <w:pStyle w:val="Compact"/>
              <w:jc w:val="left"/>
            </w:pPr>
            <w:r>
              <w:t xml:space="preserve">1.45 (1.38–1.51)</w:t>
            </w:r>
          </w:p>
        </w:tc>
        <w:tc>
          <w:tcPr/>
          <w:p>
            <w:pPr>
              <w:pStyle w:val="Compact"/>
              <w:jc w:val="left"/>
            </w:pPr>
            <w:r>
              <w:t xml:space="preserve">&lt;0.001</w:t>
            </w:r>
          </w:p>
        </w:tc>
      </w:tr>
      <w:tr>
        <w:tc>
          <w:tcPr/>
          <w:p>
            <w:pPr>
              <w:pStyle w:val="Compact"/>
              <w:jc w:val="left"/>
            </w:pPr>
            <w:r>
              <w:t xml:space="preserve">Metastatic cancer</w:t>
            </w:r>
          </w:p>
        </w:tc>
        <w:tc>
          <w:tcPr/>
          <w:p>
            <w:pPr>
              <w:pStyle w:val="Compact"/>
              <w:jc w:val="left"/>
            </w:pPr>
            <w:r>
              <w:t xml:space="preserve">1.24 (1.19–1.29)</w:t>
            </w:r>
          </w:p>
        </w:tc>
        <w:tc>
          <w:tcPr/>
          <w:p>
            <w:pPr>
              <w:pStyle w:val="Compact"/>
              <w:jc w:val="left"/>
            </w:pPr>
            <w:r>
              <w:t xml:space="preserve">&lt;0.001</w:t>
            </w:r>
          </w:p>
        </w:tc>
      </w:tr>
      <w:tr>
        <w:tc>
          <w:tcPr/>
          <w:p>
            <w:pPr>
              <w:pStyle w:val="Compact"/>
              <w:jc w:val="left"/>
            </w:pPr>
            <w:r>
              <w:t xml:space="preserve">Solid tumour without metastasis</w:t>
            </w:r>
          </w:p>
        </w:tc>
        <w:tc>
          <w:tcPr/>
          <w:p>
            <w:pPr>
              <w:pStyle w:val="Compact"/>
              <w:jc w:val="left"/>
            </w:pPr>
            <w:r>
              <w:t xml:space="preserve">1.28 (1.25–1.32)</w:t>
            </w:r>
          </w:p>
        </w:tc>
        <w:tc>
          <w:tcPr/>
          <w:p>
            <w:pPr>
              <w:pStyle w:val="Compact"/>
              <w:jc w:val="left"/>
            </w:pPr>
            <w:r>
              <w:t xml:space="preserve">&lt;0.001</w:t>
            </w:r>
          </w:p>
        </w:tc>
      </w:tr>
      <w:tr>
        <w:tc>
          <w:tcPr/>
          <w:p>
            <w:pPr>
              <w:pStyle w:val="Compact"/>
              <w:jc w:val="left"/>
            </w:pPr>
            <w:r>
              <w:t xml:space="preserve">Rheumatoid arthritis / collagen vascular disease</w:t>
            </w:r>
          </w:p>
        </w:tc>
        <w:tc>
          <w:tcPr/>
          <w:p>
            <w:pPr>
              <w:pStyle w:val="Compact"/>
              <w:jc w:val="left"/>
            </w:pPr>
            <w:r>
              <w:t xml:space="preserve">1.21 (1.18–1.25)</w:t>
            </w:r>
          </w:p>
        </w:tc>
        <w:tc>
          <w:tcPr/>
          <w:p>
            <w:pPr>
              <w:pStyle w:val="Compact"/>
              <w:jc w:val="left"/>
            </w:pPr>
            <w:r>
              <w:t xml:space="preserve">&lt;0.001</w:t>
            </w:r>
          </w:p>
        </w:tc>
      </w:tr>
      <w:tr>
        <w:tc>
          <w:tcPr/>
          <w:p>
            <w:pPr>
              <w:pStyle w:val="Compact"/>
              <w:jc w:val="left"/>
            </w:pPr>
            <w:r>
              <w:t xml:space="preserve">Coagulopathy</w:t>
            </w:r>
          </w:p>
        </w:tc>
        <w:tc>
          <w:tcPr/>
          <w:p>
            <w:pPr>
              <w:pStyle w:val="Compact"/>
              <w:jc w:val="left"/>
            </w:pPr>
            <w:r>
              <w:t xml:space="preserve">1.06 (1.04–1.08)</w:t>
            </w:r>
          </w:p>
        </w:tc>
        <w:tc>
          <w:tcPr/>
          <w:p>
            <w:pPr>
              <w:pStyle w:val="Compact"/>
              <w:jc w:val="left"/>
            </w:pPr>
            <w:r>
              <w:t xml:space="preserve">&lt;0.001</w:t>
            </w:r>
          </w:p>
        </w:tc>
      </w:tr>
      <w:tr>
        <w:tc>
          <w:tcPr/>
          <w:p>
            <w:pPr>
              <w:pStyle w:val="Compact"/>
              <w:jc w:val="left"/>
            </w:pPr>
            <w:r>
              <w:t xml:space="preserve">Obesity</w:t>
            </w:r>
          </w:p>
        </w:tc>
        <w:tc>
          <w:tcPr/>
          <w:p>
            <w:pPr>
              <w:pStyle w:val="Compact"/>
              <w:jc w:val="left"/>
            </w:pPr>
            <w:r>
              <w:t xml:space="preserve">0.89 (0.88–0.91)</w:t>
            </w:r>
          </w:p>
        </w:tc>
        <w:tc>
          <w:tcPr/>
          <w:p>
            <w:pPr>
              <w:pStyle w:val="Compact"/>
              <w:jc w:val="left"/>
            </w:pPr>
            <w:r>
              <w:t xml:space="preserve">&lt;0.001</w:t>
            </w:r>
          </w:p>
        </w:tc>
      </w:tr>
      <w:tr>
        <w:tc>
          <w:tcPr/>
          <w:p>
            <w:pPr>
              <w:pStyle w:val="Compact"/>
              <w:jc w:val="left"/>
            </w:pPr>
            <w:r>
              <w:t xml:space="preserve">Weight loss</w:t>
            </w:r>
          </w:p>
        </w:tc>
        <w:tc>
          <w:tcPr/>
          <w:p>
            <w:pPr>
              <w:pStyle w:val="Compact"/>
              <w:jc w:val="left"/>
            </w:pPr>
            <w:r>
              <w:t xml:space="preserve">1.18 (1.16–1.20)</w:t>
            </w:r>
          </w:p>
        </w:tc>
        <w:tc>
          <w:tcPr/>
          <w:p>
            <w:pPr>
              <w:pStyle w:val="Compact"/>
              <w:jc w:val="left"/>
            </w:pPr>
            <w:r>
              <w:t xml:space="preserve">&lt;0.001</w:t>
            </w:r>
          </w:p>
        </w:tc>
      </w:tr>
      <w:tr>
        <w:tc>
          <w:tcPr/>
          <w:p>
            <w:pPr>
              <w:pStyle w:val="Compact"/>
              <w:jc w:val="left"/>
            </w:pPr>
            <w:r>
              <w:t xml:space="preserve">Alcohol abuse</w:t>
            </w:r>
          </w:p>
        </w:tc>
        <w:tc>
          <w:tcPr/>
          <w:p>
            <w:pPr>
              <w:pStyle w:val="Compact"/>
              <w:jc w:val="left"/>
            </w:pPr>
            <w:r>
              <w:t xml:space="preserve">0.98 (0.96–1.01)</w:t>
            </w:r>
          </w:p>
        </w:tc>
        <w:tc>
          <w:tcPr/>
          <w:p>
            <w:pPr>
              <w:pStyle w:val="Compact"/>
              <w:jc w:val="left"/>
            </w:pPr>
            <w:r>
              <w:t xml:space="preserve">0.245</w:t>
            </w:r>
          </w:p>
        </w:tc>
      </w:tr>
      <w:tr>
        <w:tc>
          <w:tcPr/>
          <w:p>
            <w:pPr>
              <w:pStyle w:val="Compact"/>
              <w:jc w:val="left"/>
            </w:pPr>
            <w:r>
              <w:t xml:space="preserve">Drug abuse</w:t>
            </w:r>
          </w:p>
        </w:tc>
        <w:tc>
          <w:tcPr/>
          <w:p>
            <w:pPr>
              <w:pStyle w:val="Compact"/>
              <w:jc w:val="left"/>
            </w:pPr>
            <w:r>
              <w:t xml:space="preserve">1.20 (1.17–1.23)</w:t>
            </w:r>
          </w:p>
        </w:tc>
        <w:tc>
          <w:tcPr/>
          <w:p>
            <w:pPr>
              <w:pStyle w:val="Compact"/>
              <w:jc w:val="left"/>
            </w:pPr>
            <w:r>
              <w:t xml:space="preserve">&lt;0.001</w:t>
            </w:r>
          </w:p>
        </w:tc>
      </w:tr>
      <w:tr>
        <w:tc>
          <w:tcPr/>
          <w:p>
            <w:pPr>
              <w:pStyle w:val="Compact"/>
              <w:jc w:val="left"/>
            </w:pPr>
            <w:r>
              <w:t xml:space="preserve">Psychoses</w:t>
            </w:r>
          </w:p>
        </w:tc>
        <w:tc>
          <w:tcPr/>
          <w:p>
            <w:pPr>
              <w:pStyle w:val="Compact"/>
              <w:jc w:val="left"/>
            </w:pPr>
            <w:r>
              <w:t xml:space="preserve">1.26 (1.21–1.31)</w:t>
            </w:r>
          </w:p>
        </w:tc>
        <w:tc>
          <w:tcPr/>
          <w:p>
            <w:pPr>
              <w:pStyle w:val="Compact"/>
              <w:jc w:val="left"/>
            </w:pPr>
            <w:r>
              <w:t xml:space="preserve">&lt;0.001</w:t>
            </w:r>
          </w:p>
        </w:tc>
      </w:tr>
      <w:tr>
        <w:tc>
          <w:tcPr/>
          <w:p>
            <w:pPr>
              <w:pStyle w:val="Compact"/>
              <w:jc w:val="left"/>
            </w:pPr>
            <w:r>
              <w:t xml:space="preserve">Depression</w:t>
            </w:r>
          </w:p>
        </w:tc>
        <w:tc>
          <w:tcPr/>
          <w:p>
            <w:pPr>
              <w:pStyle w:val="Compact"/>
              <w:jc w:val="left"/>
            </w:pPr>
            <w:r>
              <w:t xml:space="preserve">1.05 (1.03–1.06)</w:t>
            </w:r>
          </w:p>
        </w:tc>
        <w:tc>
          <w:tcPr/>
          <w:p>
            <w:pPr>
              <w:pStyle w:val="Compact"/>
              <w:jc w:val="left"/>
            </w:pPr>
            <w:r>
              <w:t xml:space="preserve">&lt;0.001</w:t>
            </w:r>
          </w:p>
        </w:tc>
      </w:tr>
      <w:tr>
        <w:tc>
          <w:tcPr/>
          <w:p>
            <w:pPr>
              <w:pStyle w:val="Compact"/>
              <w:jc w:val="left"/>
            </w:pPr>
            <w:r>
              <w:t xml:space="preserve">Hypertension, complicated</w:t>
            </w:r>
          </w:p>
        </w:tc>
        <w:tc>
          <w:tcPr/>
          <w:p>
            <w:pPr>
              <w:pStyle w:val="Compact"/>
              <w:jc w:val="left"/>
            </w:pPr>
            <w:r>
              <w:t xml:space="preserve">1.05 (1.03–1.07)</w:t>
            </w:r>
          </w:p>
        </w:tc>
        <w:tc>
          <w:tcPr/>
          <w:p>
            <w:pPr>
              <w:pStyle w:val="Compact"/>
              <w:jc w:val="left"/>
            </w:pPr>
            <w:r>
              <w:t xml:space="preserve">&lt;0.001</w:t>
            </w:r>
          </w:p>
        </w:tc>
      </w:tr>
      <w:tr>
        <w:tc>
          <w:tcPr/>
          <w:p>
            <w:pPr>
              <w:pStyle w:val="Compact"/>
              <w:jc w:val="left"/>
            </w:pPr>
            <w:r>
              <w:t xml:space="preserve">Cardiogenic shock at index</w:t>
            </w:r>
          </w:p>
        </w:tc>
        <w:tc>
          <w:tcPr/>
          <w:p>
            <w:pPr>
              <w:pStyle w:val="Compact"/>
              <w:jc w:val="left"/>
            </w:pPr>
            <w:r>
              <w:t xml:space="preserve">0.92 (0.88–0.95)</w:t>
            </w:r>
          </w:p>
        </w:tc>
        <w:tc>
          <w:tcPr/>
          <w:p>
            <w:pPr>
              <w:pStyle w:val="Compact"/>
              <w:jc w:val="left"/>
            </w:pPr>
            <w:r>
              <w:t xml:space="preserve">&lt;0.001</w:t>
            </w:r>
          </w:p>
        </w:tc>
      </w:tr>
      <w:tr>
        <w:tc>
          <w:tcPr/>
          <w:p>
            <w:pPr>
              <w:pStyle w:val="Compact"/>
              <w:jc w:val="left"/>
            </w:pPr>
            <w:r>
              <w:t xml:space="preserve">Invasive mechanical ventilation at index</w:t>
            </w:r>
          </w:p>
        </w:tc>
        <w:tc>
          <w:tcPr/>
          <w:p>
            <w:pPr>
              <w:pStyle w:val="Compact"/>
              <w:jc w:val="left"/>
            </w:pPr>
            <w:r>
              <w:t xml:space="preserve">0.92 (0.90–0.94)</w:t>
            </w:r>
          </w:p>
        </w:tc>
        <w:tc>
          <w:tcPr/>
          <w:p>
            <w:pPr>
              <w:pStyle w:val="Compact"/>
              <w:jc w:val="left"/>
            </w:pPr>
            <w:r>
              <w:t xml:space="preserve">&lt;0.001</w:t>
            </w:r>
          </w:p>
        </w:tc>
      </w:tr>
      <w:tr>
        <w:tc>
          <w:tcPr/>
          <w:p>
            <w:pPr>
              <w:pStyle w:val="Compact"/>
              <w:jc w:val="left"/>
            </w:pPr>
            <w:r>
              <w:t xml:space="preserve">Chronic kidney disease stage: Stage 1-2</w:t>
            </w:r>
          </w:p>
        </w:tc>
        <w:tc>
          <w:tcPr/>
          <w:p>
            <w:pPr>
              <w:pStyle w:val="Compact"/>
              <w:jc w:val="left"/>
            </w:pPr>
            <w:r>
              <w:t xml:space="preserve">1.05 (1.00–1.09)</w:t>
            </w:r>
          </w:p>
        </w:tc>
        <w:tc>
          <w:tcPr/>
          <w:p>
            <w:pPr>
              <w:pStyle w:val="Compact"/>
              <w:jc w:val="left"/>
            </w:pPr>
            <w:r>
              <w:t xml:space="preserve">0.038</w:t>
            </w:r>
          </w:p>
        </w:tc>
      </w:tr>
      <w:tr>
        <w:tc>
          <w:tcPr/>
          <w:p>
            <w:pPr>
              <w:pStyle w:val="Compact"/>
              <w:jc w:val="left"/>
            </w:pPr>
            <w:r>
              <w:t xml:space="preserve">Chronic kidney disease stage: Stage 3</w:t>
            </w:r>
          </w:p>
        </w:tc>
        <w:tc>
          <w:tcPr/>
          <w:p>
            <w:pPr>
              <w:pStyle w:val="Compact"/>
              <w:jc w:val="left"/>
            </w:pPr>
            <w:r>
              <w:t xml:space="preserve">1.19 (1.17–1.21)</w:t>
            </w:r>
          </w:p>
        </w:tc>
        <w:tc>
          <w:tcPr/>
          <w:p>
            <w:pPr>
              <w:pStyle w:val="Compact"/>
              <w:jc w:val="left"/>
            </w:pPr>
            <w:r>
              <w:t xml:space="preserve">&lt;0.001</w:t>
            </w:r>
          </w:p>
        </w:tc>
      </w:tr>
      <w:tr>
        <w:tc>
          <w:tcPr/>
          <w:p>
            <w:pPr>
              <w:pStyle w:val="Compact"/>
              <w:jc w:val="left"/>
            </w:pPr>
            <w:r>
              <w:t xml:space="preserve">Chronic kidney disease stage: Stage 4-5, not on dialysis</w:t>
            </w:r>
          </w:p>
        </w:tc>
        <w:tc>
          <w:tcPr/>
          <w:p>
            <w:pPr>
              <w:pStyle w:val="Compact"/>
              <w:jc w:val="left"/>
            </w:pPr>
            <w:r>
              <w:t xml:space="preserve">1.42 (1.39–1.46)</w:t>
            </w:r>
          </w:p>
        </w:tc>
        <w:tc>
          <w:tcPr/>
          <w:p>
            <w:pPr>
              <w:pStyle w:val="Compact"/>
              <w:jc w:val="left"/>
            </w:pPr>
            <w:r>
              <w:t xml:space="preserve">&lt;0.001</w:t>
            </w:r>
          </w:p>
        </w:tc>
      </w:tr>
      <w:tr>
        <w:tc>
          <w:tcPr/>
          <w:p>
            <w:pPr>
              <w:pStyle w:val="Compact"/>
              <w:jc w:val="left"/>
            </w:pPr>
            <w:r>
              <w:t xml:space="preserve">Chronic kidney disease stage: Unspecified stage</w:t>
            </w:r>
          </w:p>
        </w:tc>
        <w:tc>
          <w:tcPr/>
          <w:p>
            <w:pPr>
              <w:pStyle w:val="Compact"/>
              <w:jc w:val="left"/>
            </w:pPr>
            <w:r>
              <w:t xml:space="preserve">1.15 (1.12–1.18)</w:t>
            </w:r>
          </w:p>
        </w:tc>
        <w:tc>
          <w:tcPr/>
          <w:p>
            <w:pPr>
              <w:pStyle w:val="Compact"/>
              <w:jc w:val="left"/>
            </w:pPr>
            <w:r>
              <w:t xml:space="preserve">&lt;0.001</w:t>
            </w:r>
          </w:p>
        </w:tc>
      </w:tr>
      <w:tr>
        <w:tc>
          <w:tcPr/>
          <w:p>
            <w:pPr>
              <w:pStyle w:val="Compact"/>
              <w:jc w:val="left"/>
            </w:pPr>
            <w:r>
              <w:t xml:space="preserve">Chronic kidney disease stage: Dialysis-dependent / ESKD</w:t>
            </w:r>
          </w:p>
        </w:tc>
        <w:tc>
          <w:tcPr/>
          <w:p>
            <w:pPr>
              <w:pStyle w:val="Compact"/>
              <w:jc w:val="left"/>
            </w:pPr>
            <w:r>
              <w:t xml:space="preserve">1.77 (1.73–1.81)</w:t>
            </w:r>
          </w:p>
        </w:tc>
        <w:tc>
          <w:tcPr/>
          <w:p>
            <w:pPr>
              <w:pStyle w:val="Compact"/>
              <w:jc w:val="left"/>
            </w:pPr>
            <w:r>
              <w:t xml:space="preserve">&lt;0.001</w:t>
            </w:r>
          </w:p>
        </w:tc>
      </w:tr>
      <w:tr>
        <w:tc>
          <w:tcPr/>
          <w:p>
            <w:pPr>
              <w:pStyle w:val="Compact"/>
              <w:jc w:val="left"/>
            </w:pPr>
            <w:r>
              <w:t xml:space="preserve">Known coronary artery disease (I25.1x/I25.7x)</w:t>
            </w:r>
          </w:p>
        </w:tc>
        <w:tc>
          <w:tcPr/>
          <w:p>
            <w:pPr>
              <w:pStyle w:val="Compact"/>
              <w:jc w:val="left"/>
            </w:pPr>
            <w:r>
              <w:t xml:space="preserve">1.08 (1.06–1.09)</w:t>
            </w:r>
          </w:p>
        </w:tc>
        <w:tc>
          <w:tcPr/>
          <w:p>
            <w:pPr>
              <w:pStyle w:val="Compact"/>
              <w:jc w:val="left"/>
            </w:pPr>
            <w:r>
              <w:t xml:space="preserve">&lt;0.001</w:t>
            </w:r>
          </w:p>
        </w:tc>
      </w:tr>
      <w:tr>
        <w:tc>
          <w:tcPr/>
          <w:p>
            <w:pPr>
              <w:pStyle w:val="Compact"/>
              <w:jc w:val="left"/>
            </w:pPr>
            <w:r>
              <w:t xml:space="preserve">Prior revascularization (Z95.1/Z95.5)</w:t>
            </w:r>
          </w:p>
        </w:tc>
        <w:tc>
          <w:tcPr/>
          <w:p>
            <w:pPr>
              <w:pStyle w:val="Compact"/>
              <w:jc w:val="left"/>
            </w:pPr>
            <w:r>
              <w:t xml:space="preserve">1.01 (0.99–1.03)</w:t>
            </w:r>
          </w:p>
        </w:tc>
        <w:tc>
          <w:tcPr/>
          <w:p>
            <w:pPr>
              <w:pStyle w:val="Compact"/>
              <w:jc w:val="left"/>
            </w:pPr>
            <w:r>
              <w:t xml:space="preserve">0.215</w:t>
            </w:r>
          </w:p>
        </w:tc>
      </w:tr>
      <w:tr>
        <w:tc>
          <w:tcPr/>
          <w:p>
            <w:pPr>
              <w:pStyle w:val="Compact"/>
              <w:jc w:val="left"/>
            </w:pPr>
            <w:r>
              <w:t xml:space="preserve">Coronary angiography or cardiac catheterization at index</w:t>
            </w:r>
          </w:p>
        </w:tc>
        <w:tc>
          <w:tcPr/>
          <w:p>
            <w:pPr>
              <w:pStyle w:val="Compact"/>
              <w:jc w:val="left"/>
            </w:pPr>
            <w:r>
              <w:t xml:space="preserve">0.81 (0.79–0.83)</w:t>
            </w:r>
          </w:p>
        </w:tc>
        <w:tc>
          <w:tcPr/>
          <w:p>
            <w:pPr>
              <w:pStyle w:val="Compact"/>
              <w:jc w:val="left"/>
            </w:pPr>
            <w:r>
              <w:t xml:space="preserve">&lt;0.001</w:t>
            </w:r>
          </w:p>
        </w:tc>
      </w:tr>
    </w:tbl>
    <w:bookmarkEnd w:id="80"/>
    <w:bookmarkStart w:id="81" w:name="sec-suppression"/>
    <w:p>
      <w:pPr>
        <w:pStyle w:val="Heading1"/>
      </w:pPr>
      <w:r>
        <w:t xml:space="preserve">16. Verification</w:t>
      </w:r>
    </w:p>
    <w:p>
      <w:pPr>
        <w:pStyle w:val="TableCaption"/>
      </w:pPr>
      <w:r>
        <w:t xml:space="preserve">Table V1. HCUP small-cell scan of every rendered table.</w:t>
      </w:r>
    </w:p>
    <w:tbl>
      <w:tblPr>
        <w:tblStyle w:val="Table"/>
        <w:tblW w:type="pct" w:w="5000"/>
        <w:tblLayout w:type="fixed"/>
        <w:tblLook w:firstRow="1" w:lastRow="0" w:firstColumn="0" w:lastColumn="0" w:noHBand="0" w:noVBand="0" w:val="0020"/>
        <w:tblCaption w:val="Table V1. HCUP small-cell scan of every rendered table."/>
      </w:tblPr>
      <w:tblGrid>
        <w:gridCol w:w="3251"/>
        <w:gridCol w:w="1667"/>
        <w:gridCol w:w="3001"/>
      </w:tblGrid>
      <w:tr>
        <w:trPr>
          <w:tblHeader w:val="on"/>
        </w:trPr>
        <w:tc>
          <w:tcPr/>
          <w:p>
            <w:pPr>
              <w:pStyle w:val="Compact"/>
              <w:jc w:val="left"/>
            </w:pPr>
            <w:r>
              <w:t xml:space="preserve">Table</w:t>
            </w:r>
          </w:p>
        </w:tc>
        <w:tc>
          <w:tcPr/>
          <w:p>
            <w:pPr>
              <w:pStyle w:val="Compact"/>
              <w:jc w:val="left"/>
            </w:pPr>
            <w:r>
              <w:t xml:space="preserve">Count cells scanned</w:t>
            </w:r>
          </w:p>
        </w:tc>
        <w:tc>
          <w:tcPr/>
          <w:p>
            <w:pPr>
              <w:pStyle w:val="Compact"/>
              <w:jc w:val="left"/>
            </w:pPr>
            <w:r>
              <w:t xml:space="preserve">Cells of 1-10 unweighted discharges</w:t>
            </w:r>
          </w:p>
        </w:tc>
      </w:tr>
      <w:tr>
        <w:tc>
          <w:tcPr/>
          <w:p>
            <w:pPr>
              <w:pStyle w:val="Compact"/>
              <w:jc w:val="left"/>
            </w:pPr>
            <w:r>
              <w:t xml:space="preserve">Table S0 (attrition)</w:t>
            </w:r>
          </w:p>
        </w:tc>
        <w:tc>
          <w:tcPr/>
          <w:p>
            <w:pPr>
              <w:pStyle w:val="Compact"/>
              <w:jc w:val="left"/>
            </w:pPr>
            <w:r>
              <w:t xml:space="preserve">19</w:t>
            </w:r>
          </w:p>
        </w:tc>
        <w:tc>
          <w:tcPr/>
          <w:p>
            <w:pPr>
              <w:pStyle w:val="Compact"/>
              <w:jc w:val="left"/>
            </w:pPr>
            <w:r>
              <w:t xml:space="preserve">0</w:t>
            </w:r>
          </w:p>
        </w:tc>
      </w:tr>
      <w:tr>
        <w:tc>
          <w:tcPr/>
          <w:p>
            <w:pPr>
              <w:pStyle w:val="Compact"/>
              <w:jc w:val="left"/>
            </w:pPr>
            <w:r>
              <w:t xml:space="preserve">Table S0b (flow notes)</w:t>
            </w:r>
          </w:p>
        </w:tc>
        <w:tc>
          <w:tcPr/>
          <w:p>
            <w:pPr>
              <w:pStyle w:val="Compact"/>
              <w:jc w:val="left"/>
            </w:pPr>
            <w:r>
              <w:t xml:space="preserve">10</w:t>
            </w:r>
          </w:p>
        </w:tc>
        <w:tc>
          <w:tcPr/>
          <w:p>
            <w:pPr>
              <w:pStyle w:val="Compact"/>
              <w:jc w:val="left"/>
            </w:pPr>
            <w:r>
              <w:t xml:space="preserve">0</w:t>
            </w:r>
          </w:p>
        </w:tc>
      </w:tr>
      <w:tr>
        <w:tc>
          <w:tcPr/>
          <w:p>
            <w:pPr>
              <w:pStyle w:val="Compact"/>
              <w:jc w:val="left"/>
            </w:pPr>
            <w:r>
              <w:t xml:space="preserve">Table S7 (missingness)</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Table S1 (design)</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Table 1 (baseline)</w:t>
            </w:r>
          </w:p>
        </w:tc>
        <w:tc>
          <w:tcPr/>
          <w:p>
            <w:pPr>
              <w:pStyle w:val="Compact"/>
              <w:jc w:val="left"/>
            </w:pPr>
            <w:r>
              <w:t xml:space="preserve">999</w:t>
            </w:r>
          </w:p>
        </w:tc>
        <w:tc>
          <w:tcPr/>
          <w:p>
            <w:pPr>
              <w:pStyle w:val="Compact"/>
              <w:jc w:val="left"/>
            </w:pPr>
            <w:r>
              <w:t xml:space="preserve">0</w:t>
            </w:r>
          </w:p>
        </w:tc>
      </w:tr>
      <w:tr>
        <w:tc>
          <w:tcPr/>
          <w:p>
            <w:pPr>
              <w:pStyle w:val="Compact"/>
              <w:jc w:val="left"/>
            </w:pPr>
            <w:r>
              <w:t xml:space="preserve">Table S1b (co-occurrence)</w:t>
            </w:r>
          </w:p>
        </w:tc>
        <w:tc>
          <w:tcPr/>
          <w:p>
            <w:pPr>
              <w:pStyle w:val="Compact"/>
              <w:jc w:val="left"/>
            </w:pPr>
            <w:r>
              <w:t xml:space="preserve">7</w:t>
            </w:r>
          </w:p>
        </w:tc>
        <w:tc>
          <w:tcPr/>
          <w:p>
            <w:pPr>
              <w:pStyle w:val="Compact"/>
              <w:jc w:val="left"/>
            </w:pPr>
            <w:r>
              <w:t xml:space="preserve">0</w:t>
            </w:r>
          </w:p>
        </w:tc>
      </w:tr>
      <w:tr>
        <w:tc>
          <w:tcPr/>
          <w:p>
            <w:pPr>
              <w:pStyle w:val="Compact"/>
              <w:jc w:val="left"/>
            </w:pPr>
            <w:r>
              <w:t xml:space="preserve">Table 2 (unadjusted outcomes)</w:t>
            </w:r>
          </w:p>
        </w:tc>
        <w:tc>
          <w:tcPr/>
          <w:p>
            <w:pPr>
              <w:pStyle w:val="Compact"/>
              <w:jc w:val="left"/>
            </w:pPr>
            <w:r>
              <w:t xml:space="preserve">27</w:t>
            </w:r>
          </w:p>
        </w:tc>
        <w:tc>
          <w:tcPr/>
          <w:p>
            <w:pPr>
              <w:pStyle w:val="Compact"/>
              <w:jc w:val="left"/>
            </w:pPr>
            <w:r>
              <w:t xml:space="preserve">0</w:t>
            </w:r>
          </w:p>
        </w:tc>
      </w:tr>
      <w:tr>
        <w:tc>
          <w:tcPr/>
          <w:p>
            <w:pPr>
              <w:pStyle w:val="Compact"/>
              <w:jc w:val="left"/>
            </w:pPr>
            <w:r>
              <w:t xml:space="preserve">Table 2b (index mortality)</w:t>
            </w:r>
          </w:p>
        </w:tc>
        <w:tc>
          <w:tcPr/>
          <w:p>
            <w:pPr>
              <w:pStyle w:val="Compact"/>
              <w:jc w:val="left"/>
            </w:pPr>
            <w:r>
              <w:t xml:space="preserve">18</w:t>
            </w:r>
          </w:p>
        </w:tc>
        <w:tc>
          <w:tcPr/>
          <w:p>
            <w:pPr>
              <w:pStyle w:val="Compact"/>
              <w:jc w:val="left"/>
            </w:pPr>
            <w:r>
              <w:t xml:space="preserve">0</w:t>
            </w:r>
          </w:p>
        </w:tc>
      </w:tr>
      <w:tr>
        <w:tc>
          <w:tcPr/>
          <w:p>
            <w:pPr>
              <w:pStyle w:val="Compact"/>
              <w:jc w:val="left"/>
            </w:pPr>
            <w:r>
              <w:t xml:space="preserve">Table 2c (process measures)</w:t>
            </w:r>
          </w:p>
        </w:tc>
        <w:tc>
          <w:tcPr/>
          <w:p>
            <w:pPr>
              <w:pStyle w:val="Compact"/>
              <w:jc w:val="left"/>
            </w:pPr>
            <w:r>
              <w:t xml:space="preserve">25</w:t>
            </w:r>
          </w:p>
        </w:tc>
        <w:tc>
          <w:tcPr/>
          <w:p>
            <w:pPr>
              <w:pStyle w:val="Compact"/>
              <w:jc w:val="left"/>
            </w:pPr>
            <w:r>
              <w:t xml:space="preserve">0</w:t>
            </w:r>
          </w:p>
        </w:tc>
      </w:tr>
      <w:tr>
        <w:tc>
          <w:tcPr/>
          <w:p>
            <w:pPr>
              <w:pStyle w:val="Compact"/>
              <w:jc w:val="left"/>
            </w:pPr>
            <w:r>
              <w:t xml:space="preserve">Table 2d (readmission characteristics)</w:t>
            </w:r>
          </w:p>
        </w:tc>
        <w:tc>
          <w:tcPr/>
          <w:p>
            <w:pPr>
              <w:pStyle w:val="Compact"/>
              <w:jc w:val="left"/>
            </w:pPr>
            <w:r>
              <w:t xml:space="preserve">27</w:t>
            </w:r>
          </w:p>
        </w:tc>
        <w:tc>
          <w:tcPr/>
          <w:p>
            <w:pPr>
              <w:pStyle w:val="Compact"/>
              <w:jc w:val="left"/>
            </w:pPr>
            <w:r>
              <w:t xml:space="preserve">0</w:t>
            </w:r>
          </w:p>
        </w:tc>
      </w:tr>
      <w:tr>
        <w:tc>
          <w:tcPr/>
          <w:p>
            <w:pPr>
              <w:pStyle w:val="Compact"/>
              <w:jc w:val="left"/>
            </w:pPr>
            <w:r>
              <w:t xml:space="preserve">Table 3 (primary model)</w:t>
            </w:r>
          </w:p>
        </w:tc>
        <w:tc>
          <w:tcPr/>
          <w:p>
            <w:pPr>
              <w:pStyle w:val="Compact"/>
              <w:jc w:val="left"/>
            </w:pPr>
            <w:r>
              <w:t xml:space="preserve">7</w:t>
            </w:r>
          </w:p>
        </w:tc>
        <w:tc>
          <w:tcPr/>
          <w:p>
            <w:pPr>
              <w:pStyle w:val="Compact"/>
              <w:jc w:val="left"/>
            </w:pPr>
            <w:r>
              <w:t xml:space="preserve">0</w:t>
            </w:r>
          </w:p>
        </w:tc>
      </w:tr>
      <w:tr>
        <w:tc>
          <w:tcPr/>
          <w:p>
            <w:pPr>
              <w:pStyle w:val="Compact"/>
              <w:jc w:val="left"/>
            </w:pPr>
            <w:r>
              <w:t xml:space="preserve">Table 3b (adjusted risks)</w:t>
            </w:r>
          </w:p>
        </w:tc>
        <w:tc>
          <w:tcPr/>
          <w:p>
            <w:pPr>
              <w:pStyle w:val="Compact"/>
              <w:jc w:val="left"/>
            </w:pPr>
            <w:r>
              <w:t xml:space="preserve">16</w:t>
            </w:r>
          </w:p>
        </w:tc>
        <w:tc>
          <w:tcPr/>
          <w:p>
            <w:pPr>
              <w:pStyle w:val="Compact"/>
              <w:jc w:val="left"/>
            </w:pPr>
            <w:r>
              <w:t xml:space="preserve">0</w:t>
            </w:r>
          </w:p>
        </w:tc>
      </w:tr>
      <w:tr>
        <w:tc>
          <w:tcPr/>
          <w:p>
            <w:pPr>
              <w:pStyle w:val="Compact"/>
              <w:jc w:val="left"/>
            </w:pPr>
            <w:r>
              <w:t xml:space="preserve">Table 3c (overlap weighting)</w:t>
            </w:r>
          </w:p>
        </w:tc>
        <w:tc>
          <w:tcPr/>
          <w:p>
            <w:pPr>
              <w:pStyle w:val="Compact"/>
              <w:jc w:val="left"/>
            </w:pPr>
            <w:r>
              <w:t xml:space="preserve">7</w:t>
            </w:r>
          </w:p>
        </w:tc>
        <w:tc>
          <w:tcPr/>
          <w:p>
            <w:pPr>
              <w:pStyle w:val="Compact"/>
              <w:jc w:val="left"/>
            </w:pPr>
            <w:r>
              <w:t xml:space="preserve">0</w:t>
            </w:r>
          </w:p>
        </w:tc>
      </w:tr>
      <w:tr>
        <w:tc>
          <w:tcPr/>
          <w:p>
            <w:pPr>
              <w:pStyle w:val="Compact"/>
              <w:jc w:val="left"/>
            </w:pPr>
            <w:r>
              <w:t xml:space="preserve">Table 3d (effective sample size)</w:t>
            </w:r>
          </w:p>
        </w:tc>
        <w:tc>
          <w:tcPr/>
          <w:p>
            <w:pPr>
              <w:pStyle w:val="Compact"/>
              <w:jc w:val="left"/>
            </w:pPr>
            <w:r>
              <w:t xml:space="preserve">7</w:t>
            </w:r>
          </w:p>
        </w:tc>
        <w:tc>
          <w:tcPr/>
          <w:p>
            <w:pPr>
              <w:pStyle w:val="Compact"/>
              <w:jc w:val="left"/>
            </w:pPr>
            <w:r>
              <w:t xml:space="preserve">0</w:t>
            </w:r>
          </w:p>
        </w:tc>
      </w:tr>
      <w:tr>
        <w:tc>
          <w:tcPr/>
          <w:p>
            <w:pPr>
              <w:pStyle w:val="Compact"/>
              <w:jc w:val="left"/>
            </w:pPr>
            <w:r>
              <w:t xml:space="preserve">Table 4 (sequential models)</w:t>
            </w:r>
          </w:p>
        </w:tc>
        <w:tc>
          <w:tcPr/>
          <w:p>
            <w:pPr>
              <w:pStyle w:val="Compact"/>
              <w:jc w:val="left"/>
            </w:pPr>
            <w:r>
              <w:t xml:space="preserve">5</w:t>
            </w:r>
          </w:p>
        </w:tc>
        <w:tc>
          <w:tcPr/>
          <w:p>
            <w:pPr>
              <w:pStyle w:val="Compact"/>
              <w:jc w:val="left"/>
            </w:pPr>
            <w:r>
              <w:t xml:space="preserve">0</w:t>
            </w:r>
          </w:p>
        </w:tc>
      </w:tr>
      <w:tr>
        <w:tc>
          <w:tcPr/>
          <w:p>
            <w:pPr>
              <w:pStyle w:val="Compact"/>
              <w:jc w:val="left"/>
            </w:pPr>
            <w:r>
              <w:t xml:space="preserve">Table 4b (secondary outcomes)</w:t>
            </w:r>
          </w:p>
        </w:tc>
        <w:tc>
          <w:tcPr/>
          <w:p>
            <w:pPr>
              <w:pStyle w:val="Compact"/>
              <w:jc w:val="left"/>
            </w:pPr>
            <w:r>
              <w:t xml:space="preserve">12</w:t>
            </w:r>
          </w:p>
        </w:tc>
        <w:tc>
          <w:tcPr/>
          <w:p>
            <w:pPr>
              <w:pStyle w:val="Compact"/>
              <w:jc w:val="left"/>
            </w:pPr>
            <w:r>
              <w:t xml:space="preserve">0</w:t>
            </w:r>
          </w:p>
        </w:tc>
      </w:tr>
      <w:tr>
        <w:tc>
          <w:tcPr/>
          <w:p>
            <w:pPr>
              <w:pStyle w:val="Compact"/>
              <w:jc w:val="left"/>
            </w:pPr>
            <w:r>
              <w:t xml:space="preserve">Table S5 (E-values)</w:t>
            </w:r>
          </w:p>
        </w:tc>
        <w:tc>
          <w:tcPr/>
          <w:p>
            <w:pPr>
              <w:pStyle w:val="Compact"/>
              <w:jc w:val="left"/>
            </w:pPr>
            <w:r>
              <w:t xml:space="preserve">7</w:t>
            </w:r>
          </w:p>
        </w:tc>
        <w:tc>
          <w:tcPr/>
          <w:p>
            <w:pPr>
              <w:pStyle w:val="Compact"/>
              <w:jc w:val="left"/>
            </w:pPr>
            <w:r>
              <w:t xml:space="preserve">0</w:t>
            </w:r>
          </w:p>
        </w:tc>
      </w:tr>
      <w:tr>
        <w:tc>
          <w:tcPr/>
          <w:p>
            <w:pPr>
              <w:pStyle w:val="Compact"/>
              <w:jc w:val="left"/>
            </w:pPr>
            <w:r>
              <w:t xml:space="preserve">Table S5b (g-computation cross-check)</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Table 5 (concordance)</w:t>
            </w:r>
          </w:p>
        </w:tc>
        <w:tc>
          <w:tcPr/>
          <w:p>
            <w:pPr>
              <w:pStyle w:val="Compact"/>
              <w:jc w:val="left"/>
            </w:pPr>
            <w:r>
              <w:t xml:space="preserve">23</w:t>
            </w:r>
          </w:p>
        </w:tc>
        <w:tc>
          <w:tcPr/>
          <w:p>
            <w:pPr>
              <w:pStyle w:val="Compact"/>
              <w:jc w:val="left"/>
            </w:pPr>
            <w:r>
              <w:t xml:space="preserve">0</w:t>
            </w:r>
          </w:p>
        </w:tc>
      </w:tr>
      <w:tr>
        <w:tc>
          <w:tcPr/>
          <w:p>
            <w:pPr>
              <w:pStyle w:val="Compact"/>
              <w:jc w:val="left"/>
            </w:pPr>
            <w:r>
              <w:t xml:space="preserve">Table 6 (cause of readmission)</w:t>
            </w:r>
          </w:p>
        </w:tc>
        <w:tc>
          <w:tcPr/>
          <w:p>
            <w:pPr>
              <w:pStyle w:val="Compact"/>
              <w:jc w:val="left"/>
            </w:pPr>
            <w:r>
              <w:t xml:space="preserve">144</w:t>
            </w:r>
          </w:p>
        </w:tc>
        <w:tc>
          <w:tcPr/>
          <w:p>
            <w:pPr>
              <w:pStyle w:val="Compact"/>
              <w:jc w:val="left"/>
            </w:pPr>
            <w:r>
              <w:t xml:space="preserve">0</w:t>
            </w:r>
          </w:p>
        </w:tc>
      </w:tr>
      <w:tr>
        <w:tc>
          <w:tcPr/>
          <w:p>
            <w:pPr>
              <w:pStyle w:val="Compact"/>
              <w:jc w:val="left"/>
            </w:pPr>
            <w:r>
              <w:t xml:space="preserve">Table 7 (MI type)</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Table 7b (MI type, standardized)</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Table 8 (subgroups)</w:t>
            </w:r>
          </w:p>
        </w:tc>
        <w:tc>
          <w:tcPr/>
          <w:p>
            <w:pPr>
              <w:pStyle w:val="Compact"/>
              <w:jc w:val="left"/>
            </w:pPr>
            <w:r>
              <w:t xml:space="preserve">21</w:t>
            </w:r>
          </w:p>
        </w:tc>
        <w:tc>
          <w:tcPr/>
          <w:p>
            <w:pPr>
              <w:pStyle w:val="Compact"/>
              <w:jc w:val="left"/>
            </w:pPr>
            <w:r>
              <w:t xml:space="preserve">0</w:t>
            </w:r>
          </w:p>
        </w:tc>
      </w:tr>
      <w:tr>
        <w:tc>
          <w:tcPr/>
          <w:p>
            <w:pPr>
              <w:pStyle w:val="Compact"/>
              <w:jc w:val="left"/>
            </w:pPr>
            <w:r>
              <w:t xml:space="preserve">Table S3 (trends)</w:t>
            </w:r>
          </w:p>
        </w:tc>
        <w:tc>
          <w:tcPr/>
          <w:p>
            <w:pPr>
              <w:pStyle w:val="Compact"/>
              <w:jc w:val="left"/>
            </w:pPr>
            <w:r>
              <w:t xml:space="preserve">5</w:t>
            </w:r>
          </w:p>
        </w:tc>
        <w:tc>
          <w:tcPr/>
          <w:p>
            <w:pPr>
              <w:pStyle w:val="Compact"/>
              <w:jc w:val="left"/>
            </w:pPr>
            <w:r>
              <w:t xml:space="preserve">0</w:t>
            </w:r>
          </w:p>
        </w:tc>
      </w:tr>
      <w:tr>
        <w:tc>
          <w:tcPr/>
          <w:p>
            <w:pPr>
              <w:pStyle w:val="Compact"/>
              <w:jc w:val="left"/>
            </w:pPr>
            <w:r>
              <w:t xml:space="preserve">Table S3b (trends by class)</w:t>
            </w:r>
          </w:p>
        </w:tc>
        <w:tc>
          <w:tcPr/>
          <w:p>
            <w:pPr>
              <w:pStyle w:val="Compact"/>
              <w:jc w:val="left"/>
            </w:pPr>
            <w:r>
              <w:t xml:space="preserve">40</w:t>
            </w:r>
          </w:p>
        </w:tc>
        <w:tc>
          <w:tcPr/>
          <w:p>
            <w:pPr>
              <w:pStyle w:val="Compact"/>
              <w:jc w:val="left"/>
            </w:pPr>
            <w:r>
              <w:t xml:space="preserve">0</w:t>
            </w:r>
          </w:p>
        </w:tc>
      </w:tr>
      <w:tr>
        <w:tc>
          <w:tcPr/>
          <w:p>
            <w:pPr>
              <w:pStyle w:val="Compact"/>
              <w:jc w:val="left"/>
            </w:pPr>
            <w:r>
              <w:t xml:space="preserve">Table S3c (class prevalence trend)</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Table 9 (sensitivity)</w:t>
            </w:r>
          </w:p>
        </w:tc>
        <w:tc>
          <w:tcPr/>
          <w:p>
            <w:pPr>
              <w:pStyle w:val="Compact"/>
              <w:jc w:val="left"/>
            </w:pPr>
            <w:r>
              <w:t xml:space="preserve">9</w:t>
            </w:r>
          </w:p>
        </w:tc>
        <w:tc>
          <w:tcPr/>
          <w:p>
            <w:pPr>
              <w:pStyle w:val="Compact"/>
              <w:jc w:val="left"/>
            </w:pPr>
            <w:r>
              <w:t xml:space="preserve">0</w:t>
            </w:r>
          </w:p>
        </w:tc>
      </w:tr>
      <w:tr>
        <w:tc>
          <w:tcPr/>
          <w:p>
            <w:pPr>
              <w:pStyle w:val="Compact"/>
              <w:jc w:val="left"/>
            </w:pPr>
            <w:r>
              <w:t xml:space="preserve">Table 9b (sensitivity, all contrasts)</w:t>
            </w:r>
          </w:p>
        </w:tc>
        <w:tc>
          <w:tcPr/>
          <w:p>
            <w:pPr>
              <w:pStyle w:val="Compact"/>
              <w:jc w:val="left"/>
            </w:pPr>
            <w:r>
              <w:t xml:space="preserve">35</w:t>
            </w:r>
          </w:p>
        </w:tc>
        <w:tc>
          <w:tcPr/>
          <w:p>
            <w:pPr>
              <w:pStyle w:val="Compact"/>
              <w:jc w:val="left"/>
            </w:pPr>
            <w:r>
              <w:t xml:space="preserve">0</w:t>
            </w:r>
          </w:p>
        </w:tc>
      </w:tr>
      <w:tr>
        <w:tc>
          <w:tcPr/>
          <w:p>
            <w:pPr>
              <w:pStyle w:val="Compact"/>
              <w:jc w:val="left"/>
            </w:pPr>
            <w:r>
              <w:t xml:space="preserve">Table 9c (negative control)</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Table S6 (balance)</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Table S4 (diagnostics)</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Table S4b (VIF)</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Table S2 (coefficients)</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Table 6b (numbers at risk)</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Table S1a (HCUP workbook benchmark)</w:t>
            </w:r>
          </w:p>
        </w:tc>
        <w:tc>
          <w:tcPr/>
          <w:p>
            <w:pPr>
              <w:pStyle w:val="Compact"/>
              <w:jc w:val="left"/>
            </w:pPr>
            <w:r>
              <w:t xml:space="preserve">10</w:t>
            </w:r>
          </w:p>
        </w:tc>
        <w:tc>
          <w:tcPr/>
          <w:p>
            <w:pPr>
              <w:pStyle w:val="Compact"/>
              <w:jc w:val="left"/>
            </w:pPr>
            <w:r>
              <w:t xml:space="preserve">0</w:t>
            </w:r>
          </w:p>
        </w:tc>
      </w:tr>
      <w:tr>
        <w:tc>
          <w:tcPr/>
          <w:p>
            <w:pPr>
              <w:pStyle w:val="Compact"/>
              <w:jc w:val="left"/>
            </w:pPr>
            <w:r>
              <w:t xml:space="preserve">Table S9 (code lists)</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Synthetic parameter recovery</w:t>
            </w:r>
          </w:p>
        </w:tc>
        <w:tc>
          <w:tcPr/>
          <w:p>
            <w:pPr>
              <w:pStyle w:val="Compact"/>
              <w:jc w:val="left"/>
            </w:pPr>
            <w:r>
              <w:t xml:space="preserve">0</w:t>
            </w:r>
          </w:p>
        </w:tc>
        <w:tc>
          <w:tcPr/>
          <w:p>
            <w:pPr>
              <w:pStyle w:val="Compact"/>
              <w:jc w:val="left"/>
            </w:pPr>
            <w:r>
              <w:t xml:space="preserve">0</w:t>
            </w:r>
          </w:p>
        </w:tc>
      </w:tr>
    </w:tbl>
    <w:p>
      <w:pPr>
        <w:pStyle w:val="BodyText"/>
      </w:pPr>
      <w:r>
        <w:rPr>
          <w:b/>
          <w:bCs/>
        </w:rPr>
        <w:t xml:space="preserve">0 violation(s)</w:t>
      </w:r>
      <w:r>
        <w:t xml:space="preserve"> </w:t>
      </w:r>
      <w:r>
        <w:t xml:space="preserve">across 37 tables; nothing representing 1-10 unweighted discharges is printed.</w:t>
      </w:r>
    </w:p>
    <w:p>
      <w:pPr>
        <w:pStyle w:val="TableCaption"/>
      </w:pPr>
      <w:r>
        <w:t xml:space="preserve">Table V2. The scanner tested in both directions.</w:t>
      </w:r>
    </w:p>
    <w:tbl>
      <w:tblPr>
        <w:tblStyle w:val="Table"/>
        <w:tblW w:type="pct" w:w="5000"/>
        <w:tblLayout w:type="fixed"/>
        <w:tblLook w:firstRow="1" w:lastRow="0" w:firstColumn="0" w:lastColumn="0" w:noHBand="0" w:noVBand="0" w:val="0020"/>
        <w:tblCaption w:val="Table V2. The scanner tested in both directions."/>
      </w:tblPr>
      <w:tblGrid>
        <w:gridCol w:w="4974"/>
        <w:gridCol w:w="1178"/>
        <w:gridCol w:w="1309"/>
        <w:gridCol w:w="458"/>
      </w:tblGrid>
      <w:tr>
        <w:trPr>
          <w:tblHeader w:val="on"/>
        </w:trPr>
        <w:tc>
          <w:tcPr/>
          <w:p>
            <w:pPr>
              <w:pStyle w:val="Compact"/>
              <w:jc w:val="left"/>
            </w:pPr>
            <w:r>
              <w:t xml:space="preserve">Test</w:t>
            </w:r>
          </w:p>
        </w:tc>
        <w:tc>
          <w:tcPr/>
          <w:p>
            <w:pPr>
              <w:pStyle w:val="Compact"/>
              <w:jc w:val="left"/>
            </w:pPr>
            <w:r>
              <w:t xml:space="preserve">Direction</w:t>
            </w:r>
          </w:p>
        </w:tc>
        <w:tc>
          <w:tcPr/>
          <w:p>
            <w:pPr>
              <w:pStyle w:val="Compact"/>
              <w:jc w:val="left"/>
            </w:pPr>
            <w:r>
              <w:t xml:space="preserve">Small cells flagged</w:t>
            </w:r>
          </w:p>
        </w:tc>
        <w:tc>
          <w:tcPr/>
          <w:p>
            <w:pPr>
              <w:pStyle w:val="Compact"/>
              <w:jc w:val="left"/>
            </w:pPr>
            <w:r>
              <w:t xml:space="preserve">Result</w:t>
            </w:r>
          </w:p>
        </w:tc>
      </w:tr>
      <w:tr>
        <w:tc>
          <w:tcPr/>
          <w:p>
            <w:pPr>
              <w:pStyle w:val="Compact"/>
              <w:jc w:val="left"/>
            </w:pPr>
            <w:r>
              <w:t xml:space="preserve">Injected parenthesised count of 7 in a Table 1 cell is caught</w:t>
            </w:r>
          </w:p>
        </w:tc>
        <w:tc>
          <w:tcPr/>
          <w:p>
            <w:pPr>
              <w:pStyle w:val="Compact"/>
              <w:jc w:val="left"/>
            </w:pPr>
            <w:r>
              <w:t xml:space="preserve">Must FAIL (catch)</w:t>
            </w:r>
          </w:p>
        </w:tc>
        <w:tc>
          <w:tcPr/>
          <w:p>
            <w:pPr>
              <w:pStyle w:val="Compact"/>
              <w:jc w:val="left"/>
            </w:pPr>
            <w:r>
              <w:t xml:space="preserve">1</w:t>
            </w:r>
          </w:p>
        </w:tc>
        <w:tc>
          <w:tcPr/>
          <w:p>
            <w:pPr>
              <w:pStyle w:val="Compact"/>
              <w:jc w:val="left"/>
            </w:pPr>
            <w:r>
              <w:t xml:space="preserve">Pass</w:t>
            </w:r>
          </w:p>
        </w:tc>
      </w:tr>
      <w:tr>
        <w:tc>
          <w:tcPr/>
          <w:p>
            <w:pPr>
              <w:pStyle w:val="Compact"/>
              <w:jc w:val="left"/>
            </w:pPr>
            <w:r>
              <w:t xml:space="preserve">Injected bare count of 8 in a subgroup n column is caught</w:t>
            </w:r>
          </w:p>
        </w:tc>
        <w:tc>
          <w:tcPr/>
          <w:p>
            <w:pPr>
              <w:pStyle w:val="Compact"/>
              <w:jc w:val="left"/>
            </w:pPr>
            <w:r>
              <w:t xml:space="preserve">Must FAIL (catch)</w:t>
            </w:r>
          </w:p>
        </w:tc>
        <w:tc>
          <w:tcPr/>
          <w:p>
            <w:pPr>
              <w:pStyle w:val="Compact"/>
              <w:jc w:val="left"/>
            </w:pPr>
            <w:r>
              <w:t xml:space="preserve">1</w:t>
            </w:r>
          </w:p>
        </w:tc>
        <w:tc>
          <w:tcPr/>
          <w:p>
            <w:pPr>
              <w:pStyle w:val="Compact"/>
              <w:jc w:val="left"/>
            </w:pPr>
            <w:r>
              <w:t xml:space="preserve">Pass</w:t>
            </w:r>
          </w:p>
        </w:tc>
      </w:tr>
      <w:tr>
        <w:tc>
          <w:tcPr/>
          <w:p>
            <w:pPr>
              <w:pStyle w:val="Compact"/>
              <w:jc w:val="left"/>
            </w:pPr>
            <w:r>
              <w:t xml:space="preserve">Injected smallest-cell value of 5 on a Table 3 model row is caught</w:t>
            </w:r>
          </w:p>
        </w:tc>
        <w:tc>
          <w:tcPr/>
          <w:p>
            <w:pPr>
              <w:pStyle w:val="Compact"/>
              <w:jc w:val="left"/>
            </w:pPr>
            <w:r>
              <w:t xml:space="preserve">Must FAIL (catch)</w:t>
            </w:r>
          </w:p>
        </w:tc>
        <w:tc>
          <w:tcPr/>
          <w:p>
            <w:pPr>
              <w:pStyle w:val="Compact"/>
              <w:jc w:val="left"/>
            </w:pPr>
            <w:r>
              <w:t xml:space="preserve">1</w:t>
            </w:r>
          </w:p>
        </w:tc>
        <w:tc>
          <w:tcPr/>
          <w:p>
            <w:pPr>
              <w:pStyle w:val="Compact"/>
              <w:jc w:val="left"/>
            </w:pPr>
            <w:r>
              <w:t xml:space="preserve">Pass</w:t>
            </w:r>
          </w:p>
        </w:tc>
      </w:tr>
      <w:tr>
        <w:tc>
          <w:tcPr/>
          <w:p>
            <w:pPr>
              <w:pStyle w:val="Compact"/>
              <w:jc w:val="left"/>
            </w:pPr>
            <w:r>
              <w:t xml:space="preserve">Injected header count of 9 in Table 6 is caught</w:t>
            </w:r>
          </w:p>
        </w:tc>
        <w:tc>
          <w:tcPr/>
          <w:p>
            <w:pPr>
              <w:pStyle w:val="Compact"/>
              <w:jc w:val="left"/>
            </w:pPr>
            <w:r>
              <w:t xml:space="preserve">Must FAIL (catch)</w:t>
            </w:r>
          </w:p>
        </w:tc>
        <w:tc>
          <w:tcPr/>
          <w:p>
            <w:pPr>
              <w:pStyle w:val="Compact"/>
              <w:jc w:val="left"/>
            </w:pPr>
            <w:r>
              <w:t xml:space="preserve">1</w:t>
            </w:r>
          </w:p>
        </w:tc>
        <w:tc>
          <w:tcPr/>
          <w:p>
            <w:pPr>
              <w:pStyle w:val="Compact"/>
              <w:jc w:val="left"/>
            </w:pPr>
            <w:r>
              <w:t xml:space="preserve">Pass</w:t>
            </w:r>
          </w:p>
        </w:tc>
      </w:tr>
      <w:tr>
        <w:tc>
          <w:tcPr/>
          <w:p>
            <w:pPr>
              <w:pStyle w:val="Compact"/>
              <w:jc w:val="left"/>
            </w:pPr>
            <w:r>
              <w:t xml:space="preserve">Injected bracketed event count of 6 in Table 2 is caught</w:t>
            </w:r>
          </w:p>
        </w:tc>
        <w:tc>
          <w:tcPr/>
          <w:p>
            <w:pPr>
              <w:pStyle w:val="Compact"/>
              <w:jc w:val="left"/>
            </w:pPr>
            <w:r>
              <w:t xml:space="preserve">Must FAIL (catch)</w:t>
            </w:r>
          </w:p>
        </w:tc>
        <w:tc>
          <w:tcPr/>
          <w:p>
            <w:pPr>
              <w:pStyle w:val="Compact"/>
              <w:jc w:val="left"/>
            </w:pPr>
            <w:r>
              <w:t xml:space="preserve">1</w:t>
            </w:r>
          </w:p>
        </w:tc>
        <w:tc>
          <w:tcPr/>
          <w:p>
            <w:pPr>
              <w:pStyle w:val="Compact"/>
              <w:jc w:val="left"/>
            </w:pPr>
            <w:r>
              <w:t xml:space="preserve">Pass</w:t>
            </w:r>
          </w:p>
        </w:tc>
      </w:tr>
      <w:tr>
        <w:tc>
          <w:tcPr/>
          <w:p>
            <w:pPr>
              <w:pStyle w:val="Compact"/>
              <w:jc w:val="left"/>
            </w:pPr>
            <w:r>
              <w:t xml:space="preserve">A clean table (all counts &gt;= 11 or marked suppressed) passes</w:t>
            </w:r>
          </w:p>
        </w:tc>
        <w:tc>
          <w:tcPr/>
          <w:p>
            <w:pPr>
              <w:pStyle w:val="Compact"/>
              <w:jc w:val="left"/>
            </w:pPr>
            <w:r>
              <w:t xml:space="preserve">Must PASS</w:t>
            </w:r>
          </w:p>
        </w:tc>
        <w:tc>
          <w:tcPr/>
          <w:p>
            <w:pPr>
              <w:pStyle w:val="Compact"/>
              <w:jc w:val="left"/>
            </w:pPr>
            <w:r>
              <w:t xml:space="preserve">0</w:t>
            </w:r>
          </w:p>
        </w:tc>
        <w:tc>
          <w:tcPr/>
          <w:p>
            <w:pPr>
              <w:pStyle w:val="Compact"/>
              <w:jc w:val="left"/>
            </w:pPr>
            <w:r>
              <w:t xml:space="preserve">Pass</w:t>
            </w:r>
          </w:p>
        </w:tc>
      </w:tr>
      <w:tr>
        <w:tc>
          <w:tcPr/>
          <w:p>
            <w:pPr>
              <w:pStyle w:val="Compact"/>
              <w:jc w:val="left"/>
            </w:pPr>
            <w:r>
              <w:t xml:space="preserve">Complementary suppression leaves no row or column with a single hidden cell</w:t>
            </w:r>
          </w:p>
        </w:tc>
        <w:tc>
          <w:tcPr/>
          <w:p>
            <w:pPr>
              <w:pStyle w:val="Compact"/>
              <w:jc w:val="left"/>
            </w:pPr>
            <w:r>
              <w:t xml:space="preserve">Must hold</w:t>
            </w:r>
          </w:p>
        </w:tc>
        <w:tc>
          <w:tcPr/>
          <w:p>
            <w:pPr>
              <w:pStyle w:val="Compact"/>
              <w:jc w:val="left"/>
            </w:pPr>
            <w:r>
              <w:t xml:space="preserve">—</w:t>
            </w:r>
          </w:p>
        </w:tc>
        <w:tc>
          <w:tcPr/>
          <w:p>
            <w:pPr>
              <w:pStyle w:val="Compact"/>
              <w:jc w:val="left"/>
            </w:pPr>
            <w:r>
              <w:t xml:space="preserve">Pass</w:t>
            </w:r>
          </w:p>
        </w:tc>
      </w:tr>
    </w:tbl>
    <w:p>
      <w:pPr>
        <w:pStyle w:val="BodyText"/>
      </w:pPr>
      <w:r>
        <w:t xml:space="preserve"> </w:t>
      </w:r>
    </w:p>
    <w:p>
      <w:pPr>
        <w:pStyle w:val="TableCaption"/>
      </w:pPr>
      <w:r>
        <w:t xml:space="preserve">Table V3. Denominator guards (the render stops if any fails).</w:t>
      </w:r>
    </w:p>
    <w:tbl>
      <w:tblPr>
        <w:tblStyle w:val="Table"/>
        <w:tblW w:type="pct" w:w="5000"/>
        <w:tblLayout w:type="fixed"/>
        <w:tblLook w:firstRow="1" w:lastRow="0" w:firstColumn="0" w:lastColumn="0" w:noHBand="0" w:noVBand="0" w:val="0020"/>
        <w:tblCaption w:val="Table V3. Denominator guards (the render stops if any fails)."/>
      </w:tblPr>
      <w:tblGrid>
        <w:gridCol w:w="5250"/>
        <w:gridCol w:w="1245"/>
        <w:gridCol w:w="1112"/>
        <w:gridCol w:w="311"/>
      </w:tblGrid>
      <w:tr>
        <w:trPr>
          <w:tblHeader w:val="on"/>
        </w:trPr>
        <w:tc>
          <w:tcPr/>
          <w:p>
            <w:pPr>
              <w:pStyle w:val="Compact"/>
              <w:jc w:val="left"/>
            </w:pPr>
            <w:r>
              <w:t xml:space="preserve">Check</w:t>
            </w:r>
          </w:p>
        </w:tc>
        <w:tc>
          <w:tcPr/>
          <w:p>
            <w:pPr>
              <w:pStyle w:val="Compact"/>
              <w:jc w:val="left"/>
            </w:pPr>
            <w:r>
              <w:t xml:space="preserve">Observed</w:t>
            </w:r>
          </w:p>
        </w:tc>
        <w:tc>
          <w:tcPr/>
          <w:p>
            <w:pPr>
              <w:pStyle w:val="Compact"/>
              <w:jc w:val="left"/>
            </w:pPr>
            <w:r>
              <w:t xml:space="preserve">Expected</w:t>
            </w:r>
          </w:p>
        </w:tc>
        <w:tc>
          <w:tcPr/>
          <w:p>
            <w:pPr>
              <w:pStyle w:val="Compact"/>
              <w:jc w:val="left"/>
            </w:pPr>
            <w:r>
              <w:t xml:space="preserve">Result</w:t>
            </w:r>
          </w:p>
        </w:tc>
      </w:tr>
      <w:tr>
        <w:tc>
          <w:tcPr/>
          <w:p>
            <w:pPr>
              <w:pStyle w:val="Compact"/>
              <w:jc w:val="left"/>
            </w:pPr>
            <w:r>
              <w:t xml:space="preserve">Analytic design rows = attrition final step (complete cases)</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Index design rows before complete-case step = attrition step 8</w:t>
            </w:r>
          </w:p>
        </w:tc>
        <w:tc>
          <w:tcPr/>
          <w:p>
            <w:pPr>
              <w:pStyle w:val="Compact"/>
              <w:jc w:val="left"/>
            </w:pPr>
            <w:r>
              <w:t xml:space="preserve">871136</w:t>
            </w:r>
          </w:p>
        </w:tc>
        <w:tc>
          <w:tcPr/>
          <w:p>
            <w:pPr>
              <w:pStyle w:val="Compact"/>
              <w:jc w:val="left"/>
            </w:pPr>
            <w:r>
              <w:t xml:space="preserve">871136</w:t>
            </w:r>
          </w:p>
        </w:tc>
        <w:tc>
          <w:tcPr/>
          <w:p>
            <w:pPr>
              <w:pStyle w:val="Compact"/>
              <w:jc w:val="left"/>
            </w:pPr>
            <w:r>
              <w:t xml:space="preserve">Pass</w:t>
            </w:r>
          </w:p>
        </w:tc>
      </w:tr>
      <w:tr>
        <w:tc>
          <w:tcPr/>
          <w:p>
            <w:pPr>
              <w:pStyle w:val="Compact"/>
              <w:jc w:val="left"/>
            </w:pPr>
            <w:r>
              <w:t xml:space="preserve">Attrition: every</w:t>
            </w:r>
            <w:r>
              <w:t xml:space="preserve"> </w:t>
            </w:r>
            <w:r>
              <w:t xml:space="preserve">‘excluded’</w:t>
            </w:r>
            <w:r>
              <w:t xml:space="preserve"> </w:t>
            </w:r>
            <w:r>
              <w:t xml:space="preserve">= difference of</w:t>
            </w:r>
            <w:r>
              <w:t xml:space="preserve"> </w:t>
            </w:r>
            <w:r>
              <w:t xml:space="preserve">‘remaining’</w:t>
            </w:r>
          </w:p>
        </w:tc>
        <w:tc>
          <w:tcPr/>
          <w:p>
            <w:pPr>
              <w:pStyle w:val="Compact"/>
              <w:jc w:val="left"/>
            </w:pPr>
            <w:r>
              <w:t xml:space="preserve">checked</w:t>
            </w:r>
          </w:p>
        </w:tc>
        <w:tc>
          <w:tcPr/>
          <w:p>
            <w:pPr>
              <w:pStyle w:val="Compact"/>
              <w:jc w:val="left"/>
            </w:pPr>
            <w:r>
              <w:t xml:space="preserve">all equal</w:t>
            </w:r>
          </w:p>
        </w:tc>
        <w:tc>
          <w:tcPr/>
          <w:p>
            <w:pPr>
              <w:pStyle w:val="Compact"/>
              <w:jc w:val="left"/>
            </w:pPr>
            <w:r>
              <w:t xml:space="preserve">Pass</w:t>
            </w:r>
          </w:p>
        </w:tc>
      </w:tr>
      <w:tr>
        <w:tc>
          <w:tcPr/>
          <w:p>
            <w:pPr>
              <w:pStyle w:val="Compact"/>
              <w:jc w:val="left"/>
            </w:pPr>
            <w:r>
              <w:t xml:space="preserve">Attrition is non-increasing</w:t>
            </w:r>
          </w:p>
        </w:tc>
        <w:tc>
          <w:tcPr/>
          <w:p>
            <w:pPr>
              <w:pStyle w:val="Compact"/>
              <w:jc w:val="left"/>
            </w:pPr>
            <w:r>
              <w:t xml:space="preserve">checked</w:t>
            </w:r>
          </w:p>
        </w:tc>
        <w:tc>
          <w:tcPr/>
          <w:p>
            <w:pPr>
              <w:pStyle w:val="Compact"/>
              <w:jc w:val="left"/>
            </w:pPr>
            <w:r>
              <w:t xml:space="preserve">monotone</w:t>
            </w:r>
          </w:p>
        </w:tc>
        <w:tc>
          <w:tcPr/>
          <w:p>
            <w:pPr>
              <w:pStyle w:val="Compact"/>
              <w:jc w:val="left"/>
            </w:pPr>
            <w:r>
              <w:t xml:space="preserve">Pass</w:t>
            </w:r>
          </w:p>
        </w:tc>
      </w:tr>
      <w:tr>
        <w:tc>
          <w:tcPr/>
          <w:p>
            <w:pPr>
              <w:pStyle w:val="Compact"/>
              <w:jc w:val="left"/>
            </w:pPr>
            <w:r>
              <w:t xml:space="preserve">No in-hospital deaths in the index cohort</w:t>
            </w:r>
          </w:p>
        </w:tc>
        <w:tc>
          <w:tcPr/>
          <w:p>
            <w:pPr>
              <w:pStyle w:val="Compact"/>
              <w:jc w:val="left"/>
            </w:pPr>
            <w:r>
              <w:t xml:space="preserve">0</w:t>
            </w:r>
          </w:p>
        </w:tc>
        <w:tc>
          <w:tcPr/>
          <w:p>
            <w:pPr>
              <w:pStyle w:val="Compact"/>
              <w:jc w:val="left"/>
            </w:pPr>
            <w:r>
              <w:t xml:space="preserve">0</w:t>
            </w:r>
          </w:p>
        </w:tc>
        <w:tc>
          <w:tcPr/>
          <w:p>
            <w:pPr>
              <w:pStyle w:val="Compact"/>
              <w:jc w:val="left"/>
            </w:pPr>
            <w:r>
              <w:t xml:space="preserve">Pass</w:t>
            </w:r>
          </w:p>
        </w:tc>
      </w:tr>
      <w:tr>
        <w:tc>
          <w:tcPr/>
          <w:p>
            <w:pPr>
              <w:pStyle w:val="Compact"/>
              <w:jc w:val="left"/>
            </w:pPr>
            <w:r>
              <w:t xml:space="preserve">No December discharges, transfers out or minors in the index cohort</w:t>
            </w:r>
          </w:p>
        </w:tc>
        <w:tc>
          <w:tcPr/>
          <w:p>
            <w:pPr>
              <w:pStyle w:val="Compact"/>
              <w:jc w:val="left"/>
            </w:pPr>
            <w:r>
              <w:t xml:space="preserve">0</w:t>
            </w:r>
          </w:p>
        </w:tc>
        <w:tc>
          <w:tcPr/>
          <w:p>
            <w:pPr>
              <w:pStyle w:val="Compact"/>
              <w:jc w:val="left"/>
            </w:pPr>
            <w:r>
              <w:t xml:space="preserve">0</w:t>
            </w:r>
          </w:p>
        </w:tc>
        <w:tc>
          <w:tcPr/>
          <w:p>
            <w:pPr>
              <w:pStyle w:val="Compact"/>
              <w:jc w:val="left"/>
            </w:pPr>
            <w:r>
              <w:t xml:space="preserve">Pass</w:t>
            </w:r>
          </w:p>
        </w:tc>
      </w:tr>
      <w:tr>
        <w:tc>
          <w:tcPr/>
          <w:p>
            <w:pPr>
              <w:pStyle w:val="Compact"/>
              <w:jc w:val="left"/>
            </w:pPr>
            <w:r>
              <w:t xml:space="preserve">Type 1 comparator: same exclusions (no deaths, December, transfers)</w:t>
            </w:r>
          </w:p>
        </w:tc>
        <w:tc>
          <w:tcPr/>
          <w:p>
            <w:pPr>
              <w:pStyle w:val="Compact"/>
              <w:jc w:val="left"/>
            </w:pPr>
            <w:r>
              <w:t xml:space="preserve">0</w:t>
            </w:r>
          </w:p>
        </w:tc>
        <w:tc>
          <w:tcPr/>
          <w:p>
            <w:pPr>
              <w:pStyle w:val="Compact"/>
              <w:jc w:val="left"/>
            </w:pPr>
            <w:r>
              <w:t xml:space="preserve">0</w:t>
            </w:r>
          </w:p>
        </w:tc>
        <w:tc>
          <w:tcPr/>
          <w:p>
            <w:pPr>
              <w:pStyle w:val="Compact"/>
              <w:jc w:val="left"/>
            </w:pPr>
            <w:r>
              <w:t xml:space="preserve">Pass</w:t>
            </w:r>
          </w:p>
        </w:tc>
      </w:tr>
      <w:tr>
        <w:tc>
          <w:tcPr/>
          <w:p>
            <w:pPr>
              <w:pStyle w:val="Compact"/>
              <w:jc w:val="left"/>
            </w:pPr>
            <w:r>
              <w:t xml:space="preserve">Type 1 comparator has linked readmissions (audit P1.1)</w:t>
            </w:r>
          </w:p>
        </w:tc>
        <w:tc>
          <w:tcPr/>
          <w:p>
            <w:pPr>
              <w:pStyle w:val="Compact"/>
              <w:jc w:val="left"/>
            </w:pPr>
            <w:r>
              <w:t xml:space="preserve">273682</w:t>
            </w:r>
          </w:p>
        </w:tc>
        <w:tc>
          <w:tcPr/>
          <w:p>
            <w:pPr>
              <w:pStyle w:val="Compact"/>
              <w:jc w:val="left"/>
            </w:pPr>
            <w:r>
              <w:t xml:space="preserve">&gt; 0</w:t>
            </w:r>
          </w:p>
        </w:tc>
        <w:tc>
          <w:tcPr/>
          <w:p>
            <w:pPr>
              <w:pStyle w:val="Compact"/>
              <w:jc w:val="left"/>
            </w:pPr>
            <w:r>
              <w:t xml:space="preserve">Pass</w:t>
            </w:r>
          </w:p>
        </w:tc>
      </w:tr>
      <w:tr>
        <w:tc>
          <w:tcPr/>
          <w:p>
            <w:pPr>
              <w:pStyle w:val="Compact"/>
              <w:jc w:val="left"/>
            </w:pPr>
            <w:r>
              <w:t xml:space="preserve">Data years are exactly 2018-2022</w:t>
            </w:r>
          </w:p>
        </w:tc>
        <w:tc>
          <w:tcPr/>
          <w:p>
            <w:pPr>
              <w:pStyle w:val="Compact"/>
              <w:jc w:val="left"/>
            </w:pPr>
            <w:r>
              <w:t xml:space="preserve">2018,2019,2020,2021,2022</w:t>
            </w:r>
          </w:p>
        </w:tc>
        <w:tc>
          <w:tcPr/>
          <w:p>
            <w:pPr>
              <w:pStyle w:val="Compact"/>
              <w:jc w:val="left"/>
            </w:pPr>
            <w:r>
              <w:t xml:space="preserve">2018,2019,2020,2021,2022</w:t>
            </w:r>
          </w:p>
        </w:tc>
        <w:tc>
          <w:tcPr/>
          <w:p>
            <w:pPr>
              <w:pStyle w:val="Compact"/>
              <w:jc w:val="left"/>
            </w:pPr>
            <w:r>
              <w:t xml:space="preserve">Pass</w:t>
            </w:r>
          </w:p>
        </w:tc>
      </w:tr>
      <w:tr>
        <w:tc>
          <w:tcPr/>
          <w:p>
            <w:pPr>
              <w:pStyle w:val="Compact"/>
              <w:jc w:val="left"/>
            </w:pPr>
            <w:r>
              <w:t xml:space="preserve">All-listed I21.A1 per year within 0.5% of the HCUP frequency workbook</w:t>
            </w:r>
          </w:p>
        </w:tc>
        <w:tc>
          <w:tcPr/>
          <w:p>
            <w:pPr>
              <w:pStyle w:val="Compact"/>
              <w:jc w:val="left"/>
            </w:pPr>
            <w:r>
              <w:t xml:space="preserve">max |diff| 0.000%</w:t>
            </w:r>
          </w:p>
        </w:tc>
        <w:tc>
          <w:tcPr/>
          <w:p>
            <w:pPr>
              <w:pStyle w:val="Compact"/>
              <w:jc w:val="left"/>
            </w:pPr>
            <w:r>
              <w:t xml:space="preserve">&lt;= 0.5%</w:t>
            </w:r>
          </w:p>
        </w:tc>
        <w:tc>
          <w:tcPr/>
          <w:p>
            <w:pPr>
              <w:pStyle w:val="Compact"/>
              <w:jc w:val="left"/>
            </w:pPr>
            <w:r>
              <w:t xml:space="preserve">Pass</w:t>
            </w:r>
          </w:p>
        </w:tc>
      </w:tr>
      <w:tr>
        <w:tc>
          <w:tcPr/>
          <w:p>
            <w:pPr>
              <w:pStyle w:val="Compact"/>
              <w:jc w:val="left"/>
            </w:pPr>
            <w:r>
              <w:t xml:space="preserve">Precipitant classes are mutually exclusive and exhaustive (one class per index row)</w:t>
            </w:r>
          </w:p>
        </w:tc>
        <w:tc>
          <w:tcPr/>
          <w:p>
            <w:pPr>
              <w:pStyle w:val="Compact"/>
              <w:jc w:val="left"/>
            </w:pPr>
            <w:r>
              <w:t xml:space="preserve">0</w:t>
            </w:r>
          </w:p>
        </w:tc>
        <w:tc>
          <w:tcPr/>
          <w:p>
            <w:pPr>
              <w:pStyle w:val="Compact"/>
              <w:jc w:val="left"/>
            </w:pPr>
            <w:r>
              <w:t xml:space="preserve">0</w:t>
            </w:r>
          </w:p>
        </w:tc>
        <w:tc>
          <w:tcPr/>
          <w:p>
            <w:pPr>
              <w:pStyle w:val="Compact"/>
              <w:jc w:val="left"/>
            </w:pPr>
            <w:r>
              <w:t xml:space="preserve">Pass</w:t>
            </w:r>
          </w:p>
        </w:tc>
      </w:tr>
      <w:tr>
        <w:tc>
          <w:tcPr/>
          <w:p>
            <w:pPr>
              <w:pStyle w:val="Compact"/>
              <w:jc w:val="left"/>
            </w:pPr>
            <w:r>
              <w:t xml:space="preserve">I16.0 (urgency) is never the basis of the hypertensive-emergency class</w:t>
            </w:r>
          </w:p>
        </w:tc>
        <w:tc>
          <w:tcPr/>
          <w:p>
            <w:pPr>
              <w:pStyle w:val="Compact"/>
              <w:jc w:val="left"/>
            </w:pPr>
            <w:r>
              <w:t xml:space="preserve">codelist</w:t>
            </w:r>
          </w:p>
        </w:tc>
        <w:tc>
          <w:tcPr/>
          <w:p>
            <w:pPr>
              <w:pStyle w:val="Compact"/>
              <w:jc w:val="left"/>
            </w:pPr>
            <w:r>
              <w:t xml:space="preserve">I161, I169 only</w:t>
            </w:r>
          </w:p>
        </w:tc>
        <w:tc>
          <w:tcPr/>
          <w:p>
            <w:pPr>
              <w:pStyle w:val="Compact"/>
              <w:jc w:val="left"/>
            </w:pPr>
            <w:r>
              <w:t xml:space="preserve">Pass</w:t>
            </w:r>
          </w:p>
        </w:tc>
      </w:tr>
      <w:tr>
        <w:tc>
          <w:tcPr/>
          <w:p>
            <w:pPr>
              <w:pStyle w:val="Compact"/>
              <w:jc w:val="left"/>
            </w:pPr>
            <w:r>
              <w:t xml:space="preserve">Levels of</w:t>
            </w:r>
            <w:r>
              <w:t xml:space="preserve"> </w:t>
            </w:r>
            <w:r>
              <w:t xml:space="preserve">‘Precipitating acute illness class’</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‘Discharge year’</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‘Age group’</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‘Chronic kidney disease’</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‘Pandemic era’</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‘Sex’</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‘Primary expected payer’</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‘Median household income quartile (patient ZIP code)’</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‘Patient residence (NCHS urban-rural classification)’</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‘Admission day’</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‘Admission type’</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‘Hospital bed size’</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‘Hospital location and teaching status’</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‘Hospital ownership’</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‘Type 2 MI coded as the principal diagnosis’</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‘Cardiogenic shock at index’</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‘Invasive mechanical ventilation at index’</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‘Chronic kidney disease stage’</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‘Dialysis dependence at index’</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‘Known coronary artery disease (I25.1x/I25.7x)’</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‘Prior revascularization (Z95.1/Z95.5)’</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‘Atrial fibrillation or flutter (I48)’</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‘COVID-19 at index (U07.1)’</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‘Congestive heart failure’</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‘Valvular disease’</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‘Pulmonary circulation disorders’</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‘Peripheral vascular disorders’</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‘Hypertension, uncomplicated’</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‘Hypertension, complicated’</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‘Other neurological disorders’</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‘Chronic pulmonary disease’</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‘Diabetes, uncomplicated’</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‘Diabetes, complicated’</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‘Liver disease’</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‘Obesity’</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‘Weight loss’</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‘Coagulopathy’</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‘Metastatic cancer’</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‘Solid tumour without metastasis’</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‘Psychoses’</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‘Depression’</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‘Alcohol abuse’</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‘Drug abuse’</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‘Cardiac arrhythmias (excluded from the model by pre-specification)’</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‘Fluid and electrolyte disorders (excluded from the model by pre-specification)’</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‘Renal failure (excluded from the model by pre-specification)’</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‘Blood loss anaemia (excluded from the model by pre-specification)’</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Levels of</w:t>
            </w:r>
            <w:r>
              <w:t xml:space="preserve"> </w:t>
            </w:r>
            <w:r>
              <w:t xml:space="preserve">‘Deficiency anaemia (excluded from the model by pre-specification)’</w:t>
            </w:r>
            <w:r>
              <w:t xml:space="preserve"> </w:t>
            </w:r>
            <w:r>
              <w:t xml:space="preserve">sum to the analytic cohort</w:t>
            </w:r>
          </w:p>
        </w:tc>
        <w:tc>
          <w:tcPr/>
          <w:p>
            <w:pPr>
              <w:pStyle w:val="Compact"/>
              <w:jc w:val="left"/>
            </w:pPr>
            <w:r>
              <w:t xml:space="preserve">870486</w:t>
            </w:r>
          </w:p>
        </w:tc>
        <w:tc>
          <w:tcPr/>
          <w:p>
            <w:pPr>
              <w:pStyle w:val="Compact"/>
              <w:jc w:val="left"/>
            </w:pPr>
            <w:r>
              <w:t xml:space="preserve">870486</w:t>
            </w:r>
          </w:p>
        </w:tc>
        <w:tc>
          <w:tcPr/>
          <w:p>
            <w:pPr>
              <w:pStyle w:val="Compact"/>
              <w:jc w:val="left"/>
            </w:pPr>
            <w:r>
              <w:t xml:space="preserve">Pass</w:t>
            </w:r>
          </w:p>
        </w:tc>
      </w:tr>
      <w:tr>
        <w:tc>
          <w:tcPr/>
          <w:p>
            <w:pPr>
              <w:pStyle w:val="Compact"/>
              <w:jc w:val="left"/>
            </w:pPr>
            <w:r>
              <w:t xml:space="preserve">Readmission count identical in design, primary model and Table 5</w:t>
            </w:r>
          </w:p>
        </w:tc>
        <w:tc>
          <w:tcPr/>
          <w:p>
            <w:pPr>
              <w:pStyle w:val="Compact"/>
              <w:jc w:val="left"/>
            </w:pPr>
            <w:r>
              <w:t xml:space="preserve">175312 175312 175312</w:t>
            </w:r>
          </w:p>
        </w:tc>
        <w:tc>
          <w:tcPr/>
          <w:p>
            <w:pPr>
              <w:pStyle w:val="Compact"/>
              <w:jc w:val="left"/>
            </w:pPr>
            <w:r>
              <w:t xml:space="preserve">all equal</w:t>
            </w:r>
          </w:p>
        </w:tc>
        <w:tc>
          <w:tcPr/>
          <w:p>
            <w:pPr>
              <w:pStyle w:val="Compact"/>
              <w:jc w:val="left"/>
            </w:pPr>
            <w:r>
              <w:t xml:space="preserve">Pass</w:t>
            </w:r>
          </w:p>
        </w:tc>
      </w:tr>
      <w:tr>
        <w:tc>
          <w:tcPr/>
          <w:p>
            <w:pPr>
              <w:pStyle w:val="Compact"/>
              <w:jc w:val="left"/>
            </w:pPr>
            <w:r>
              <w:t xml:space="preserve">Design/SRS standard-error ratio plausible (overall)</w:t>
            </w:r>
          </w:p>
        </w:tc>
        <w:tc>
          <w:tcPr/>
          <w:p>
            <w:pPr>
              <w:pStyle w:val="Compact"/>
              <w:jc w:val="left"/>
            </w:pPr>
            <w:r>
              <w:t xml:space="preserve">1.68</w:t>
            </w:r>
          </w:p>
        </w:tc>
        <w:tc>
          <w:tcPr/>
          <w:p>
            <w:pPr>
              <w:pStyle w:val="Compact"/>
              <w:jc w:val="left"/>
            </w:pPr>
            <w:r>
              <w:t xml:space="preserve">0.5 to 10</w:t>
            </w:r>
          </w:p>
        </w:tc>
        <w:tc>
          <w:tcPr/>
          <w:p>
            <w:pPr>
              <w:pStyle w:val="Compact"/>
              <w:jc w:val="left"/>
            </w:pPr>
            <w:r>
              <w:t xml:space="preserve">Pass</w:t>
            </w:r>
          </w:p>
        </w:tc>
      </w:tr>
      <w:tr>
        <w:tc>
          <w:tcPr/>
          <w:p>
            <w:pPr>
              <w:pStyle w:val="Compact"/>
              <w:jc w:val="left"/>
            </w:pPr>
            <w:r>
              <w:t xml:space="preserve">Design/SRS standard-error ratio plausible (Sepsis or severe infection)</w:t>
            </w:r>
          </w:p>
        </w:tc>
        <w:tc>
          <w:tcPr/>
          <w:p>
            <w:pPr>
              <w:pStyle w:val="Compact"/>
              <w:jc w:val="left"/>
            </w:pPr>
            <w:r>
              <w:t xml:space="preserve">1.24</w:t>
            </w:r>
          </w:p>
        </w:tc>
        <w:tc>
          <w:tcPr/>
          <w:p>
            <w:pPr>
              <w:pStyle w:val="Compact"/>
              <w:jc w:val="left"/>
            </w:pPr>
            <w:r>
              <w:t xml:space="preserve">0.5 to 10</w:t>
            </w:r>
          </w:p>
        </w:tc>
        <w:tc>
          <w:tcPr/>
          <w:p>
            <w:pPr>
              <w:pStyle w:val="Compact"/>
              <w:jc w:val="left"/>
            </w:pPr>
            <w:r>
              <w:t xml:space="preserve">Pass</w:t>
            </w:r>
          </w:p>
        </w:tc>
      </w:tr>
      <w:tr>
        <w:tc>
          <w:tcPr/>
          <w:p>
            <w:pPr>
              <w:pStyle w:val="Compact"/>
              <w:jc w:val="left"/>
            </w:pPr>
            <w:r>
              <w:t xml:space="preserve">Design/SRS standard-error ratio plausible (Acute GI bleed or blood-loss anaemia)</w:t>
            </w:r>
          </w:p>
        </w:tc>
        <w:tc>
          <w:tcPr/>
          <w:p>
            <w:pPr>
              <w:pStyle w:val="Compact"/>
              <w:jc w:val="left"/>
            </w:pPr>
            <w:r>
              <w:t xml:space="preserve">1.12</w:t>
            </w:r>
          </w:p>
        </w:tc>
        <w:tc>
          <w:tcPr/>
          <w:p>
            <w:pPr>
              <w:pStyle w:val="Compact"/>
              <w:jc w:val="left"/>
            </w:pPr>
            <w:r>
              <w:t xml:space="preserve">0.5 to 10</w:t>
            </w:r>
          </w:p>
        </w:tc>
        <w:tc>
          <w:tcPr/>
          <w:p>
            <w:pPr>
              <w:pStyle w:val="Compact"/>
              <w:jc w:val="left"/>
            </w:pPr>
            <w:r>
              <w:t xml:space="preserve">Pass</w:t>
            </w:r>
          </w:p>
        </w:tc>
      </w:tr>
      <w:tr>
        <w:tc>
          <w:tcPr/>
          <w:p>
            <w:pPr>
              <w:pStyle w:val="Compact"/>
              <w:jc w:val="left"/>
            </w:pPr>
            <w:r>
              <w:t xml:space="preserve">Design/SRS standard-error ratio plausible (Hypertensive emergency)</w:t>
            </w:r>
          </w:p>
        </w:tc>
        <w:tc>
          <w:tcPr/>
          <w:p>
            <w:pPr>
              <w:pStyle w:val="Compact"/>
              <w:jc w:val="left"/>
            </w:pPr>
            <w:r>
              <w:t xml:space="preserve">1.15</w:t>
            </w:r>
          </w:p>
        </w:tc>
        <w:tc>
          <w:tcPr/>
          <w:p>
            <w:pPr>
              <w:pStyle w:val="Compact"/>
              <w:jc w:val="left"/>
            </w:pPr>
            <w:r>
              <w:t xml:space="preserve">0.5 to 10</w:t>
            </w:r>
          </w:p>
        </w:tc>
        <w:tc>
          <w:tcPr/>
          <w:p>
            <w:pPr>
              <w:pStyle w:val="Compact"/>
              <w:jc w:val="left"/>
            </w:pPr>
            <w:r>
              <w:t xml:space="preserve">Pass</w:t>
            </w:r>
          </w:p>
        </w:tc>
      </w:tr>
      <w:tr>
        <w:tc>
          <w:tcPr/>
          <w:p>
            <w:pPr>
              <w:pStyle w:val="Compact"/>
              <w:jc w:val="left"/>
            </w:pPr>
            <w:r>
              <w:t xml:space="preserve">Design/SRS standard-error ratio plausible (Tachyarrhythmia)</w:t>
            </w:r>
          </w:p>
        </w:tc>
        <w:tc>
          <w:tcPr/>
          <w:p>
            <w:pPr>
              <w:pStyle w:val="Compact"/>
              <w:jc w:val="left"/>
            </w:pPr>
            <w:r>
              <w:t xml:space="preserve">1.30</w:t>
            </w:r>
          </w:p>
        </w:tc>
        <w:tc>
          <w:tcPr/>
          <w:p>
            <w:pPr>
              <w:pStyle w:val="Compact"/>
              <w:jc w:val="left"/>
            </w:pPr>
            <w:r>
              <w:t xml:space="preserve">0.5 to 10</w:t>
            </w:r>
          </w:p>
        </w:tc>
        <w:tc>
          <w:tcPr/>
          <w:p>
            <w:pPr>
              <w:pStyle w:val="Compact"/>
              <w:jc w:val="left"/>
            </w:pPr>
            <w:r>
              <w:t xml:space="preserve">Pass</w:t>
            </w:r>
          </w:p>
        </w:tc>
      </w:tr>
      <w:tr>
        <w:tc>
          <w:tcPr/>
          <w:p>
            <w:pPr>
              <w:pStyle w:val="Compact"/>
              <w:jc w:val="left"/>
            </w:pPr>
            <w:r>
              <w:t xml:space="preserve">Design/SRS standard-error ratio plausible (Acute respiratory failure)</w:t>
            </w:r>
          </w:p>
        </w:tc>
        <w:tc>
          <w:tcPr/>
          <w:p>
            <w:pPr>
              <w:pStyle w:val="Compact"/>
              <w:jc w:val="left"/>
            </w:pPr>
            <w:r>
              <w:t xml:space="preserve">1.16</w:t>
            </w:r>
          </w:p>
        </w:tc>
        <w:tc>
          <w:tcPr/>
          <w:p>
            <w:pPr>
              <w:pStyle w:val="Compact"/>
              <w:jc w:val="left"/>
            </w:pPr>
            <w:r>
              <w:t xml:space="preserve">0.5 to 10</w:t>
            </w:r>
          </w:p>
        </w:tc>
        <w:tc>
          <w:tcPr/>
          <w:p>
            <w:pPr>
              <w:pStyle w:val="Compact"/>
              <w:jc w:val="left"/>
            </w:pPr>
            <w:r>
              <w:t xml:space="preserve">Pass</w:t>
            </w:r>
          </w:p>
        </w:tc>
      </w:tr>
      <w:tr>
        <w:tc>
          <w:tcPr/>
          <w:p>
            <w:pPr>
              <w:pStyle w:val="Compact"/>
              <w:jc w:val="left"/>
            </w:pPr>
            <w:r>
              <w:t xml:space="preserve">Design/SRS standard-error ratio plausible (Hypovolaemia or non-cardiogenic shock)</w:t>
            </w:r>
          </w:p>
        </w:tc>
        <w:tc>
          <w:tcPr/>
          <w:p>
            <w:pPr>
              <w:pStyle w:val="Compact"/>
              <w:jc w:val="left"/>
            </w:pPr>
            <w:r>
              <w:t xml:space="preserve">1.08</w:t>
            </w:r>
          </w:p>
        </w:tc>
        <w:tc>
          <w:tcPr/>
          <w:p>
            <w:pPr>
              <w:pStyle w:val="Compact"/>
              <w:jc w:val="left"/>
            </w:pPr>
            <w:r>
              <w:t xml:space="preserve">0.5 to 10</w:t>
            </w:r>
          </w:p>
        </w:tc>
        <w:tc>
          <w:tcPr/>
          <w:p>
            <w:pPr>
              <w:pStyle w:val="Compact"/>
              <w:jc w:val="left"/>
            </w:pPr>
            <w:r>
              <w:t xml:space="preserve">Pass</w:t>
            </w:r>
          </w:p>
        </w:tc>
      </w:tr>
      <w:tr>
        <w:tc>
          <w:tcPr/>
          <w:p>
            <w:pPr>
              <w:pStyle w:val="Compact"/>
              <w:jc w:val="left"/>
            </w:pPr>
            <w:r>
              <w:t xml:space="preserve">Design/SRS standard-error ratio plausible (Perioperative)</w:t>
            </w:r>
          </w:p>
        </w:tc>
        <w:tc>
          <w:tcPr/>
          <w:p>
            <w:pPr>
              <w:pStyle w:val="Compact"/>
              <w:jc w:val="left"/>
            </w:pPr>
            <w:r>
              <w:t xml:space="preserve">1.08</w:t>
            </w:r>
          </w:p>
        </w:tc>
        <w:tc>
          <w:tcPr/>
          <w:p>
            <w:pPr>
              <w:pStyle w:val="Compact"/>
              <w:jc w:val="left"/>
            </w:pPr>
            <w:r>
              <w:t xml:space="preserve">0.5 to 10</w:t>
            </w:r>
          </w:p>
        </w:tc>
        <w:tc>
          <w:tcPr/>
          <w:p>
            <w:pPr>
              <w:pStyle w:val="Compact"/>
              <w:jc w:val="left"/>
            </w:pPr>
            <w:r>
              <w:t xml:space="preserve">Pass</w:t>
            </w:r>
          </w:p>
        </w:tc>
      </w:tr>
      <w:tr>
        <w:tc>
          <w:tcPr/>
          <w:p>
            <w:pPr>
              <w:pStyle w:val="Compact"/>
              <w:jc w:val="left"/>
            </w:pPr>
            <w:r>
              <w:t xml:space="preserve">Design/SRS standard-error ratio plausible (None of the above)</w:t>
            </w:r>
          </w:p>
        </w:tc>
        <w:tc>
          <w:tcPr/>
          <w:p>
            <w:pPr>
              <w:pStyle w:val="Compact"/>
              <w:jc w:val="left"/>
            </w:pPr>
            <w:r>
              <w:t xml:space="preserve">1.33</w:t>
            </w:r>
          </w:p>
        </w:tc>
        <w:tc>
          <w:tcPr/>
          <w:p>
            <w:pPr>
              <w:pStyle w:val="Compact"/>
              <w:jc w:val="left"/>
            </w:pPr>
            <w:r>
              <w:t xml:space="preserve">0.5 to 10</w:t>
            </w:r>
          </w:p>
        </w:tc>
        <w:tc>
          <w:tcPr/>
          <w:p>
            <w:pPr>
              <w:pStyle w:val="Compact"/>
              <w:jc w:val="left"/>
            </w:pPr>
            <w:r>
              <w:t xml:space="preserve">Pass</w:t>
            </w:r>
          </w:p>
        </w:tc>
      </w:tr>
      <w:tr>
        <w:tc>
          <w:tcPr/>
          <w:p>
            <w:pPr>
              <w:pStyle w:val="Compact"/>
              <w:jc w:val="left"/>
            </w:pPr>
            <w:r>
              <w:t xml:space="preserve">Overall rate lies within the range of</w:t>
            </w:r>
            <w:r>
              <w:t xml:space="preserve"> </w:t>
            </w:r>
            <w:r>
              <w:t xml:space="preserve">‘Precipitating acute illness class’</w:t>
            </w:r>
            <w:r>
              <w:t xml:space="preserve"> </w:t>
            </w:r>
            <w:r>
              <w:t xml:space="preserve">levels</w:t>
            </w:r>
          </w:p>
        </w:tc>
        <w:tc>
          <w:tcPr/>
          <w:p>
            <w:pPr>
              <w:pStyle w:val="Compact"/>
              <w:jc w:val="left"/>
            </w:pPr>
            <w:r>
              <w:t xml:space="preserve">20.03% in [17.82%, 22.77%]</w:t>
            </w:r>
          </w:p>
        </w:tc>
        <w:tc>
          <w:tcPr/>
          <w:p>
            <w:pPr>
              <w:pStyle w:val="Compact"/>
              <w:jc w:val="left"/>
            </w:pPr>
            <w:r>
              <w:t xml:space="preserve">inside</w:t>
            </w:r>
          </w:p>
        </w:tc>
        <w:tc>
          <w:tcPr/>
          <w:p>
            <w:pPr>
              <w:pStyle w:val="Compact"/>
              <w:jc w:val="left"/>
            </w:pPr>
            <w:r>
              <w:t xml:space="preserve">Pass</w:t>
            </w:r>
          </w:p>
        </w:tc>
      </w:tr>
      <w:tr>
        <w:tc>
          <w:tcPr/>
          <w:p>
            <w:pPr>
              <w:pStyle w:val="Compact"/>
              <w:jc w:val="left"/>
            </w:pPr>
            <w:r>
              <w:t xml:space="preserve">Overall rate lies within the range of</w:t>
            </w:r>
            <w:r>
              <w:t xml:space="preserve"> </w:t>
            </w:r>
            <w:r>
              <w:t xml:space="preserve">‘Discharge year’</w:t>
            </w:r>
            <w:r>
              <w:t xml:space="preserve"> </w:t>
            </w:r>
            <w:r>
              <w:t xml:space="preserve">levels</w:t>
            </w:r>
          </w:p>
        </w:tc>
        <w:tc>
          <w:tcPr/>
          <w:p>
            <w:pPr>
              <w:pStyle w:val="Compact"/>
              <w:jc w:val="left"/>
            </w:pPr>
            <w:r>
              <w:t xml:space="preserve">20.03% in [19.72%, 20.78%]</w:t>
            </w:r>
          </w:p>
        </w:tc>
        <w:tc>
          <w:tcPr/>
          <w:p>
            <w:pPr>
              <w:pStyle w:val="Compact"/>
              <w:jc w:val="left"/>
            </w:pPr>
            <w:r>
              <w:t xml:space="preserve">inside</w:t>
            </w:r>
          </w:p>
        </w:tc>
        <w:tc>
          <w:tcPr/>
          <w:p>
            <w:pPr>
              <w:pStyle w:val="Compact"/>
              <w:jc w:val="left"/>
            </w:pPr>
            <w:r>
              <w:t xml:space="preserve">Pass</w:t>
            </w:r>
          </w:p>
        </w:tc>
      </w:tr>
      <w:tr>
        <w:tc>
          <w:tcPr/>
          <w:p>
            <w:pPr>
              <w:pStyle w:val="Compact"/>
              <w:jc w:val="left"/>
            </w:pPr>
            <w:r>
              <w:t xml:space="preserve">Overall rate lies within the range of</w:t>
            </w:r>
            <w:r>
              <w:t xml:space="preserve"> </w:t>
            </w:r>
            <w:r>
              <w:t xml:space="preserve">‘Age group’</w:t>
            </w:r>
            <w:r>
              <w:t xml:space="preserve"> </w:t>
            </w:r>
            <w:r>
              <w:t xml:space="preserve">levels</w:t>
            </w:r>
          </w:p>
        </w:tc>
        <w:tc>
          <w:tcPr/>
          <w:p>
            <w:pPr>
              <w:pStyle w:val="Compact"/>
              <w:jc w:val="left"/>
            </w:pPr>
            <w:r>
              <w:t xml:space="preserve">20.03% in [19.87%, 20.38%]</w:t>
            </w:r>
          </w:p>
        </w:tc>
        <w:tc>
          <w:tcPr/>
          <w:p>
            <w:pPr>
              <w:pStyle w:val="Compact"/>
              <w:jc w:val="left"/>
            </w:pPr>
            <w:r>
              <w:t xml:space="preserve">inside</w:t>
            </w:r>
          </w:p>
        </w:tc>
        <w:tc>
          <w:tcPr/>
          <w:p>
            <w:pPr>
              <w:pStyle w:val="Compact"/>
              <w:jc w:val="left"/>
            </w:pPr>
            <w:r>
              <w:t xml:space="preserve">Pass</w:t>
            </w:r>
          </w:p>
        </w:tc>
      </w:tr>
      <w:tr>
        <w:tc>
          <w:tcPr/>
          <w:p>
            <w:pPr>
              <w:pStyle w:val="Compact"/>
              <w:jc w:val="left"/>
            </w:pPr>
            <w:r>
              <w:t xml:space="preserve">Overall rate lies within the range of</w:t>
            </w:r>
            <w:r>
              <w:t xml:space="preserve"> </w:t>
            </w:r>
            <w:r>
              <w:t xml:space="preserve">‘Chronic kidney disease’</w:t>
            </w:r>
            <w:r>
              <w:t xml:space="preserve"> </w:t>
            </w:r>
            <w:r>
              <w:t xml:space="preserve">levels</w:t>
            </w:r>
          </w:p>
        </w:tc>
        <w:tc>
          <w:tcPr/>
          <w:p>
            <w:pPr>
              <w:pStyle w:val="Compact"/>
              <w:jc w:val="left"/>
            </w:pPr>
            <w:r>
              <w:t xml:space="preserve">20.03% in [16.95%, 24.43%]</w:t>
            </w:r>
          </w:p>
        </w:tc>
        <w:tc>
          <w:tcPr/>
          <w:p>
            <w:pPr>
              <w:pStyle w:val="Compact"/>
              <w:jc w:val="left"/>
            </w:pPr>
            <w:r>
              <w:t xml:space="preserve">inside</w:t>
            </w:r>
          </w:p>
        </w:tc>
        <w:tc>
          <w:tcPr/>
          <w:p>
            <w:pPr>
              <w:pStyle w:val="Compact"/>
              <w:jc w:val="left"/>
            </w:pPr>
            <w:r>
              <w:t xml:space="preserve">Pass</w:t>
            </w:r>
          </w:p>
        </w:tc>
      </w:tr>
      <w:tr>
        <w:tc>
          <w:tcPr/>
          <w:p>
            <w:pPr>
              <w:pStyle w:val="Compact"/>
              <w:jc w:val="left"/>
            </w:pPr>
            <w:r>
              <w:t xml:space="preserve">Overall rate lies within the range of</w:t>
            </w:r>
            <w:r>
              <w:t xml:space="preserve"> </w:t>
            </w:r>
            <w:r>
              <w:t xml:space="preserve">‘Pandemic era’</w:t>
            </w:r>
            <w:r>
              <w:t xml:space="preserve"> </w:t>
            </w:r>
            <w:r>
              <w:t xml:space="preserve">levels</w:t>
            </w:r>
          </w:p>
        </w:tc>
        <w:tc>
          <w:tcPr/>
          <w:p>
            <w:pPr>
              <w:pStyle w:val="Compact"/>
              <w:jc w:val="left"/>
            </w:pPr>
            <w:r>
              <w:t xml:space="preserve">20.03% in [19.81%, 20.56%]</w:t>
            </w:r>
          </w:p>
        </w:tc>
        <w:tc>
          <w:tcPr/>
          <w:p>
            <w:pPr>
              <w:pStyle w:val="Compact"/>
              <w:jc w:val="left"/>
            </w:pPr>
            <w:r>
              <w:t xml:space="preserve">inside</w:t>
            </w:r>
          </w:p>
        </w:tc>
        <w:tc>
          <w:tcPr/>
          <w:p>
            <w:pPr>
              <w:pStyle w:val="Compact"/>
              <w:jc w:val="left"/>
            </w:pPr>
            <w:r>
              <w:t xml:space="preserve">Pass</w:t>
            </w:r>
          </w:p>
        </w:tc>
      </w:tr>
      <w:tr>
        <w:tc>
          <w:tcPr/>
          <w:p>
            <w:pPr>
              <w:pStyle w:val="Compact"/>
              <w:jc w:val="left"/>
            </w:pPr>
            <w:r>
              <w:t xml:space="preserve">No non-finite or missing value (NA/NaN/Inf) in any rendered table cell</w:t>
            </w:r>
          </w:p>
        </w:tc>
        <w:tc>
          <w:tcPr/>
          <w:p>
            <w:pPr>
              <w:pStyle w:val="Compact"/>
              <w:jc w:val="left"/>
            </w:pPr>
            <w:r>
              <w:t xml:space="preserve">0</w:t>
            </w:r>
          </w:p>
        </w:tc>
        <w:tc>
          <w:tcPr/>
          <w:p>
            <w:pPr>
              <w:pStyle w:val="Compact"/>
              <w:jc w:val="left"/>
            </w:pPr>
            <w:r>
              <w:t xml:space="preserve">0</w:t>
            </w:r>
          </w:p>
        </w:tc>
        <w:tc>
          <w:tcPr/>
          <w:p>
            <w:pPr>
              <w:pStyle w:val="Compact"/>
              <w:jc w:val="left"/>
            </w:pPr>
            <w:r>
              <w:t xml:space="preserve">Pass</w:t>
            </w:r>
          </w:p>
        </w:tc>
      </w:tr>
      <w:tr>
        <w:tc>
          <w:tcPr/>
          <w:p>
            <w:pPr>
              <w:pStyle w:val="Compact"/>
              <w:jc w:val="left"/>
            </w:pPr>
            <w:r>
              <w:t xml:space="preserve">Every primary-model standard error finite</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Pass</w:t>
            </w:r>
          </w:p>
        </w:tc>
      </w:tr>
      <w:tr>
        <w:tc>
          <w:tcPr/>
          <w:p>
            <w:pPr>
              <w:pStyle w:val="Compact"/>
              <w:jc w:val="left"/>
            </w:pPr>
            <w:r>
              <w:t xml:space="preserve">Design degrees of freedom &gt; 100 (SAP D2)</w:t>
            </w:r>
          </w:p>
        </w:tc>
        <w:tc>
          <w:tcPr/>
          <w:p>
            <w:pPr>
              <w:pStyle w:val="Compact"/>
              <w:jc w:val="left"/>
            </w:pPr>
            <w:r>
              <w:t xml:space="preserve">8928</w:t>
            </w:r>
          </w:p>
        </w:tc>
        <w:tc>
          <w:tcPr/>
          <w:p>
            <w:pPr>
              <w:pStyle w:val="Compact"/>
              <w:jc w:val="left"/>
            </w:pPr>
            <w:r>
              <w:t xml:space="preserve">&gt; 100</w:t>
            </w:r>
          </w:p>
        </w:tc>
        <w:tc>
          <w:tcPr/>
          <w:p>
            <w:pPr>
              <w:pStyle w:val="Compact"/>
              <w:jc w:val="left"/>
            </w:pPr>
            <w:r>
              <w:t xml:space="preserve">Pass</w:t>
            </w:r>
          </w:p>
        </w:tc>
      </w:tr>
      <w:tr>
        <w:tc>
          <w:tcPr/>
          <w:p>
            <w:pPr>
              <w:pStyle w:val="Compact"/>
              <w:jc w:val="left"/>
            </w:pPr>
            <w:r>
              <w:t xml:space="preserve">Small-cell scan: zero violations across every rendered table</w:t>
            </w:r>
          </w:p>
        </w:tc>
        <w:tc>
          <w:tcPr/>
          <w:p>
            <w:pPr>
              <w:pStyle w:val="Compact"/>
              <w:jc w:val="left"/>
            </w:pPr>
            <w:r>
              <w:t xml:space="preserve">0</w:t>
            </w:r>
          </w:p>
        </w:tc>
        <w:tc>
          <w:tcPr/>
          <w:p>
            <w:pPr>
              <w:pStyle w:val="Compact"/>
              <w:jc w:val="left"/>
            </w:pPr>
            <w:r>
              <w:t xml:space="preserve">0</w:t>
            </w:r>
          </w:p>
        </w:tc>
        <w:tc>
          <w:tcPr/>
          <w:p>
            <w:pPr>
              <w:pStyle w:val="Compact"/>
              <w:jc w:val="left"/>
            </w:pPr>
            <w:r>
              <w:t xml:space="preserve">Pass</w:t>
            </w:r>
          </w:p>
        </w:tc>
      </w:tr>
      <w:tr>
        <w:tc>
          <w:tcPr/>
          <w:p>
            <w:pPr>
              <w:pStyle w:val="Compact"/>
              <w:jc w:val="left"/>
            </w:pPr>
            <w:r>
              <w:t xml:space="preserve">Suppression scanner self-test passes in both directions</w:t>
            </w:r>
          </w:p>
        </w:tc>
        <w:tc>
          <w:tcPr/>
          <w:p>
            <w:pPr>
              <w:pStyle w:val="Compact"/>
              <w:jc w:val="left"/>
            </w:pPr>
            <w:r>
              <w:t xml:space="preserve">7</w:t>
            </w:r>
          </w:p>
        </w:tc>
        <w:tc>
          <w:tcPr/>
          <w:p>
            <w:pPr>
              <w:pStyle w:val="Compact"/>
              <w:jc w:val="left"/>
            </w:pPr>
            <w:r>
              <w:t xml:space="preserve">7</w:t>
            </w:r>
          </w:p>
        </w:tc>
        <w:tc>
          <w:tcPr/>
          <w:p>
            <w:pPr>
              <w:pStyle w:val="Compact"/>
              <w:jc w:val="left"/>
            </w:pPr>
            <w:r>
              <w:t xml:space="preserve">Pass</w:t>
            </w:r>
          </w:p>
        </w:tc>
      </w:tr>
    </w:tbl>
    <w:bookmarkEnd w:id="81"/>
    <w:bookmarkStart w:id="82" w:name="Xb1b95de6f87c77dd08d86c0ceb5c1f829b7491d"/>
    <w:p>
      <w:pPr>
        <w:pStyle w:val="Heading1"/>
      </w:pPr>
      <w:r>
        <w:t xml:space="preserve">17. Pre-specified analyses not estimable or not applicable</w:t>
      </w:r>
    </w:p>
    <w:p>
      <w:pPr>
        <w:pStyle w:val="FirstParagraph"/>
      </w:pPr>
      <w:r>
        <w:rPr>
          <w:b/>
          <w:bCs/>
        </w:rPr>
        <w:t xml:space="preserve">S6, present-on-admission-restricted precipitant assignment: NOT ESTIMABLE.</w:t>
      </w:r>
      <w:r>
        <w:t xml:space="preserve"> </w:t>
      </w:r>
      <w:r>
        <w:t xml:space="preserve">No NRD file in the 2016-2022 series carries a present-on-admission indicator. It is reported as not estimable in Table 9, and S6b (assignment from the principal diagnosis only) is shown beside it as the closest estimable substitute: a precipitant recorded as the principal diagnosis is necessarily the reason for admission.</w:t>
      </w:r>
    </w:p>
    <w:p>
      <w:pPr>
        <w:pStyle w:val="Compact"/>
        <w:numPr>
          <w:ilvl w:val="0"/>
          <w:numId w:val="1002"/>
        </w:numPr>
      </w:pPr>
      <w:r>
        <w:t xml:space="preserve">S6 (Present-on-admission-restricted precipitant assignment): Not estimable: no present-on-admission indicator exists in any NRD data year 2016-2022.</w:t>
      </w:r>
    </w:p>
    <w:p>
      <w:pPr>
        <w:pStyle w:val="Compact"/>
        <w:numPr>
          <w:ilvl w:val="0"/>
          <w:numId w:val="1002"/>
        </w:numPr>
      </w:pPr>
      <w:r>
        <w:t xml:space="preserve">DX-field-restricted ascertainment: Not applicable: the year audit shows 40 diagnosis fields populated in every year 2018-2022, so the SAP A6.6 condition for this row is not met.</w:t>
      </w:r>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6" Target="media/rId26.png" /><Relationship Type="http://schemas.openxmlformats.org/officeDocument/2006/relationships/image" Id="rId41" Target="media/rId41.png" /><Relationship Type="http://schemas.openxmlformats.org/officeDocument/2006/relationships/image" Id="rId55" Target="media/rId55.png" /><Relationship Type="http://schemas.openxmlformats.org/officeDocument/2006/relationships/image" Id="rId32" Target="media/rId32.png" /><Relationship Type="http://schemas.openxmlformats.org/officeDocument/2006/relationships/image" Id="rId48" Target="media/rId48.png" /><Relationship Type="http://schemas.openxmlformats.org/officeDocument/2006/relationships/image" Id="rId45" Target="media/rId45.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72" Target="media/rId72.png" /><Relationship Type="http://schemas.openxmlformats.org/officeDocument/2006/relationships/image" Id="rId68" Target="media/rId68.png" /><Relationship Type="http://schemas.openxmlformats.org/officeDocument/2006/relationships/image" Id="rId75" Target="media/rId75.png" /><Relationship Type="http://schemas.openxmlformats.org/officeDocument/2006/relationships/image" Id="rId11" Target="media/rId11.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Precipitant-stratified 30-day readmission after type 2 myocardial infarction</dc:title>
  <dc:creator>Statistical analysis: Saad</dc:creator>
  <cp:keywords/>
  <dcterms:created xsi:type="dcterms:W3CDTF">2026-09-27T21:37:43Z</dcterms:created>
  <dcterms:modified xsi:type="dcterms:W3CDTF">2026-09-27T21:37:43Z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2026-09-28</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Nationwide Readmissions Database, 2018–2022 — statistical report</vt:lpwstr>
  </property>
  <property fmtid="{D5CDD505-2E9C-101B-9397-08002B2CF9AE}" pid="12" name="toc-title">
    <vt:lpwstr>Table of contents</vt:lpwstr>
  </property>
</Properties>
</file>