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Pediatric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Nutritional</w:t>
      </w:r>
      <w:r>
        <w:t xml:space="preserve"> </w:t>
      </w:r>
      <w:r>
        <w:t xml:space="preserve">Assessment:</w:t>
      </w:r>
      <w:r>
        <w:t xml:space="preserve"> </w:t>
      </w:r>
      <w:r>
        <w:t xml:space="preserve">Baseline</w:t>
      </w:r>
      <w:r>
        <w:t xml:space="preserve"> </w:t>
      </w:r>
      <w:r>
        <w:t xml:space="preserve">and</w:t>
      </w:r>
      <w:r>
        <w:t xml:space="preserve"> </w:t>
      </w:r>
      <w:r>
        <w:t xml:space="preserve">Disease</w:t>
      </w:r>
      <w:r>
        <w:t xml:space="preserve"> </w:t>
      </w:r>
      <w:r>
        <w:t xml:space="preserve">Profile</w:t>
      </w:r>
      <w:r>
        <w:t xml:space="preserve"> </w:t>
      </w:r>
      <w:r>
        <w:t xml:space="preserve">Analysis</w:t>
      </w:r>
    </w:p>
    <w:p>
      <w:pPr>
        <w:pStyle w:val="Subtitle"/>
      </w:pP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Client</w:t>
      </w:r>
      <w:r>
        <w:t xml:space="preserve"> </w:t>
      </w:r>
      <w:r>
        <w:t xml:space="preserve">Areeba</w:t>
      </w:r>
      <w:r>
        <w:t xml:space="preserve"> </w:t>
      </w:r>
      <w:r>
        <w:t xml:space="preserve">Shaikh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Background</w:t>
      </w:r>
      <w:r>
        <w:t xml:space="preserve">: This analysis was conducted as part of a cross-sectional biostatistical assessment aimed at evaluating the health, nutritional, and disease status of children and adolescents. The study integrates anthropometric, demographic, and clinical data collected through a standardized questionnaire and field measurements.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Objectives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Describe the baseline demographic, socioeconomic, and health characteristics of the study population.</w:t>
      </w:r>
    </w:p>
    <w:p>
      <w:pPr>
        <w:numPr>
          <w:ilvl w:val="1"/>
          <w:numId w:val="1002"/>
        </w:numPr>
      </w:pPr>
      <w:r>
        <w:t xml:space="preserve">Quantify the prevalence of reported diseases and health conditions, overall and stratified by age group.</w:t>
      </w:r>
    </w:p>
    <w:p>
      <w:pPr>
        <w:numPr>
          <w:ilvl w:val="1"/>
          <w:numId w:val="1002"/>
        </w:numPr>
      </w:pPr>
      <w:r>
        <w:t xml:space="preserve">Assess nutritional status using internationally standardized WHO Z-scores and classify children according to defined thresholds for stunting, wasting, underweight, thinness, overweight, and obesity.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Analytical Outputs</w:t>
      </w:r>
      <w:r>
        <w:t xml:space="preserve">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Baseline Descriptive Table:</w:t>
      </w:r>
    </w:p>
    <w:p>
      <w:pPr>
        <w:numPr>
          <w:ilvl w:val="2"/>
          <w:numId w:val="1004"/>
        </w:numPr>
      </w:pPr>
      <w:r>
        <w:t xml:space="preserve">Continuous variables summarized as Mean (SD)</w:t>
      </w:r>
    </w:p>
    <w:p>
      <w:pPr>
        <w:numPr>
          <w:ilvl w:val="2"/>
          <w:numId w:val="1004"/>
        </w:numPr>
      </w:pPr>
      <w:r>
        <w:t xml:space="preserve">Categorical variables summarized as n (%)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Disease-by-Age Group Table:</w:t>
      </w:r>
    </w:p>
    <w:p>
      <w:pPr>
        <w:numPr>
          <w:ilvl w:val="2"/>
          <w:numId w:val="1005"/>
        </w:numPr>
      </w:pPr>
      <w:r>
        <w:t xml:space="preserve">Comparison across defined age categories (3–5, 6–11, 12–18 years)</w:t>
      </w:r>
    </w:p>
    <w:p>
      <w:pPr>
        <w:numPr>
          <w:ilvl w:val="2"/>
          <w:numId w:val="1005"/>
        </w:numPr>
      </w:pPr>
      <w:r>
        <w:t xml:space="preserve">Chi-square (χ²) tests performed for group differences, with Fisher’s exact test used automatically in place of chi-square wherever expected cell counts were below 5 (e.g., for rare events such as Tuberculosis and Convulsions)</w:t>
      </w:r>
    </w:p>
    <w:p>
      <w:pPr>
        <w:numPr>
          <w:ilvl w:val="2"/>
          <w:numId w:val="1005"/>
        </w:numPr>
      </w:pPr>
      <w:r>
        <w:t xml:space="preserve">95% confidence intervals reported alongside all proportions</w:t>
      </w:r>
    </w:p>
    <w:p>
      <w:pPr>
        <w:numPr>
          <w:ilvl w:val="2"/>
          <w:numId w:val="1005"/>
        </w:numPr>
      </w:pPr>
      <w:r>
        <w:t xml:space="preserve">Visual impairment (Snellen-based, either eye) is included in this comparison</w:t>
      </w:r>
    </w:p>
    <w:p>
      <w:pPr>
        <w:numPr>
          <w:ilvl w:val="2"/>
          <w:numId w:val="1005"/>
        </w:numPr>
      </w:pPr>
      <w:r>
        <w:t xml:space="preserve">Note: 11 participants fall outside the 3–18 year range used for age-group stratification and are therefore not included in this table (1 participant’s age was not recorded; 1 was aged 1 year; 9 were aged 19–20 years), though they are retained in the overall study sample (N = 1,912)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Psychosocial (HEADS-ED) by Age Group Table:</w:t>
      </w:r>
    </w:p>
    <w:p>
      <w:pPr>
        <w:numPr>
          <w:ilvl w:val="2"/>
          <w:numId w:val="1006"/>
        </w:numPr>
      </w:pPr>
      <w:r>
        <w:t xml:space="preserve">Same age-group comparison, same automatic test selection and 95% confidence intervals, applied to the psychosocial/social-factor variables (family relationships, school attendance, grades, peer relationships, substance use, suicidal ideation, and mental health support status)</w:t>
      </w:r>
    </w:p>
    <w:p>
      <w:pPr>
        <w:numPr>
          <w:ilvl w:val="2"/>
          <w:numId w:val="1006"/>
        </w:numPr>
      </w:pPr>
      <w:r>
        <w:t xml:space="preserve">Three related variables (mood, intrusive thoughts, and trouble with parents/police/school) are not included pending a data-mapping check with the study team - see the note under that table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R Statistical Language (Version 4.5.1; R Foundation for Statistical Computing, Vienna, Austria).</w:t>
      </w:r>
    </w:p>
    <w:bookmarkEnd w:id="20"/>
    <w:bookmarkStart w:id="21" w:name="baseline-descriptive-characteristics"/>
    <w:p>
      <w:pPr>
        <w:pStyle w:val="Heading2"/>
      </w:pPr>
      <w:r>
        <w:t xml:space="preserve">Baseline Descriptive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1,912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3–5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6–11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1,106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579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777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Illiterate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Vaccination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BCG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OPV (Oral Polio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Pentavalent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1,322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PCV (Pneumococcal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1,291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Measles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(7.4%)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1,703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Chicken Pox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1,512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Typhoid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343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COVID-19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792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1,053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1,172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1,501 (79%)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1,485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367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1,612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387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1,752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1,845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1,827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1,614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1,701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1,798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Right Eye Vision (Snellen Denominator)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Left Eye Vision (Snellen Denominator)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Visual Impairment (Either Eye)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Impaired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1,818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1,150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Red and Bulging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Perforated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Wax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1,853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Red/Inflamed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Enlarged Tonsils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Pus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1,897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DNS (Deviated Nasal Septum)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Discharge/Bleeding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Appearance (Well vs. Unwell)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AP Diameter/Shape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chest shape, with no visible deformities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Movement Symmetry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Wall: Lumps/Bumps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Chest: Tenderness on Palpation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 Expansion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Percussion Findings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Breath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Vesicular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Sounds (Crackles/Wheeze)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Wheeze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Precordial Bulge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Pectus Carinatum/Excavatum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Visible Cardiac Impulse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Signs of Increased Work of Breathing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Pulses (Radial/Brachial)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Apex Beat Position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Murmurs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Abdomen: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Wall: Skin Abnormalities/Veins/Hemangiomas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Protrusions (Hernia/Diastasis Recti)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Tenderness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Guarding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Kidneys Palpable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Bowel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Antalgic (Pain-related)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Circumduction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Spastic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Ataxic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Trendelenburg's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Toe Walking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Stepping (High Steppage)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Clumsy with Frequent Falls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CNS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Seizure Activity Observed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Chorea (Involuntary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Fasciculations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Tremor (Postural/Intention/Resting)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Athetosis (Slow Writhing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Muscular Power/Strength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Tone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Tendon Reflexes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Tooth Brushing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Before bed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time I 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the morning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1,081 (57%)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Twice day (includes and morning before bed)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488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Teeth Cleaning Method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Brush/paste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Dental floss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Traditional instrument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Water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Regular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 not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1,693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Dental Professional Visits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About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once a year for checkups or treatments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Only for emergency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553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Ever Been to a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Aware of Bad Oral Hygiene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732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No Symptoms/Normal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1,103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 Sensitivity (Hot/Cold)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1,858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Around Jaw Joints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Bleeding Gums While Brushing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Dry Mouth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Bad Breath (Halitosis)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1,879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White Patch on Tongue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Hole in Teeth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1,422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Excessive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Swelling Around the Neck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Mouth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in Jaw(s)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Unhappy with Teeth Appearance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1,234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Aphthous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Other Symptoms (Specify)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Stains/Plaque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Speech Delay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Autism/Developmental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Prenatal Alcohol Exposure (FASD)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Chaotic / Dysfunctional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Supportive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School Attendance Pattern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Academic Performance (Grades)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(5.2%)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1,787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Peer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1,876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Activities for Fun / 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Drug/Alcohol Use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Frequent / daily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or infrequent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(6.4%)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Occasional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Ideation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1,427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Plan or gesture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Thoughts Changed Recently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1,745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Current Mood/Feelings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Intrusive/Obsessive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Behavioral Problems (Parents/Police/School)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1,809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Significantly distressed / unable to function / out of control / bizarre thoughts / significant change in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Health Support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 / on wait list / non-compliant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Ongoing / well connected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/ not meeting needs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Menstruation Started (Menarche)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at Menarche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Knew About Menstruation Before First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 of Menstrual Knowledge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Family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214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 (TV, radio, etc.)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Reading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Schools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Cloth/Towel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Disposable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Reusable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Toilet Paper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Cotton Wool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Mattress/Foam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Underwear Alone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Natural Material (Leaves/Sand/Grass)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Period Underwear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Menstrual Cup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Tampon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Washes and Reuses Menstrual Materials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Material Changes Per Day (Heaviest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time (wear until the next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times (e.g., morning and evening)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times (e.g., morning, evening, and once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333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times (e.g., morning, evening, and twice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4 times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Changing During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day of my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Never/no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Diet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Healthy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Junk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1,768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At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1,725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Outside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1,758 (92%)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bookmarkEnd w:id="21"/>
    <w:bookmarkStart w:id="22" w:name="disease-by-age-group-analysis"/>
    <w:p>
      <w:pPr>
        <w:pStyle w:val="Heading2"/>
      </w:pPr>
      <w:r>
        <w:t xml:space="preserve">Disease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2.7%, 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5.3%, 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47%, 72%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59%, 64%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31%, 38%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29%, 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0.89%, 2.9%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77%, 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7.5%, 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15%, 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822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72%, 77%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0.89%, 2.9%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1.9%, 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84%, 89%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872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77%, 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9.6%, 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16%, 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3.1%, 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993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2.7%, 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3.8%, 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2.6%, 5.0%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76%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7.5%, 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11%, 16%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0.51%, 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67%, 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9.3%, 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4.5%, 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3.8%, 7.2%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5.3%, 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0.51%, 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1.6%, 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0.07%, 0.87%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1,043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80%, 84%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14%, 19%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2.6%, 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689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2.5%, 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3.4%, 6.0%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2.4%, 4.7%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3.4%, 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4.4%, 7.3%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657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6.8%, 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6.0%, 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1,029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2.5%, 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3.6%, 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52%, 59%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0.01%, 0.88%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0.07%, 0.86%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0.11%, 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0.03%, 0.73%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Hole in Teeth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34%, 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21%, 26%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69%, 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74%, 79%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29%, 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43%, 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45%, 71%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50%, 57%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797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69%, 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Visual Impairment (Either Eye)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Impaired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34%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11 participants are excluded from this age-stratified table because their age falls outside the 3-18 year range used for stratification (1 participant's age was not recorded; 1 was aged 1 year; 9 were aged 19-20 years). Overall study N = 1,912.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Fisher's exact test; Pearson's Chi-squared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2"/>
    <w:bookmarkStart w:id="23" w:name="uti-status-by-age-group-analysis"/>
    <w:p>
      <w:pPr>
        <w:pStyle w:val="Heading2"/>
      </w:pPr>
      <w:r>
        <w:t xml:space="preserve">UTI Status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UTI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Don’t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729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1,090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Fisher's exact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3"/>
    <w:bookmarkStart w:id="24" w:name="X13e14183b134e1c3c48799d3f145a7322d53625"/>
    <w:p>
      <w:pPr>
        <w:pStyle w:val="Heading2"/>
      </w:pPr>
      <w:r>
        <w:t xml:space="preserve">Psychosocial (HEADS-ED) Screening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Speech Delay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2.7%, 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Autism/Developmental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0.03%, 0.73%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Prenatal Alcohol Exposure (FASD)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Chaotic / Dysfunctional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0.11%, 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2.4%, 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Supportive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707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School Attendance Pattern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0.28%, 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722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1,066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Academic Performance (Grades)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3.0%, 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4.5%, 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698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1,023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Peer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717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1,089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0.99%, 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Activities for Fun / 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0.59%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Drug/Alcohol Use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Frequent / daily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0.65%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0.03%, 0.73%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or infrequent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0.99%, 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8.0%, 12%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721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992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Occasional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0.65%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Ideation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36%, 42%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56%, 62%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Plan or gesture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0.01%, 0.88%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Thoughts Changed Recently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954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0.65%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Health Support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 / on wait list / non-compliant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0.11%, 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722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1,025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Ongoing / well connected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4.8%, 7.7%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/ not meeting needs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0.01%, 0.88%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0.07%, 0.86%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11 participants are excluded from this age-stratified table because their age falls outside the 3-18 year range used for stratification (1 participant's age was not recorded; 1 was aged 1 year; 9 were aged 19-20 years). Overall study N = 1,912. Three additional psychosocial variables (mood, intrusive thoughts, and trouble with parents/police/school) are not included in this table pending a data-mapping check with the study team - their recorded answer categories do not match the questions asked.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Fisher's exact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Pediatric Health and Nutritional Assessment: Baseline and Disease Profile Analysis</dc:title>
  <dc:creator/>
  <cp:keywords/>
  <dcterms:created xsi:type="dcterms:W3CDTF">2026-07-15T14:29:12Z</dcterms:created>
  <dcterms:modified xsi:type="dcterms:W3CDTF">2026-07-15T14:29:12Z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Analysis for Client Areeba Shaikh</vt:lpwstr>
  </property>
  <property fmtid="{D5CDD505-2E9C-101B-9397-08002B2CF9AE}" pid="8" name="toc-title">
    <vt:lpwstr>Table of contents</vt:lpwstr>
  </property>
</Properties>
</file>