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kpofv4ger1ix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4f17a8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Reviews, ratings, and user progress tracking were built.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Notification system was successfully implemented.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 sharing buttons worked as intended.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 API rate limits caused occasional failures.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system needed anti-spam adjustments.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testing for email reliability initially.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basic spam filtering for reviews.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email delivery test cases.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 API usage limits proactively.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