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85800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40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 xml:space="preserve">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3DDE5F1"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SOA PROGRAMMING AND MICROSERVICES – (24SDCS03)                            A.Y. 2026 - 2027</w:t>
      </w:r>
    </w:p>
    <w:tbl>
      <w:tblPr>
        <w:tblStyle w:val="TableGrid"/>
        <w:tblW w:w="10800" w:type="dxa"/>
        <w:jc w:val="center"/>
        <w:tblLook w:val="04A0" w:firstRow="1" w:lastRow="0" w:firstColumn="1" w:lastColumn="0" w:noHBand="0" w:noVBand="1"/>
      </w:tblPr>
      <w:tblGrid>
        <w:gridCol w:w="1581"/>
        <w:gridCol w:w="3227"/>
        <w:gridCol w:w="5992"/>
      </w:tblGrid>
      <w:tr w:rsidR="00715340" w14:paraId="2A83482A" w14:textId="77777777" w:rsidTr="00024E80">
        <w:trPr>
          <w:trHeight w:val="557"/>
          <w:jc w:val="center"/>
        </w:trPr>
        <w:tc>
          <w:tcPr>
            <w:tcW w:w="1581" w:type="dxa"/>
            <w:vAlign w:val="center"/>
          </w:tcPr>
          <w:p w14:paraId="05B1400C" w14:textId="77777777" w:rsidR="00715340" w:rsidRPr="00286D28" w:rsidRDefault="00715340" w:rsidP="00FE2B3A">
            <w:pPr>
              <w:spacing w:before="0" w:after="0" w:line="240" w:lineRule="auto"/>
              <w:jc w:val="center"/>
              <w:rPr>
                <w:rFonts w:ascii="Times New Roman" w:hAnsi="Times New Roman" w:cs="Times New Roman"/>
                <w:b/>
                <w:bCs/>
              </w:rPr>
            </w:pPr>
            <w:r>
              <w:rPr>
                <w:rFonts w:ascii="Times New Roman" w:hAnsi="Times New Roman" w:cs="Times New Roman"/>
                <w:b/>
                <w:bCs/>
                <w:sz w:val="21"/>
              </w:rPr>
              <w:t>TITLE OF THE PROJECT</w:t>
            </w:r>
          </w:p>
        </w:tc>
        <w:tc>
          <w:tcPr>
            <w:tcW w:w="9219" w:type="dxa"/>
            <w:gridSpan w:val="2"/>
            <w:vAlign w:val="center"/>
          </w:tcPr>
          <w:p w14:paraId="7BF2C959" w14:textId="77777777" w:rsidR="00715340" w:rsidRDefault="00715340" w:rsidP="00FE2B3A">
            <w:pPr>
              <w:spacing w:before="0" w:after="0" w:line="240" w:lineRule="auto"/>
              <w:jc w:val="center"/>
              <w:rPr>
                <w:rFonts w:ascii="Times New Roman" w:hAnsi="Times New Roman" w:cs="Times New Roman"/>
                <w:b/>
                <w:bCs/>
              </w:rPr>
            </w:pPr>
            <w:r>
              <w:rPr>
                <w:rFonts w:ascii="Times New Roman" w:hAnsi="Times New Roman" w:cs="Times New Roman"/>
                <w:b/>
                <w:bCs/>
                <w:sz w:val="21"/>
              </w:rPr>
              <w:t>MindBridge AI: Intelligent Multi-Agent Mental Wellness and Accessibility Platform for Disabled Individuals</w:t>
            </w:r>
          </w:p>
          <w:p w14:paraId="300AD467" w14:textId="77777777" w:rsidR="00715340" w:rsidRPr="00286D28" w:rsidRDefault="00715340" w:rsidP="00FE2B3A">
            <w:pPr>
              <w:spacing w:before="0" w:after="0" w:line="240" w:lineRule="auto"/>
              <w:jc w:val="center"/>
              <w:rPr>
                <w:rFonts w:ascii="Times New Roman" w:hAnsi="Times New Roman" w:cs="Times New Roman"/>
                <w:b/>
                <w:bCs/>
              </w:rPr>
            </w:pPr>
          </w:p>
        </w:tc>
      </w:tr>
      <w:tr w:rsidR="00715340" w14:paraId="6022BA7D" w14:textId="77777777" w:rsidTr="00024E80">
        <w:trPr>
          <w:jc w:val="center"/>
        </w:trPr>
        <w:tc>
          <w:tcPr>
            <w:tcW w:w="1581" w:type="dxa"/>
            <w:vAlign w:val="center"/>
          </w:tcPr>
          <w:p w14:paraId="09743772" w14:textId="77777777" w:rsidR="00715340" w:rsidRPr="00286D28" w:rsidRDefault="00715340" w:rsidP="00FE2B3A">
            <w:pPr>
              <w:spacing w:before="0" w:after="0" w:line="240" w:lineRule="auto"/>
              <w:jc w:val="center"/>
              <w:rPr>
                <w:rFonts w:ascii="Times New Roman" w:hAnsi="Times New Roman" w:cs="Times New Roman"/>
                <w:b/>
                <w:bCs/>
              </w:rPr>
            </w:pPr>
            <w:r>
              <w:rPr>
                <w:rFonts w:ascii="Times New Roman" w:hAnsi="Times New Roman" w:cs="Times New Roman"/>
                <w:b/>
                <w:bCs/>
                <w:sz w:val="21"/>
              </w:rPr>
              <w:t>S. No.</w:t>
            </w:r>
          </w:p>
        </w:tc>
        <w:tc>
          <w:tcPr>
            <w:tcW w:w="3227" w:type="dxa"/>
            <w:vAlign w:val="center"/>
          </w:tcPr>
          <w:p w14:paraId="4A7FCF21" w14:textId="77777777" w:rsidR="00715340" w:rsidRPr="00286D28" w:rsidRDefault="00715340" w:rsidP="00FE2B3A">
            <w:pPr>
              <w:spacing w:before="0" w:after="0" w:line="240" w:lineRule="auto"/>
              <w:jc w:val="center"/>
              <w:rPr>
                <w:rFonts w:ascii="Times New Roman" w:hAnsi="Times New Roman" w:cs="Times New Roman"/>
                <w:b/>
                <w:bCs/>
              </w:rPr>
            </w:pPr>
            <w:r>
              <w:rPr>
                <w:rFonts w:ascii="Times New Roman" w:hAnsi="Times New Roman" w:cs="Times New Roman"/>
                <w:b/>
                <w:bCs/>
                <w:sz w:val="21"/>
              </w:rPr>
              <w:t>University ID</w:t>
            </w:r>
          </w:p>
        </w:tc>
        <w:tc>
          <w:tcPr>
            <w:tcW w:w="5992" w:type="dxa"/>
            <w:vAlign w:val="center"/>
          </w:tcPr>
          <w:p w14:paraId="243A001A" w14:textId="77777777" w:rsidR="00715340" w:rsidRPr="00286D28" w:rsidRDefault="00715340" w:rsidP="00FE2B3A">
            <w:pPr>
              <w:spacing w:before="0" w:after="0" w:line="240" w:lineRule="auto"/>
              <w:jc w:val="center"/>
              <w:rPr>
                <w:rFonts w:ascii="Times New Roman" w:hAnsi="Times New Roman" w:cs="Times New Roman"/>
                <w:b/>
                <w:bCs/>
              </w:rPr>
            </w:pPr>
            <w:r>
              <w:rPr>
                <w:rFonts w:ascii="Times New Roman" w:hAnsi="Times New Roman" w:cs="Times New Roman"/>
                <w:b/>
                <w:bCs/>
                <w:sz w:val="21"/>
              </w:rPr>
              <w:t>Name</w:t>
            </w:r>
          </w:p>
        </w:tc>
      </w:tr>
      <w:tr w:rsidR="00715340" w14:paraId="551300AE" w14:textId="77777777" w:rsidTr="00024E80">
        <w:trPr>
          <w:jc w:val="center"/>
        </w:trPr>
        <w:tc>
          <w:tcPr>
            <w:tcW w:w="1581" w:type="dxa"/>
            <w:vAlign w:val="center"/>
          </w:tcPr>
          <w:p w14:paraId="2F592D78"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1</w:t>
            </w:r>
          </w:p>
        </w:tc>
        <w:tc>
          <w:tcPr>
            <w:tcW w:w="3227" w:type="dxa"/>
            <w:vAlign w:val="center"/>
          </w:tcPr>
          <w:p w14:paraId="0B322931"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2420030053</w:t>
            </w:r>
          </w:p>
        </w:tc>
        <w:tc>
          <w:tcPr>
            <w:tcW w:w="5992" w:type="dxa"/>
            <w:vAlign w:val="center"/>
          </w:tcPr>
          <w:p w14:paraId="1E62F30D"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Kakunuri Yasaswi</w:t>
            </w:r>
          </w:p>
        </w:tc>
      </w:tr>
      <w:tr w:rsidR="00715340" w14:paraId="75723645" w14:textId="77777777" w:rsidTr="00024E80">
        <w:trPr>
          <w:jc w:val="center"/>
        </w:trPr>
        <w:tc>
          <w:tcPr>
            <w:tcW w:w="1581" w:type="dxa"/>
            <w:vAlign w:val="center"/>
          </w:tcPr>
          <w:p w14:paraId="550DED93"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2</w:t>
            </w:r>
          </w:p>
        </w:tc>
        <w:tc>
          <w:tcPr>
            <w:tcW w:w="3227" w:type="dxa"/>
            <w:vAlign w:val="center"/>
          </w:tcPr>
          <w:p w14:paraId="125FFC7E"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2420030424</w:t>
            </w:r>
          </w:p>
        </w:tc>
        <w:tc>
          <w:tcPr>
            <w:tcW w:w="5992" w:type="dxa"/>
            <w:vAlign w:val="center"/>
          </w:tcPr>
          <w:p w14:paraId="07662A52"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Muduganti Sahithi Reddy</w:t>
            </w:r>
          </w:p>
        </w:tc>
      </w:tr>
      <w:tr w:rsidR="00715340" w14:paraId="24DF3F22" w14:textId="77777777" w:rsidTr="00024E80">
        <w:trPr>
          <w:jc w:val="center"/>
        </w:trPr>
        <w:tc>
          <w:tcPr>
            <w:tcW w:w="4808" w:type="dxa"/>
            <w:gridSpan w:val="2"/>
            <w:vAlign w:val="center"/>
          </w:tcPr>
          <w:p w14:paraId="727B19AC" w14:textId="77777777" w:rsidR="00715340" w:rsidRPr="00286D28" w:rsidRDefault="00715340" w:rsidP="00FE2B3A">
            <w:pPr>
              <w:spacing w:before="0" w:after="0" w:line="240" w:lineRule="auto"/>
              <w:jc w:val="center"/>
              <w:rPr>
                <w:rFonts w:ascii="Times New Roman" w:hAnsi="Times New Roman" w:cs="Times New Roman"/>
              </w:rPr>
            </w:pPr>
            <w:r>
              <w:rPr>
                <w:rFonts w:ascii="Times New Roman" w:hAnsi="Times New Roman" w:cs="Times New Roman"/>
                <w:sz w:val="21"/>
              </w:rPr>
              <w:t>Name of the Guide</w:t>
            </w:r>
          </w:p>
        </w:tc>
        <w:tc>
          <w:tcPr>
            <w:tcW w:w="5992" w:type="dxa"/>
            <w:vAlign w:val="center"/>
          </w:tcPr>
          <w:p w14:paraId="7794DC95" w14:textId="0C3393F4" w:rsidR="00715340" w:rsidRPr="00024E80" w:rsidRDefault="00715340" w:rsidP="00FE2B3A">
            <w:pPr>
              <w:spacing w:before="0" w:after="0" w:line="240" w:lineRule="auto"/>
              <w:jc w:val="center"/>
              <w:rPr>
                <w:rFonts w:ascii="Times New Roman" w:hAnsi="Times New Roman" w:cs="Times New Roman"/>
                <w:b/>
                <w:bCs/>
              </w:rPr>
            </w:pPr>
            <w:r>
              <w:rPr>
                <w:rFonts w:ascii="Times New Roman" w:hAnsi="Times New Roman" w:cs="Times New Roman"/>
                <w:b/>
                <w:bCs/>
                <w:sz w:val="21"/>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80" w:line="360" w:lineRule="auto" w:before="100"/>
        <w:ind w:left="0" w:right="0" w:firstLine="0"/>
        <w:jc w:val="left"/>
        <w:rPr>
          <w:rFonts w:ascii="Times New Roman" w:hAnsi="Times New Roman" w:cs="Times New Roman"/>
          <w:b/>
          <w:bCs/>
          <w:sz w:val="18"/>
          <w:szCs w:val="18"/>
        </w:rPr>
      </w:pPr>
      <w:r/>
      <w:r>
        <w:rPr>
          <w:rFonts w:ascii="Times New Roman" w:hAnsi="Times New Roman"/>
          <w:b/>
          <w:sz w:val="24"/>
        </w:rPr>
        <w:t>Abstract:</w:t>
      </w:r>
    </w:p>
    <w:p>
      <w:pPr>
        <w:spacing w:before="0" w:after="160" w:line="240" w:lineRule="auto"/>
        <w:ind w:left="0" w:right="0" w:firstLine="0"/>
        <w:jc w:val="both"/>
      </w:pPr>
      <w:r>
        <w:rPr>
          <w:rFonts w:ascii="Times New Roman" w:hAnsi="Times New Roman"/>
          <w:sz w:val="23"/>
        </w:rPr>
        <w:t>Mental-health challenges among individuals with disabilities remain significantly under-addressed by existing digital wellness tools. Anxiety, stress, and emotional distress affect people across all ability levels, yet many mental-wellness applications are built around text-based, single-agent chat interfaces that assume a user can read, type, and navigate a screen without assistance. Individuals with visual, hearing, speech, or motor impairments may therefore be left with limited and often inaccessible options for seeking timely emotional support. Existing platforms are also typically monolithic, making it difficult to add capabilities such as crisis detection, multilingual voice interaction, or personalized accessibility support without redesigning the entire system. This highlights the need for a platform that is both intelligent and accessible by design.</w:t>
      </w:r>
    </w:p>
    <w:p>
      <w:pPr>
        <w:spacing w:before="0" w:after="160" w:line="240" w:lineRule="auto"/>
        <w:ind w:left="0" w:right="0" w:firstLine="0"/>
        <w:jc w:val="both"/>
      </w:pPr>
      <w:r>
        <w:rPr>
          <w:rFonts w:ascii="Times New Roman" w:hAnsi="Times New Roman"/>
          <w:sz w:val="23"/>
        </w:rPr>
        <w:t>To address this need, this project proposes MindBridge AI, an intelligent multi-agent mental wellness and accessibility platform built for disabled individuals. The system is designed as a set of independently deployable microservices following Service-Oriented Architecture (SOA) principles, allowing each capability to be developed, scaled, updated, or replaced without affecting the rest of the platform. A multi-agent orchestration layer built using CrewAI and LangGraph decomposes responsibilities across specialized agents instead of relying on a single monolithic language model. These include a wellness-coaching agent for empathetic conversation, a crisis-detection agent for identifying signs of acute distress, and an accessibility-adaptation agent that tailors responses to individual user needs. LangGraph manages the stateful workflow between these agents, while CrewAI coordinates their role-based collaboration.</w:t>
      </w:r>
    </w:p>
    <w:p>
      <w:pPr>
        <w:spacing w:before="0" w:after="160" w:line="240" w:lineRule="auto"/>
        <w:ind w:left="0" w:right="0" w:firstLine="0"/>
        <w:jc w:val="both"/>
      </w:pPr>
      <w:r>
        <w:rPr>
          <w:rFonts w:ascii="Times New Roman" w:hAnsi="Times New Roman"/>
          <w:sz w:val="23"/>
        </w:rPr>
        <w:t>For accessibility, the platform integrates OpenAI's Whisper model for speech-to-text transcription and a text-to-speech engine for spoken responses, enabling voice-driven and hands-free interaction. Each agent and accessibility service is exposed through independent FastAPI microservices and containerized using Docker for consistent and scalable deployment. The frontend is built using Flutter, providing an accessible cross-platform client with screen-reader support, high-contrast themes, and voice navigation for mobile and desktop users. By combining agentic AI orchestration with an accessibility-first architecture delivered through independently scalable microservices, MindBridge AI aims to make timely, empathetic mental-health support genuinely usable by individuals with diverse disabilities and contribute toward a more equitable approach to digital mental healthcare.</w:t>
      </w:r>
    </w:p>
    <w:sectPr w:rsidR="00715340">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srikanth ch</cp:lastModifiedBy>
  <cp:revision>6</cp:revision>
  <dcterms:created xsi:type="dcterms:W3CDTF">2026-08-08T07:13:00Z</dcterms:created>
  <dcterms:modified xsi:type="dcterms:W3CDTF">2026-08-08T07:22:00Z</dcterms:modified>
</cp:coreProperties>
</file>